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9D" w:rsidRDefault="00B147CA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>Smlouva číslo: 1878-2022-13132 Č.j.: MZE-66127/2022-13132</w:t>
      </w:r>
    </w:p>
    <w:p w:rsidR="006E209D" w:rsidRDefault="00B147CA">
      <w:pPr>
        <w:pStyle w:val="Zkladntext30"/>
        <w:shd w:val="clear" w:color="auto" w:fill="auto"/>
        <w:spacing w:after="1520"/>
      </w:pPr>
      <w:r>
        <w:t>Ministerstvo zemědělství</w:t>
      </w:r>
      <w:r>
        <w:br/>
        <w:t>Národní agentura pro zemědělský výzkum</w:t>
      </w:r>
    </w:p>
    <w:p w:rsidR="006E209D" w:rsidRDefault="00B147CA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6E209D" w:rsidRDefault="00B147CA">
      <w:pPr>
        <w:pStyle w:val="Zkladntext30"/>
        <w:shd w:val="clear" w:color="auto" w:fill="auto"/>
        <w:spacing w:after="0"/>
      </w:pPr>
      <w:r>
        <w:t>o poskytnutí podpory na řešení projektu výzkumu</w:t>
      </w:r>
      <w:r>
        <w:br/>
        <w:t>a vývoje Programu aplikovaného výzkumu Ministerstva</w:t>
      </w:r>
      <w:r>
        <w:br/>
        <w:t xml:space="preserve">zemědělství na období </w:t>
      </w:r>
      <w:r>
        <w:t>2017-2025, ZEMĚ</w:t>
      </w:r>
    </w:p>
    <w:p w:rsidR="006E209D" w:rsidRDefault="00B147CA">
      <w:pPr>
        <w:pStyle w:val="Nadpis30"/>
        <w:keepNext/>
        <w:keepLines/>
        <w:shd w:val="clear" w:color="auto" w:fill="auto"/>
      </w:pPr>
      <w:bookmarkStart w:id="1" w:name="bookmark1"/>
      <w:r>
        <w:t>SMLOUVA O POSKYTNUTÍ PODPORY NA ŘEŠENÍ</w:t>
      </w:r>
      <w:r>
        <w:br/>
        <w:t>PROJEKTU QK23020056</w:t>
      </w:r>
      <w:bookmarkEnd w:id="1"/>
    </w:p>
    <w:p w:rsidR="006E209D" w:rsidRDefault="00B147CA">
      <w:pPr>
        <w:pStyle w:val="Zkladntext1"/>
        <w:shd w:val="clear" w:color="auto" w:fill="auto"/>
        <w:spacing w:after="240"/>
      </w:pPr>
      <w:r>
        <w:t>Smluvní strany:</w:t>
      </w:r>
    </w:p>
    <w:p w:rsidR="006E209D" w:rsidRDefault="00B147CA">
      <w:pPr>
        <w:pStyle w:val="Zkladntext1"/>
        <w:shd w:val="clear" w:color="auto" w:fill="auto"/>
      </w:pPr>
      <w:r>
        <w:rPr>
          <w:b/>
          <w:bCs/>
        </w:rPr>
        <w:t>Česká republika - Ministerstvo zemědělství</w:t>
      </w:r>
    </w:p>
    <w:p w:rsidR="006E209D" w:rsidRDefault="00B147CA">
      <w:pPr>
        <w:pStyle w:val="Zkladntext1"/>
        <w:shd w:val="clear" w:color="auto" w:fill="auto"/>
      </w:pPr>
      <w:r>
        <w:t>se sídlem: Těšnov 65/17, 110 00 Praha 1 - Nové Město</w:t>
      </w:r>
    </w:p>
    <w:p w:rsidR="006E209D" w:rsidRDefault="00B147CA">
      <w:pPr>
        <w:pStyle w:val="Zkladntext1"/>
        <w:shd w:val="clear" w:color="auto" w:fill="auto"/>
      </w:pPr>
      <w:r>
        <w:t>IČO: 00020478</w:t>
      </w:r>
    </w:p>
    <w:p w:rsidR="006E209D" w:rsidRDefault="00B147CA">
      <w:pPr>
        <w:pStyle w:val="Zkladntext1"/>
        <w:shd w:val="clear" w:color="auto" w:fill="auto"/>
      </w:pPr>
      <w:r>
        <w:t>bankovní spojení: ČNB, centrální pobočka Praha 1</w:t>
      </w:r>
    </w:p>
    <w:p w:rsidR="006E209D" w:rsidRDefault="00B147CA">
      <w:pPr>
        <w:pStyle w:val="Zkladntext1"/>
        <w:shd w:val="clear" w:color="auto" w:fill="auto"/>
        <w:spacing w:after="60"/>
        <w:jc w:val="left"/>
      </w:pPr>
      <w:r>
        <w:t>zastou</w:t>
      </w:r>
      <w:r>
        <w:t>pená: Ing. Petr Jílek, náměstek pro řízení Sekce ekologického zemědělství, komodit, výzkumu a vzdělávání</w:t>
      </w:r>
    </w:p>
    <w:p w:rsidR="006E209D" w:rsidRDefault="00B147CA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6E209D" w:rsidRDefault="00B147CA">
      <w:pPr>
        <w:pStyle w:val="Zkladntext1"/>
        <w:shd w:val="clear" w:color="auto" w:fill="auto"/>
      </w:pPr>
      <w:r>
        <w:rPr>
          <w:b/>
          <w:bCs/>
        </w:rPr>
        <w:t>Výzkumný ústav rostlinné výroby, v.v.i.</w:t>
      </w:r>
    </w:p>
    <w:p w:rsidR="006E209D" w:rsidRDefault="00B147CA">
      <w:pPr>
        <w:pStyle w:val="Zkladntext1"/>
        <w:shd w:val="clear" w:color="auto" w:fill="auto"/>
        <w:jc w:val="left"/>
      </w:pPr>
      <w:r>
        <w:t>VVI - Veřejná výzkumná instituce (zákon č. 341/2005 Sb., o veřejných výzkumných insti</w:t>
      </w:r>
      <w:r>
        <w:t>tucích) - Veřejná výzkumná instituce</w:t>
      </w:r>
    </w:p>
    <w:p w:rsidR="006E209D" w:rsidRDefault="00B147CA">
      <w:pPr>
        <w:pStyle w:val="Zkladntext1"/>
        <w:shd w:val="clear" w:color="auto" w:fill="auto"/>
      </w:pPr>
      <w:r>
        <w:t>se sídlem: Drnovská 507/73, 161 00 Praha 6 - Ruzyně</w:t>
      </w:r>
    </w:p>
    <w:p w:rsidR="006E209D" w:rsidRDefault="00B147CA">
      <w:pPr>
        <w:pStyle w:val="Zkladntext1"/>
        <w:shd w:val="clear" w:color="auto" w:fill="auto"/>
      </w:pPr>
      <w:r>
        <w:lastRenderedPageBreak/>
        <w:t>IČO: 00027006</w:t>
      </w:r>
    </w:p>
    <w:p w:rsidR="006E209D" w:rsidRDefault="00B147CA">
      <w:pPr>
        <w:pStyle w:val="Zkladntext1"/>
        <w:shd w:val="clear" w:color="auto" w:fill="auto"/>
      </w:pPr>
      <w:r>
        <w:t>bankovní spojení:</w:t>
      </w:r>
    </w:p>
    <w:p w:rsidR="006E209D" w:rsidRDefault="00B147CA">
      <w:pPr>
        <w:pStyle w:val="Zkladntext1"/>
        <w:shd w:val="clear" w:color="auto" w:fill="auto"/>
      </w:pPr>
      <w:r>
        <w:t>číslo účtu:</w:t>
      </w:r>
    </w:p>
    <w:p w:rsidR="006E209D" w:rsidRDefault="00B147CA">
      <w:pPr>
        <w:pStyle w:val="Zkladntext1"/>
        <w:shd w:val="clear" w:color="auto" w:fill="auto"/>
        <w:spacing w:after="60"/>
      </w:pPr>
      <w:r>
        <w:t>zastoupená: RNDr. Mikuláš Madaras, Ph.D., ředitel</w:t>
      </w:r>
    </w:p>
    <w:p w:rsidR="006E209D" w:rsidRDefault="00B147CA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„hlavní příjemce“</w:t>
      </w:r>
      <w:r>
        <w:t xml:space="preserve">) na zaklade výsledku veřejné soutěže </w:t>
      </w:r>
      <w:r>
        <w:t>vyhlášené poskytovatelem v rámci Programu ZEMĚ, uzavřeli podle ustanovení § 9 odst. 1 až 3 a podle ustanovení § 3 odst. 2 písm. b.) zakona C. 130/2002 Sb., o podpore výzkumu, experimentálního vývoje a inovací z verejných prostredku a o zmene nekterých souv</w:t>
      </w:r>
      <w:r>
        <w:t>isejících zakonu (zakon o podpore výzkumu, experimentalního vývoje a inovací), ve zn^ní pozdejsích predpisu (dale jen „zakon c. 130/2002 Sb.“), podle ustanovení § 161 odst. 1 zakona c. 500/2004 Sb., správní rad, ve zn^ní pozdejsích predpisu a v souladu s u</w:t>
      </w:r>
      <w:r>
        <w:t>stanovením § 17 zakona c. 218/2000 Sb., o rozpoctových pravidlech a o zmene nekterých souvisejících zakonu (rozpoctova pravidla), ve zn^ní pozdejsích predpisu (dale jen „zakon c. 218/2000 Sb., o rozpoctových pravidlech“), dale v souladu s cl. 25 Nanzení Ko</w:t>
      </w:r>
      <w:r>
        <w:t xml:space="preserve">mise (EU) c. 651/2014 ze dne 17. cervna 2014, kterým se v souladu s clanký 107 a 108 Smlouvý prohlasují urcite kategorie podporý za slucitelne s vnitrním trhem, Urední věstník EU L 187/1 ze dne 26. 6. 2014 ve zn^ní Nanzení Komise (EU) 2017/1084 ze dne 14. </w:t>
      </w:r>
      <w:r>
        <w:t>cervna 2017, Urední vestník EU L 156 ze dne 20. 6. 2017 (dale jen „GBER“), v souladu se znaním Ramce pro statní podporu výzkumu, vývoje a inovací, Urední vestník EU ze dne 27. 6. 2014, 2014/C 198/01 (dále jen „Rámec“)</w:t>
      </w:r>
    </w:p>
    <w:p w:rsidR="006E209D" w:rsidRDefault="00B147CA">
      <w:pPr>
        <w:pStyle w:val="Zkladntext1"/>
        <w:shd w:val="clear" w:color="auto" w:fill="auto"/>
        <w:spacing w:after="140"/>
        <w:jc w:val="left"/>
      </w:pPr>
      <w:r>
        <w:rPr>
          <w:b/>
          <w:bCs/>
        </w:rPr>
        <w:t>tuto</w:t>
      </w:r>
    </w:p>
    <w:p w:rsidR="006E209D" w:rsidRDefault="00B147CA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</w:t>
      </w:r>
      <w:r>
        <w:rPr>
          <w:b/>
          <w:bCs/>
        </w:rPr>
        <w:t>ešení projektu QK23020056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6E209D" w:rsidRDefault="00B147C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</w:t>
      </w:r>
    </w:p>
    <w:p w:rsidR="006E209D" w:rsidRDefault="00B147C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Předmět a účel Smlouvy a předmět řešení projektu</w:t>
      </w:r>
    </w:p>
    <w:p w:rsidR="006E209D" w:rsidRDefault="00B147CA">
      <w:pPr>
        <w:pStyle w:val="Zkladntext1"/>
        <w:numPr>
          <w:ilvl w:val="0"/>
          <w:numId w:val="1"/>
        </w:numPr>
        <w:shd w:val="clear" w:color="auto" w:fill="auto"/>
        <w:tabs>
          <w:tab w:val="left" w:pos="661"/>
        </w:tabs>
        <w:ind w:left="620" w:hanging="440"/>
      </w:pPr>
      <w:r>
        <w:t>Předmětem této Smlouvy je</w:t>
      </w:r>
    </w:p>
    <w:p w:rsidR="006E209D" w:rsidRDefault="00B147CA">
      <w:pPr>
        <w:pStyle w:val="Zkladntext1"/>
        <w:numPr>
          <w:ilvl w:val="0"/>
          <w:numId w:val="2"/>
        </w:numPr>
        <w:shd w:val="clear" w:color="auto" w:fill="auto"/>
        <w:tabs>
          <w:tab w:val="left" w:pos="1248"/>
        </w:tabs>
        <w:ind w:left="1220" w:hanging="280"/>
      </w:pPr>
      <w:r>
        <w:t xml:space="preserve">podpora projektu výzkumu a vývoje </w:t>
      </w:r>
      <w:r>
        <w:rPr>
          <w:b/>
          <w:bCs/>
        </w:rPr>
        <w:t xml:space="preserve">QK23020056 „Vytvoření a ověření modelových systémů dlouhodobé sekvestrace uhlíku v ČR“ </w:t>
      </w:r>
      <w:r>
        <w:t xml:space="preserve">(dále jen „projekt“), </w:t>
      </w:r>
      <w:r>
        <w:rPr>
          <w:b/>
          <w:bCs/>
        </w:rPr>
        <w:t>jehož předmětem je</w:t>
      </w:r>
    </w:p>
    <w:p w:rsidR="006E209D" w:rsidRDefault="00B147CA">
      <w:pPr>
        <w:pStyle w:val="Zkladntext1"/>
        <w:shd w:val="clear" w:color="auto" w:fill="auto"/>
        <w:spacing w:after="40"/>
        <w:ind w:left="1220" w:firstLine="20"/>
      </w:pPr>
      <w:r>
        <w:rPr>
          <w:b/>
          <w:bCs/>
        </w:rPr>
        <w:t>Cílem projektu je na národní úrovni a se zohledněním specifik ČR zpracovat podklady pro zavádění uhlíkového zemědělství. Jmenovitě: 1. Navrhnout modelové systémy dlouhodobé sekvestrace uhlíku ze skleníkových plynů v</w:t>
      </w:r>
      <w:r>
        <w:rPr>
          <w:b/>
          <w:bCs/>
        </w:rPr>
        <w:t xml:space="preserve"> zemědělské půdě. Systémy budou regionálně specifické a aplikovatelné pro podniky s různou strukturou zemědělské soustavy, přičemž budou prakticky využitelné pro nejméně 25 % českých zemědělských podniků. 2. Predikovat efektivnost modelových systémů pomocí</w:t>
      </w:r>
      <w:r>
        <w:rPr>
          <w:b/>
          <w:bCs/>
        </w:rPr>
        <w:t xml:space="preserve"> regionálního simulačního modelu pro scénáře budoucího klimatického vývoje. 3. Prakticky ověřit funkčnost systémů pro základní typy zemědělských podniků. 4. Navrhnout kroky pro zavádění uhlíkového zemědělství v podnicích. 5. Odhadnout stínové ceny sekvestr</w:t>
      </w:r>
      <w:r>
        <w:rPr>
          <w:b/>
          <w:bCs/>
        </w:rPr>
        <w:t>ace uhlíku jako environmentálního výstupu zemědělské produkce.</w:t>
      </w:r>
      <w:r>
        <w:t>,</w:t>
      </w:r>
    </w:p>
    <w:p w:rsidR="006E209D" w:rsidRDefault="00B147CA">
      <w:pPr>
        <w:pStyle w:val="Zkladntext1"/>
        <w:numPr>
          <w:ilvl w:val="0"/>
          <w:numId w:val="2"/>
        </w:numPr>
        <w:shd w:val="clear" w:color="auto" w:fill="auto"/>
        <w:tabs>
          <w:tab w:val="left" w:pos="1267"/>
        </w:tabs>
        <w:spacing w:after="40"/>
        <w:ind w:left="1220" w:hanging="280"/>
      </w:pPr>
      <w:r>
        <w:lastRenderedPageBreak/>
        <w:t>závazek poskytovatele poskytnout hlavnímu příjemci finanční podporu formou dotace za účelem jejího výužití na dosažení deklarovaných výsledků a cílů projektu a současně</w:t>
      </w:r>
    </w:p>
    <w:p w:rsidR="006E209D" w:rsidRDefault="00B147CA">
      <w:pPr>
        <w:pStyle w:val="Zkladntext1"/>
        <w:numPr>
          <w:ilvl w:val="0"/>
          <w:numId w:val="2"/>
        </w:numPr>
        <w:shd w:val="clear" w:color="auto" w:fill="auto"/>
        <w:tabs>
          <w:tab w:val="left" w:pos="1267"/>
        </w:tabs>
        <w:spacing w:after="40"/>
        <w:ind w:left="1220" w:hanging="280"/>
      </w:pPr>
      <w:r>
        <w:t>zavazek hlavního príjem</w:t>
      </w:r>
      <w:r>
        <w:t>ce rešit projekt a použít tuto podporu pouze na rešení projektu v souladu s touto Smlouvou, s pravidly pouzití podpory dle § 8 zákona č. 130/2002 Sb., v souladu s Programem aplikovaného výzkumu Ministerstva zemědělství na období 2017-2025, ZEMĚ (dale jen „</w:t>
      </w:r>
      <w:r>
        <w:t>Program ZEMĚ“) a se Zavaznymi parametry projektu a Zadávací dokumentací pro veřejnou soutěž vyhlášenou v roce 2022.</w:t>
      </w:r>
    </w:p>
    <w:p w:rsidR="006E209D" w:rsidRDefault="00B147CA">
      <w:pPr>
        <w:pStyle w:val="Zkladntext1"/>
        <w:numPr>
          <w:ilvl w:val="0"/>
          <w:numId w:val="1"/>
        </w:numPr>
        <w:shd w:val="clear" w:color="auto" w:fill="auto"/>
        <w:tabs>
          <w:tab w:val="left" w:pos="627"/>
        </w:tabs>
        <w:spacing w:after="520"/>
        <w:ind w:left="620" w:hanging="440"/>
      </w:pPr>
      <w:r>
        <w:t xml:space="preserve">Predmet, cíle a predpokladane vysledky projektu jsou stanoveny v </w:t>
      </w:r>
      <w:r>
        <w:rPr>
          <w:b/>
          <w:bCs/>
        </w:rPr>
        <w:t>Závazných parametrech řešení projektu</w:t>
      </w:r>
      <w:r>
        <w:t>, které jsou schvalenym navrhem projek</w:t>
      </w:r>
      <w:r>
        <w:t>tu ve smyslu § 9 odst. 2 zákona o podpore vyzkumu, experimentalního vyvoje a inovací, které tvon pnlohu teto Smlouvy (dale jen „Závazné parametry projektu“) jako její nedílnou součást.</w:t>
      </w:r>
    </w:p>
    <w:p w:rsidR="006E209D" w:rsidRDefault="00B147CA">
      <w:pPr>
        <w:pStyle w:val="Zkladntext1"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  <w:spacing w:after="260"/>
        <w:jc w:val="left"/>
      </w:pPr>
      <w:r>
        <w:rPr>
          <w:b/>
          <w:bCs/>
          <w:color w:val="FFFFFF"/>
        </w:rPr>
        <w:t>ČLÁNEK 2</w:t>
      </w:r>
    </w:p>
    <w:p w:rsidR="006E209D" w:rsidRDefault="00B147CA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Osoba odpovědná za řešení projektu a další účastníci</w:t>
      </w:r>
    </w:p>
    <w:p w:rsidR="006E209D" w:rsidRDefault="00B147CA">
      <w:pPr>
        <w:pStyle w:val="Zkladntext1"/>
        <w:numPr>
          <w:ilvl w:val="1"/>
          <w:numId w:val="1"/>
        </w:numPr>
        <w:shd w:val="clear" w:color="auto" w:fill="auto"/>
        <w:tabs>
          <w:tab w:val="left" w:pos="672"/>
        </w:tabs>
        <w:spacing w:after="510"/>
        <w:ind w:left="600" w:hanging="440"/>
      </w:pPr>
      <w:r>
        <w:t>Řešitel</w:t>
      </w:r>
      <w:hyperlink w:anchor="bookmark2" w:tooltip="Current Document">
        <w:r>
          <w:rPr>
            <w:vertAlign w:val="superscript"/>
          </w:rPr>
          <w:t>1</w:t>
        </w:r>
        <w:r>
          <w:t xml:space="preserve"> </w:t>
        </w:r>
      </w:hyperlink>
      <w:r>
        <w:t>- clen nebo členka řešitelského týmu hlavního příjemce, osoba odpovědná hlavnímu příjemci za odbornou úroveň projektu a další účastníci</w:t>
      </w:r>
      <w:hyperlink w:anchor="bookmark3" w:tooltip="Current Document">
        <w:r>
          <w:rPr>
            <w:vertAlign w:val="superscript"/>
          </w:rPr>
          <w:t>2</w:t>
        </w:r>
      </w:hyperlink>
      <w:r>
        <w:t xml:space="preserve"> jsou uveden</w:t>
      </w:r>
      <w:r>
        <w:t xml:space="preserve">i v Zavazných parametrech přojektu. Řešitel musí mít minimální úvazek na řešení přojektu </w:t>
      </w:r>
      <w:r>
        <w:rPr>
          <w:b/>
          <w:bCs/>
        </w:rPr>
        <w:t xml:space="preserve">0,2 </w:t>
      </w:r>
      <w:r>
        <w:t>za řok.</w:t>
      </w:r>
    </w:p>
    <w:p w:rsidR="006E209D" w:rsidRDefault="00B147C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3</w:t>
      </w:r>
    </w:p>
    <w:p w:rsidR="006E209D" w:rsidRDefault="00B147C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Termíny zahájení a ukončení řešení projektu</w:t>
      </w:r>
    </w:p>
    <w:p w:rsidR="006E209D" w:rsidRDefault="00B147CA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 xml:space="preserve">Resením projektu se rozumí cinnost hlavního príjemce nebo dalsích úcastníků vedoucí k dosažení cílů a </w:t>
      </w:r>
      <w:r>
        <w:t>výsledků projektu.</w:t>
      </w:r>
    </w:p>
    <w:p w:rsidR="006E209D" w:rsidRDefault="00B147CA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Termíny zahojení resení a ukoncení projektu jsou stanoveny v Zavazných parametrech projektu.</w:t>
      </w:r>
    </w:p>
    <w:p w:rsidR="006E209D" w:rsidRDefault="00B147CA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 být zahájeno před termínem zahájení projektu.</w:t>
      </w:r>
    </w:p>
    <w:p w:rsidR="006E209D" w:rsidRDefault="00B147CA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10"/>
        <w:ind w:left="600" w:hanging="440"/>
      </w:pPr>
      <w:r>
        <w:t>Resení projektu musí být ukonceno nejpozdeji do termínu ukoncení projektu. V</w:t>
      </w:r>
      <w:r>
        <w:t xml:space="preserve"> tomto termínu musí být zároveň dosaženo cílů a výsledků projektu.</w:t>
      </w:r>
    </w:p>
    <w:p w:rsidR="006E209D" w:rsidRDefault="00B147C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4</w:t>
      </w:r>
    </w:p>
    <w:p w:rsidR="006E209D" w:rsidRDefault="00B147C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Náklady projektu</w:t>
      </w:r>
    </w:p>
    <w:p w:rsidR="006E209D" w:rsidRDefault="00B147CA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Uznané nákladý projektu jsou </w:t>
      </w:r>
      <w:r>
        <w:rPr>
          <w:b/>
          <w:bCs/>
        </w:rPr>
        <w:t xml:space="preserve">15 000 000 Kč </w:t>
      </w:r>
      <w:r>
        <w:t>(slový: patnáct milionů korun českých).</w:t>
      </w:r>
    </w:p>
    <w:p w:rsidR="006E209D" w:rsidRDefault="00B147CA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hlavnímu príjemci podporu az do výse </w:t>
      </w:r>
      <w:r>
        <w:rPr>
          <w:b/>
          <w:bCs/>
        </w:rPr>
        <w:t xml:space="preserve">15 000 000 Kč </w:t>
      </w:r>
      <w:r>
        <w:t>(slovy:</w:t>
      </w:r>
      <w:r>
        <w:t xml:space="preserve"> patnáct milionů korun českých).</w:t>
      </w:r>
    </w:p>
    <w:p w:rsidR="006E209D" w:rsidRDefault="00B147CA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06"/>
        <w:ind w:left="600" w:hanging="440"/>
      </w:pPr>
      <w:r>
        <w:t xml:space="preserve">Intenzita podpory nesmí presahnout </w:t>
      </w:r>
      <w:r>
        <w:rPr>
          <w:b/>
          <w:bCs/>
        </w:rPr>
        <w:t xml:space="preserve">100 % </w:t>
      </w:r>
      <w:r>
        <w:t>(slovy: jedno sto procent) z celkove uznaných nákladů projektu.</w:t>
      </w:r>
    </w:p>
    <w:p w:rsidR="006E209D" w:rsidRDefault="00B147C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5</w:t>
      </w:r>
    </w:p>
    <w:p w:rsidR="006E209D" w:rsidRDefault="00B147C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lastRenderedPageBreak/>
        <w:t>Poskytování podpory</w:t>
      </w:r>
    </w:p>
    <w:p w:rsidR="006E209D" w:rsidRDefault="00B147CA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>Poskytovatel poskytne hlavnímu príjemci podporu na resení projektu na zaklade teto Smlouv</w:t>
      </w:r>
      <w:r>
        <w:t>y a za podmínek v ní uvedených, a to včetně podpory určené k využití dalšími účastníky.</w:t>
      </w:r>
    </w:p>
    <w:p w:rsidR="006E209D" w:rsidRDefault="00B147CA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>Poskytovatel poskytne podporu, vcetne podpory urcene dalsím ucastníkum, prevodem z výdajoveho uctu poskytovatele na bankovní ucet hlavního príjemce uvedený v záhlaví te</w:t>
      </w:r>
      <w:r>
        <w:t>to Smlouvy.</w:t>
      </w:r>
    </w:p>
    <w:p w:rsidR="006E209D" w:rsidRDefault="00B147CA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>Poskytovatel se zavazuje poskytnout podporu jednorazove na kazdý príslusný rok resení ve výsi uvedene v Zavazných parametrech resení projektu, a to ve lhůit^ch stanovených zakonem č. 130/2002 Sb</w:t>
      </w:r>
      <w:hyperlink w:anchor="bookmark4" w:tooltip="Current Document">
        <w:r>
          <w:rPr>
            <w:vertAlign w:val="superscript"/>
          </w:rPr>
          <w:t>3</w:t>
        </w:r>
      </w:hyperlink>
      <w:r>
        <w:t xml:space="preserve"> .</w:t>
      </w:r>
    </w:p>
    <w:p w:rsidR="006E209D" w:rsidRDefault="00B147CA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200"/>
        <w:ind w:left="600" w:hanging="440"/>
      </w:pPr>
      <w:r>
        <w:t>Poskytovatel si v prípade zavedení rozpoctoveho provizoria nebo v prípade, ze dojde k regulaci cerp^ní státního rozpoctu</w:t>
      </w:r>
      <w:hyperlink w:anchor="bookmark5" w:tooltip="Current Document">
        <w:r>
          <w:rPr>
            <w:vertAlign w:val="superscript"/>
          </w:rPr>
          <w:t>4</w:t>
        </w:r>
      </w:hyperlink>
      <w:r>
        <w:t xml:space="preserve"> v dan^m roce resení, vyhrazuje právo zmenit výsi plateb nebo podporu nev</w:t>
      </w:r>
      <w:r>
        <w:t>yplatit v souladu s regulací a rozpočtovými pravidly.</w:t>
      </w:r>
    </w:p>
    <w:p w:rsidR="006E209D" w:rsidRDefault="00B147CA">
      <w:pPr>
        <w:pStyle w:val="Zkladntext1"/>
        <w:numPr>
          <w:ilvl w:val="0"/>
          <w:numId w:val="4"/>
        </w:numPr>
        <w:shd w:val="clear" w:color="auto" w:fill="auto"/>
        <w:tabs>
          <w:tab w:val="left" w:pos="632"/>
        </w:tabs>
        <w:spacing w:after="526"/>
        <w:ind w:left="600" w:hanging="420"/>
      </w:pPr>
      <w:r>
        <w:t xml:space="preserve">V případě, kdy hlavní příjemce nebo další účastník/účastníci poruší jakýkoliv závazek vyplývající z teto smlouvy, je poskytovatel oprávnen na zaklade písemného upozornění pozastavit hlavnímu příjemci </w:t>
      </w:r>
      <w:r>
        <w:t>poskytovaní podpory, a to az do doby, nez dojde ze strany hlavního príjemce nebo dalsího úcastníka/dalsích úcastníkú ke splnění vsech povinností vyplyvajících z teto smloúvy. Ustanovením tohoto odstavce nejsoú dotcena dalsí prava poskytovatele stanovena Sm</w:t>
      </w:r>
      <w:r>
        <w:t>loúvoú. Hlavnímú príjemci nebo dalsímú úcastníkú/dalsím úcastníkúm nenalezí náhrada skody ci jine újmy, ktera jim vznikne v dúsledkú prerúsení nebo zastavení poskytování podpory.</w:t>
      </w:r>
    </w:p>
    <w:p w:rsidR="006E209D" w:rsidRDefault="00B147C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  <w:jc w:val="left"/>
      </w:pPr>
      <w:r>
        <w:rPr>
          <w:b/>
          <w:bCs/>
          <w:color w:val="FFFFFF"/>
        </w:rPr>
        <w:t>ČLÁNEK 6</w:t>
      </w:r>
    </w:p>
    <w:p w:rsidR="006E209D" w:rsidRDefault="00B147C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Základní povinnosti hlavního příjemce</w:t>
      </w:r>
    </w:p>
    <w:p w:rsidR="006E209D" w:rsidRDefault="00B147CA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Hlavní príjemce je povinen dos</w:t>
      </w:r>
      <w:r>
        <w:t>ahnoút cílú a predpokladanych vysledkú projektú stanoveních v Závazných parametrech projektú, případně zajistit jejich dosažení dalšími účastníky.</w:t>
      </w:r>
    </w:p>
    <w:p w:rsidR="006E209D" w:rsidRDefault="00B147CA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Hlavní príjemce je oprávnen poskytnútoú podporú na zaklade Smloúvy prevest dalsím úcastníkúm ve vysi stanoven</w:t>
      </w:r>
      <w:r>
        <w:t>i v Zavaznych parametrech projektú, a to za podmínek, která zajistí naplnění účelú a podmínek této Smloúvy.</w:t>
      </w:r>
    </w:p>
    <w:p w:rsidR="006E209D" w:rsidRDefault="00B147CA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Podporú lze poúzít vyhradne na úhradú nebo pokrytí zpúsobilych nakladú projektú ve smyslú ústanovení § 2 odst. 2 písm. k) zákona c. 130/2002 Sb. úve</w:t>
      </w:r>
      <w:r>
        <w:t>denych v Zavaznych parametrech projektú, Zadávací dokúmentaci pro verájnoú soútez vyhlasenoú v roce 2022 a schváleních poskytovatelem ve veřejné soútěži ve výzkúmú, vývoji a inovacích.</w:t>
      </w:r>
    </w:p>
    <w:p w:rsidR="006E209D" w:rsidRDefault="00B147CA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Podpora nesmí byt poúzita na úhradú nakladú na porízení dloúhodobeho hm</w:t>
      </w:r>
      <w:r>
        <w:t>otného a nehmotného majetkú. Dloúhodobym hmotnym majetkem se rozúmí hmotny majetek, jehoz doba poúzitelnosti je delsí nez jeden rok a vstúpní cena právysúje castkú 80 000 Kč Dloúhodobym nehmotnym majetkem se rozúmí nehmotny majetek, jehoz doba poúzitelnost</w:t>
      </w:r>
      <w:r>
        <w:t>i je delší než jeden rok a vstúpní cena převyšúje částkú 60 000 Kč.</w:t>
      </w:r>
    </w:p>
    <w:p w:rsidR="006E209D" w:rsidRDefault="00B147CA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Hlavní príjemce je povinen postúpovat podle teto Smloúvy a odpovída za poúzití podpory, jakoz i za postúp pri rásení projektú v soúladú s podmínkami teto Smloúvy ze strany rásitele a další</w:t>
      </w:r>
      <w:r>
        <w:t>ch účastníků.</w:t>
      </w:r>
    </w:p>
    <w:p w:rsidR="006E209D" w:rsidRDefault="00B147CA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Hlavní príjemce nebo dalsí úcastník/úcastníci, kten vstoúpí do likvidace, nebo je proti nim vedeno rízení dle zákona c. 182/2006 Sb., o úpadkú a zpúsobech jeho rásení (insolvencní zakon), ve zn^ní pozdejsích prádpisú, nebo byl vúci nim vydan </w:t>
      </w:r>
      <w:r>
        <w:t xml:space="preserve">dosúd nesplaceny inkasní príkaz po prádchazejícím rozhodnútí Komise prohlasújícím, ze podpora je protiprávní a neslúcitelna s </w:t>
      </w:r>
      <w:r>
        <w:lastRenderedPageBreak/>
        <w:t>vnitrním trhem (cl. 1 odst. 4, písm. a) GBER), nebo se stanoú podnikem v obtízích ve smyslú cl. 2 odst. 18 GBER, jsoú povinni o te</w:t>
      </w:r>
      <w:r>
        <w:t>to skútecnosti bez zbytecneho odkladú poskytovatele písemně informovat.</w:t>
      </w:r>
    </w:p>
    <w:p w:rsidR="006E209D" w:rsidRDefault="00B147CA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  <w:sectPr w:rsidR="006E209D">
          <w:headerReference w:type="default" r:id="rId8"/>
          <w:footerReference w:type="default" r:id="rId9"/>
          <w:pgSz w:w="11900" w:h="16840"/>
          <w:pgMar w:top="2818" w:right="1107" w:bottom="1776" w:left="1112" w:header="0" w:footer="3" w:gutter="0"/>
          <w:pgNumType w:start="1"/>
          <w:cols w:space="720"/>
          <w:noEndnote/>
          <w:docGrid w:linePitch="360"/>
        </w:sectPr>
      </w:pPr>
      <w:r>
        <w:t>Hlavní príjemce a dalsí úcastník/úcastníci, podílející se na rásení projektú, jsoú povinni písemne informovat poskytovatele o zm^n^ch, která se dotykají nebo mohoú dotykat plnení podmínek vyplyvajících z teto Smloúvy, ne</w:t>
      </w:r>
      <w:r>
        <w:t>bo která by mohly mít vliv na rásení projektú, zejména zm^ny dotýkající se jeho právní súbjektivity (osobnosti), údajú k prokazaní zpúsobilosti hlavního príjemce, zm^ny v rásitelskem týmú, právod financních prostrádkú mezi jednotlivými schváleními polozkam</w:t>
      </w:r>
      <w:r>
        <w:t>i úznanych nakladú, atd., a to s dostatecnym casovym</w:t>
      </w:r>
    </w:p>
    <w:p w:rsidR="006E209D" w:rsidRDefault="00B147CA">
      <w:pPr>
        <w:pStyle w:val="Zkladntext1"/>
        <w:shd w:val="clear" w:color="auto" w:fill="auto"/>
        <w:ind w:left="600" w:firstLine="20"/>
      </w:pPr>
      <w:r>
        <w:lastRenderedPageBreak/>
        <w:t>předstihem před provedením takové; změny, nejpozději vsak do 7 (slovy: sedmi) kalendářních dnů ode dne, kdy se o takové skutečnosti hlavní příjemce a další účastník/účastníci dozvěděli.</w:t>
      </w:r>
    </w:p>
    <w:p w:rsidR="006E209D" w:rsidRDefault="00B147CA">
      <w:pPr>
        <w:pStyle w:val="Zkladntext1"/>
        <w:numPr>
          <w:ilvl w:val="0"/>
          <w:numId w:val="5"/>
        </w:numPr>
        <w:shd w:val="clear" w:color="auto" w:fill="auto"/>
        <w:tabs>
          <w:tab w:val="left" w:pos="649"/>
        </w:tabs>
        <w:ind w:left="600" w:hanging="420"/>
      </w:pPr>
      <w:r>
        <w:t>Hlavní příjemce a</w:t>
      </w:r>
      <w:r>
        <w:t xml:space="preserve"> další účastník/účastníci jsou povinni po celou dobu řešení projektu splňovat podmínky stanoveni Zadavací dokumentací přo veřejnou soutez vyhlasenou v řoce 2022, kteřá je dostupná na webových střánkách poskytovatele.</w:t>
      </w:r>
    </w:p>
    <w:p w:rsidR="006E209D" w:rsidRDefault="00B147CA">
      <w:pPr>
        <w:pStyle w:val="Zkladntext1"/>
        <w:numPr>
          <w:ilvl w:val="0"/>
          <w:numId w:val="5"/>
        </w:numPr>
        <w:shd w:val="clear" w:color="auto" w:fill="auto"/>
        <w:tabs>
          <w:tab w:val="left" w:pos="649"/>
        </w:tabs>
        <w:spacing w:after="510"/>
        <w:ind w:left="600" w:hanging="420"/>
      </w:pPr>
      <w:r>
        <w:t xml:space="preserve">Hlavní příjemce je dale povinen </w:t>
      </w:r>
      <w:r>
        <w:t xml:space="preserve">postupovat podle Vseobecnych podmínek (platných přo veřejnou soutez vyhlasenou v řoce 2022), kteře jsou dostupne na webovych stř^nk^ch poskytovatele (dale jen „Vseobecne podmínky“). Hlavní příjemce přohlasuje, Ze jsou mu tyto Vseobecne podmínky znamy a je </w:t>
      </w:r>
      <w:r>
        <w:t>si vedom toho, Ze z nich vyplyvají přava a závazky přo obe smluvní střany. Obsahuje-li Smlouva uipřavu odlisnou od Vseobecnych podmínek ci Zavaznych pařametřu řesení přojektu, použijí se přednostní ustanovení Smlouvy, dale ustanovení Všeobecných podmínek a</w:t>
      </w:r>
      <w:r>
        <w:t xml:space="preserve"> dále Závazných pařametřů řešení přojektu.</w:t>
      </w:r>
    </w:p>
    <w:p w:rsidR="006E209D" w:rsidRDefault="00B147C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7</w:t>
      </w:r>
    </w:p>
    <w:p w:rsidR="006E209D" w:rsidRDefault="00B147C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Vykazování způsobilých výdajů projektu</w:t>
      </w:r>
    </w:p>
    <w:p w:rsidR="006E209D" w:rsidRDefault="00B147CA">
      <w:pPr>
        <w:pStyle w:val="Zkladntext1"/>
        <w:numPr>
          <w:ilvl w:val="0"/>
          <w:numId w:val="6"/>
        </w:numPr>
        <w:shd w:val="clear" w:color="auto" w:fill="auto"/>
        <w:tabs>
          <w:tab w:val="left" w:pos="649"/>
        </w:tabs>
        <w:ind w:left="600" w:hanging="420"/>
      </w:pPr>
      <w:r>
        <w:t xml:space="preserve">Vydaj, kteřy lze uznat za vydaj přojektu musí skutecne vzniknout, byt vynalozen, zaznamenan na bankovních uctech ci v pokladní hlavního příjemce financní podpořy </w:t>
      </w:r>
      <w:r>
        <w:t>nebo dalsích ucastníku, byt identifikovatelný a kontřolovatelny a musí byt dolozitelny ořiginaly ucetních dokladu ve smyslu § 11 zakona c. 563/1991 Sb., o ucetnictví, ve zn^ní pozdejsích předpisu, řesp. ořiginaly jinych dokladu ekvivalentní přůikazní hodno</w:t>
      </w:r>
      <w:r>
        <w:t>ty. Kazdy ořiginal řelevantního ucetního dokladu je hlavní příjemce povinen oznacit (řazítko, text apod.), ze se jedna o vydaj financovaný z přojektu QK23020056.</w:t>
      </w:r>
    </w:p>
    <w:p w:rsidR="006E209D" w:rsidRDefault="00B147CA">
      <w:pPr>
        <w:pStyle w:val="Zkladntext1"/>
        <w:numPr>
          <w:ilvl w:val="0"/>
          <w:numId w:val="6"/>
        </w:numPr>
        <w:shd w:val="clear" w:color="auto" w:fill="auto"/>
        <w:tabs>
          <w:tab w:val="left" w:pos="649"/>
        </w:tabs>
        <w:spacing w:after="526"/>
        <w:ind w:left="600" w:hanging="420"/>
      </w:pPr>
      <w:r>
        <w:t>Podřobnosti vykazovaní a vyuctovaní nakladu přojektu jsou stanoveny Vseobecnymi podmínkami.</w:t>
      </w:r>
    </w:p>
    <w:p w:rsidR="006E209D" w:rsidRDefault="00B147C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</w:t>
      </w:r>
      <w:r>
        <w:rPr>
          <w:b/>
          <w:bCs/>
          <w:color w:val="FFFFFF"/>
        </w:rPr>
        <w:t>ÁNEK 8</w:t>
      </w:r>
    </w:p>
    <w:p w:rsidR="006E209D" w:rsidRDefault="00B147C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Zveřejňování výsledků a práva k výsledkům projektu</w:t>
      </w:r>
    </w:p>
    <w:p w:rsidR="006E209D" w:rsidRDefault="00B147CA">
      <w:pPr>
        <w:pStyle w:val="Zkladntext1"/>
        <w:numPr>
          <w:ilvl w:val="0"/>
          <w:numId w:val="7"/>
        </w:numPr>
        <w:shd w:val="clear" w:color="auto" w:fill="auto"/>
        <w:tabs>
          <w:tab w:val="left" w:pos="649"/>
        </w:tabs>
        <w:ind w:left="600" w:hanging="420"/>
      </w:pPr>
      <w:r>
        <w:t>Hlavní příjemce a dalsí ucastník/ucastníci jsou povinni zveřejňovat vysledky vyzkumneho řesení v souladu s Přogřamem ZEMĚ. Za splnění teto povinnosti ze střany dalsích ucastníku přojektu odpovídá hl</w:t>
      </w:r>
      <w:r>
        <w:t>avní příjemce.</w:t>
      </w:r>
    </w:p>
    <w:p w:rsidR="006E209D" w:rsidRDefault="00B147CA">
      <w:pPr>
        <w:pStyle w:val="Zkladntext1"/>
        <w:numPr>
          <w:ilvl w:val="0"/>
          <w:numId w:val="7"/>
        </w:numPr>
        <w:shd w:val="clear" w:color="auto" w:fill="auto"/>
        <w:tabs>
          <w:tab w:val="left" w:pos="649"/>
        </w:tabs>
        <w:spacing w:after="530"/>
        <w:ind w:left="600" w:hanging="420"/>
      </w:pPr>
      <w:r>
        <w:t>Přístupová přava k vysledkum a vyuzití vysledku z řesení přojektu je upřaveno Vseobecnymi podmínkami.</w:t>
      </w:r>
    </w:p>
    <w:p w:rsidR="006E209D" w:rsidRDefault="00B147C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9</w:t>
      </w:r>
    </w:p>
    <w:p w:rsidR="006E209D" w:rsidRDefault="00B147C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Změny Smlouvy a projektu</w:t>
      </w:r>
    </w:p>
    <w:p w:rsidR="006E209D" w:rsidRDefault="00B147CA">
      <w:pPr>
        <w:pStyle w:val="Zkladntext1"/>
        <w:numPr>
          <w:ilvl w:val="0"/>
          <w:numId w:val="8"/>
        </w:numPr>
        <w:shd w:val="clear" w:color="auto" w:fill="auto"/>
        <w:tabs>
          <w:tab w:val="left" w:pos="654"/>
        </w:tabs>
        <w:spacing w:after="220"/>
        <w:ind w:left="600" w:hanging="420"/>
      </w:pPr>
      <w:r>
        <w:t>Smlouva muze byt dopl^ov^na, upřavov^na a m^n^na pouze písemnymi po sobe císlovanymi</w:t>
      </w:r>
    </w:p>
    <w:p w:rsidR="006E209D" w:rsidRDefault="00B147CA">
      <w:pPr>
        <w:pStyle w:val="Zkladntext1"/>
        <w:shd w:val="clear" w:color="auto" w:fill="auto"/>
        <w:ind w:left="600" w:firstLine="20"/>
        <w:jc w:val="left"/>
      </w:pPr>
      <w:r>
        <w:t xml:space="preserve">dodatky k této </w:t>
      </w:r>
      <w:r>
        <w:t>Smlouvě, podepsanými oprávněnými zástupci smluvních stran.</w:t>
      </w:r>
    </w:p>
    <w:p w:rsidR="006E209D" w:rsidRDefault="00B147CA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ind w:left="600" w:hanging="420"/>
      </w:pPr>
      <w:r>
        <w:t xml:space="preserve">Závazné parametry projektu lze měnit na základě žádosti hlavního příjemce provedením změny </w:t>
      </w:r>
      <w:r>
        <w:lastRenderedPageBreak/>
        <w:t>v informačním systému ISTA a doručením nových Zavazných parametru hlavnímu příjemci.</w:t>
      </w:r>
    </w:p>
    <w:p w:rsidR="006E209D" w:rsidRDefault="00B147CA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ind w:left="600" w:hanging="420"/>
      </w:pPr>
      <w:r>
        <w:t>Smlouvu a Zavazne par</w:t>
      </w:r>
      <w:r>
        <w:t>ametry projektu lze m^nit pouze v odůvodnených prípadech. Nad ramec Programu ZEMĚ a nad rámec vysledku verejne souteze na projekty ve vyzkumu, vyvoji a inovacích v rámci Programu ZEMĚ lze vsak Smlouvu m^nit jen z duvodu uvedenych v cl. 5 odst. 5.4. této Sm</w:t>
      </w:r>
      <w:r>
        <w:t>louvy.</w:t>
      </w:r>
    </w:p>
    <w:p w:rsidR="006E209D" w:rsidRDefault="00B147CA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ind w:left="600" w:hanging="420"/>
      </w:pPr>
      <w:r>
        <w:t>Písemny n^vrh na zmeny ke Smlouvá nebo zadost o zmenu Zavaznych parametru projektu musí byt doruceny poskytovateli v dostatecn^m prádstihu pred ocekavanou realizací zadane zmeny tak, aby mohl byt navrh poskytovatelem nalezite posouzen a v pnpade jeh</w:t>
      </w:r>
      <w:r>
        <w:t>o akceptace mohla byt zmena provedena, zpravidla do 60 kalendarních dnu pred stanoveném a poskytovatelem schvalenym termínem ukoncení rásení projektu, nebo neprodleni po te, co se hlavní pnjemce o nutnosti zmeny dozvedel. Tímto ustanovením není dotcena zak</w:t>
      </w:r>
      <w:r>
        <w:t>onna povinnost podávat poskytovateli informace o zmen^ch, která se dotýkají jeho právní subjektivity (osobnosti), udaju k prokazaní zpťisobilosti, nebo která by mohly mít vliv na řešení projektu</w:t>
      </w:r>
      <w:r>
        <w:rPr>
          <w:vertAlign w:val="superscript"/>
        </w:rPr>
        <w:t>5</w:t>
      </w:r>
      <w:r>
        <w:t xml:space="preserve"> .</w:t>
      </w:r>
    </w:p>
    <w:p w:rsidR="006E209D" w:rsidRDefault="00B147CA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ind w:left="600" w:hanging="420"/>
      </w:pPr>
      <w:r>
        <w:t>Pokud zmena spodv^ ve zmene ci snízení Zavaznych parametru</w:t>
      </w:r>
      <w:r>
        <w:t xml:space="preserve"> projektu, je poskytovatel oprávněn poměrně snížit částku poskytnuté podpory.</w:t>
      </w:r>
    </w:p>
    <w:p w:rsidR="006E209D" w:rsidRDefault="00B147CA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ind w:left="600" w:hanging="420"/>
      </w:pPr>
      <w:r>
        <w:t>Písemny navrh smlouvy, jakoz i informace o zm^n^ch</w:t>
      </w:r>
      <w:hyperlink w:anchor="bookmark6" w:tooltip="Current Document">
        <w:r>
          <w:rPr>
            <w:vertAlign w:val="superscript"/>
          </w:rPr>
          <w:t>6</w:t>
        </w:r>
      </w:hyperlink>
      <w:r>
        <w:t xml:space="preserve"> podava další ucastník/ucastníci poskytovateli prostrádnictvím hlavního p</w:t>
      </w:r>
      <w:r>
        <w:t>njemce. V pnpade porusení povinnosti informovat poskytovatele o zm^n^ch projektu ma poskytovatel právo postupovat v souladu s cl. 5 odst. 5.5. této Smlouvy.</w:t>
      </w:r>
    </w:p>
    <w:p w:rsidR="006E209D" w:rsidRDefault="00B147CA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ind w:left="600" w:hanging="420"/>
      </w:pPr>
      <w:r>
        <w:t xml:space="preserve">Mezi zmeny nevyzadující vyhotoveni dodatku ke Smlouve, podlehající pouze oznamovací povinnosti </w:t>
      </w:r>
      <w:r>
        <w:t>poskytovateli</w:t>
      </w:r>
      <w:hyperlink w:anchor="bookmark7" w:tooltip="Current Document">
        <w:r>
          <w:rPr>
            <w:vertAlign w:val="superscript"/>
          </w:rPr>
          <w:t>7</w:t>
        </w:r>
      </w:hyperlink>
      <w:r>
        <w:t xml:space="preserve"> , patn zejmena: administrativní zmeny (zmeny kontaktních udaju), zmena sídla a nazvu organizace, zmena císla uctu, zmena statutárního organu, a jakákoliv dalsí zmena, která nema vliv na r</w:t>
      </w:r>
      <w:r>
        <w:t>ásení projektu, anebo která se nedotyka právní subjektivity (právní osobnosti) hlavního příjemce a dalšího účastníka/dalších účastníků.</w:t>
      </w:r>
    </w:p>
    <w:p w:rsidR="006E209D" w:rsidRDefault="00B147CA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spacing w:after="510"/>
        <w:ind w:left="600" w:hanging="420"/>
      </w:pPr>
      <w:r>
        <w:t>Ústní dohody nejsou pro smluvní strany závazné.</w:t>
      </w:r>
    </w:p>
    <w:p w:rsidR="006E209D" w:rsidRDefault="00B147C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10</w:t>
      </w:r>
    </w:p>
    <w:p w:rsidR="006E209D" w:rsidRDefault="00B147C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Kontroly</w:t>
      </w:r>
    </w:p>
    <w:p w:rsidR="006E209D" w:rsidRDefault="00B147CA">
      <w:pPr>
        <w:pStyle w:val="Zkladntext1"/>
        <w:numPr>
          <w:ilvl w:val="0"/>
          <w:numId w:val="9"/>
        </w:numPr>
        <w:shd w:val="clear" w:color="auto" w:fill="auto"/>
        <w:tabs>
          <w:tab w:val="left" w:pos="608"/>
        </w:tabs>
        <w:ind w:left="600" w:hanging="600"/>
      </w:pPr>
      <w:r>
        <w:t>Poskytovatel je oprávnen provadet kontrolu plnění pod</w:t>
      </w:r>
      <w:r>
        <w:t>mínek teto Smlouvy v souladu s ustanovením § 13 zakona c. 130/2002 Sb., dale podle zákona c. 320/2001 Sb., o financní kontrole ve verejne správe a o zmene nekterych z^konťi (zakon o financní kontrole), ve zn^ní pozdejsích prádpisu, podle zakona c. 255/2012</w:t>
      </w:r>
      <w:r>
        <w:t xml:space="preserve"> Sb., o kontrole (kontrolní rád), ve zn^ní pozdějších předpisů, a s právními normami s tím souvisejícími.</w:t>
      </w:r>
    </w:p>
    <w:p w:rsidR="006E209D" w:rsidRDefault="00B147CA">
      <w:pPr>
        <w:pStyle w:val="Zkladntext1"/>
        <w:numPr>
          <w:ilvl w:val="0"/>
          <w:numId w:val="9"/>
        </w:numPr>
        <w:shd w:val="clear" w:color="auto" w:fill="auto"/>
        <w:tabs>
          <w:tab w:val="left" w:pos="608"/>
        </w:tabs>
        <w:ind w:left="600" w:hanging="600"/>
      </w:pPr>
      <w:r>
        <w:t>Hlavní příjemce a další účastník/účastníci jsou povinni umožnit poskytovateli provést kontrolu ve smyslu ustanovení 10.1 tohoto článku.</w:t>
      </w:r>
    </w:p>
    <w:p w:rsidR="006E209D" w:rsidRDefault="00B147CA">
      <w:pPr>
        <w:pStyle w:val="Zkladntext1"/>
        <w:numPr>
          <w:ilvl w:val="0"/>
          <w:numId w:val="9"/>
        </w:numPr>
        <w:shd w:val="clear" w:color="auto" w:fill="auto"/>
        <w:tabs>
          <w:tab w:val="left" w:pos="608"/>
        </w:tabs>
        <w:ind w:left="600" w:hanging="600"/>
      </w:pPr>
      <w:r>
        <w:t>Dalsí podmínky</w:t>
      </w:r>
      <w:r>
        <w:t xml:space="preserve"> provadení kontrol poskytovatelem u hlavního pnjemce a dalsího účastníka/dalších účastníků jsou stanoveny Všeobecnými podmínkami.</w:t>
      </w:r>
    </w:p>
    <w:p w:rsidR="006E209D" w:rsidRDefault="00B147C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11</w:t>
      </w:r>
    </w:p>
    <w:p w:rsidR="006E209D" w:rsidRDefault="00B147C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Vyúčtování a finanční vypořádání dotace</w:t>
      </w:r>
    </w:p>
    <w:p w:rsidR="006E209D" w:rsidRDefault="00B147CA">
      <w:pPr>
        <w:pStyle w:val="Zkladntext1"/>
        <w:numPr>
          <w:ilvl w:val="0"/>
          <w:numId w:val="10"/>
        </w:numPr>
        <w:shd w:val="clear" w:color="auto" w:fill="auto"/>
        <w:tabs>
          <w:tab w:val="left" w:pos="618"/>
        </w:tabs>
        <w:ind w:left="600" w:hanging="600"/>
      </w:pPr>
      <w:r>
        <w:t xml:space="preserve">Hlavní příjemce provede za každý' rok řešení projektu vyúčtování nakladu a </w:t>
      </w:r>
      <w:r>
        <w:t xml:space="preserve">výdajů vynaložených na řešení projektů, včetně nakladu a výdajů vynaložených dalšími účastníky a vyúčtovaní poskytnuti podpory s poskytovatelem, ktere predloží spolu s průbežnou zprávou </w:t>
      </w:r>
      <w:r>
        <w:lastRenderedPageBreak/>
        <w:t>projektu.</w:t>
      </w:r>
    </w:p>
    <w:p w:rsidR="006E209D" w:rsidRDefault="00B147CA">
      <w:pPr>
        <w:pStyle w:val="Zkladntext1"/>
        <w:numPr>
          <w:ilvl w:val="0"/>
          <w:numId w:val="10"/>
        </w:numPr>
        <w:shd w:val="clear" w:color="auto" w:fill="auto"/>
        <w:tabs>
          <w:tab w:val="left" w:pos="618"/>
        </w:tabs>
        <w:ind w:left="600" w:hanging="600"/>
      </w:pPr>
      <w:r>
        <w:t xml:space="preserve">Zaverečne vyučtovaní nakladu a v^dajůi projektu, žahrnující </w:t>
      </w:r>
      <w:r>
        <w:t>finanční vyporádam ža cele období řešení projektu, předloží hlavní příjemce společně se žávěrečnou žprávou projektu.</w:t>
      </w:r>
    </w:p>
    <w:p w:rsidR="006E209D" w:rsidRDefault="00B147CA">
      <w:pPr>
        <w:pStyle w:val="Zkladntext1"/>
        <w:numPr>
          <w:ilvl w:val="0"/>
          <w:numId w:val="10"/>
        </w:numPr>
        <w:shd w:val="clear" w:color="auto" w:fill="auto"/>
        <w:tabs>
          <w:tab w:val="left" w:pos="618"/>
        </w:tabs>
        <w:spacing w:after="510"/>
        <w:ind w:left="600" w:hanging="600"/>
      </w:pPr>
      <w:r>
        <w:t>Finanční vyporádam dotace poskytnuti na žaklade teto Smlouvy se rídí žakonem č. 218/2000 Sb., o rožpočtovýčh pravidlečh</w:t>
      </w:r>
      <w:hyperlink w:anchor="bookmark8" w:tooltip="Current Document">
        <w:r>
          <w:rPr>
            <w:vertAlign w:val="superscript"/>
          </w:rPr>
          <w:t>8</w:t>
        </w:r>
      </w:hyperlink>
      <w:r>
        <w:t xml:space="preserve"> a jeho prováděčími předpisy</w:t>
      </w:r>
      <w:hyperlink w:anchor="bookmark9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6E209D" w:rsidRDefault="00B147C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12</w:t>
      </w:r>
    </w:p>
    <w:p w:rsidR="006E209D" w:rsidRDefault="00B147C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Důsledky porušení podmínek Smlouvy</w:t>
      </w:r>
    </w:p>
    <w:p w:rsidR="006E209D" w:rsidRDefault="00B147CA">
      <w:pPr>
        <w:pStyle w:val="Zkladntext1"/>
        <w:numPr>
          <w:ilvl w:val="0"/>
          <w:numId w:val="11"/>
        </w:numPr>
        <w:shd w:val="clear" w:color="auto" w:fill="auto"/>
        <w:tabs>
          <w:tab w:val="left" w:pos="613"/>
        </w:tabs>
        <w:ind w:left="600" w:hanging="600"/>
      </w:pPr>
      <w:r>
        <w:t>Porusení podmínek teto Smlouvy hlavním príjemcem je neoprávnenym použitím, poskytnutích pr</w:t>
      </w:r>
      <w:r>
        <w:t>ostredku podle ustanovení § 3 plsm. e) žakona č. 218/2000 Sb., o rožpočtovych pravidlech, která je porusením rožpočtove kažne podle ustanoveni § 44 odst. 1 písm. b), případně písm. j) téhož žákona a bude řešeno podle tohoto žákona</w:t>
      </w:r>
      <w:hyperlink w:anchor="bookmark10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6E209D" w:rsidRDefault="00B147CA">
      <w:pPr>
        <w:pStyle w:val="Zkladntext1"/>
        <w:numPr>
          <w:ilvl w:val="0"/>
          <w:numId w:val="11"/>
        </w:numPr>
        <w:shd w:val="clear" w:color="auto" w:fill="auto"/>
        <w:tabs>
          <w:tab w:val="left" w:pos="613"/>
        </w:tabs>
        <w:spacing w:after="530"/>
        <w:ind w:left="600" w:hanging="600"/>
      </w:pPr>
      <w:r>
        <w:t>Pokud tato Smlouva nebo žakon žaklada povinnost vrácení poskytnutích prostredku, nebo pokud na žaklade teto Smlouvy poskytovatel požaduje vrácení poskytnutích prostredku a hlavní príjemce tuto povinnost nesplní, dopustí se</w:t>
      </w:r>
      <w:r>
        <w:t xml:space="preserve"> žadržení poskytnutích prostredku podle ustanovení § 3 písm. f) žakona č. 218/2000 Sb., o rožpočtovych pravidlech, která je porusením rožpočtove kažne podle ustanovení § 44 odst. 1 písm. b), téhož žakona a bude ráseno podle tohoto žákona.</w:t>
      </w:r>
    </w:p>
    <w:p w:rsidR="006E209D" w:rsidRDefault="00B147C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13</w:t>
      </w:r>
    </w:p>
    <w:p w:rsidR="006E209D" w:rsidRDefault="00B147C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Používa</w:t>
      </w:r>
      <w:r>
        <w:rPr>
          <w:b/>
          <w:bCs/>
        </w:rPr>
        <w:t>né právo</w:t>
      </w:r>
    </w:p>
    <w:p w:rsidR="006E209D" w:rsidRDefault="00B147CA">
      <w:pPr>
        <w:pStyle w:val="Zkladntext1"/>
        <w:numPr>
          <w:ilvl w:val="0"/>
          <w:numId w:val="12"/>
        </w:numPr>
        <w:shd w:val="clear" w:color="auto" w:fill="auto"/>
        <w:tabs>
          <w:tab w:val="left" w:pos="613"/>
        </w:tabs>
        <w:ind w:left="600" w:hanging="600"/>
      </w:pPr>
      <w:r>
        <w:t>Tato Smlouva se řídí právem České republiky.</w:t>
      </w:r>
    </w:p>
    <w:p w:rsidR="006E209D" w:rsidRDefault="00B147CA">
      <w:pPr>
        <w:pStyle w:val="Zkladntext1"/>
        <w:numPr>
          <w:ilvl w:val="0"/>
          <w:numId w:val="12"/>
        </w:numPr>
        <w:shd w:val="clear" w:color="auto" w:fill="auto"/>
        <w:tabs>
          <w:tab w:val="left" w:pos="613"/>
        </w:tabs>
        <w:spacing w:after="506"/>
        <w:ind w:left="600" w:hanging="600"/>
      </w:pPr>
      <w:r>
        <w:t xml:space="preserve">Vžtahy, práva a povinnosti smluvních stran neupraveni touto Smlouvou nebo jejími prílohami se rídí žakonem č. 130/2002 Sb., žakonem č. 218/2000 Sb., o rožpočtovych pravidlech, žakonem č. 500/2004 Sb., </w:t>
      </w:r>
      <w:r>
        <w:t>správní rád, ve žn^ní poždejsích prádpisu, žakonem č. 89/2012 Sb., občanský žákoník, Rámcem a GBER.</w:t>
      </w:r>
    </w:p>
    <w:p w:rsidR="006E209D" w:rsidRDefault="00B147C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14</w:t>
      </w:r>
    </w:p>
    <w:p w:rsidR="006E209D" w:rsidRDefault="00B147CA">
      <w:pPr>
        <w:pStyle w:val="Zkladntext1"/>
        <w:shd w:val="clear" w:color="auto" w:fill="auto"/>
        <w:spacing w:after="220"/>
        <w:jc w:val="center"/>
      </w:pPr>
      <w:r>
        <w:rPr>
          <w:b/>
          <w:bCs/>
        </w:rPr>
        <w:t>Závěrečná ustanovení</w:t>
      </w:r>
    </w:p>
    <w:p w:rsidR="006E209D" w:rsidRDefault="00B147CA">
      <w:pPr>
        <w:pStyle w:val="Zkladntext1"/>
        <w:numPr>
          <w:ilvl w:val="0"/>
          <w:numId w:val="13"/>
        </w:numPr>
        <w:shd w:val="clear" w:color="auto" w:fill="auto"/>
        <w:tabs>
          <w:tab w:val="left" w:pos="625"/>
        </w:tabs>
        <w:ind w:left="600" w:hanging="600"/>
      </w:pPr>
      <w:r>
        <w:t>Hlavní příjemce prohlašuje a podpisem teto Smlouvy sveho zástupce nebo zástupců stvrzuje, Ze jím uvedené údaje, na jejichž zá</w:t>
      </w:r>
      <w:r>
        <w:t>klade je uzavřena tato Smlouva a má byt poskytnutá podpora poskytovatelem, jsou pravdivé a odpovídají skutečnosti.</w:t>
      </w:r>
    </w:p>
    <w:p w:rsidR="006E209D" w:rsidRDefault="00B147CA">
      <w:pPr>
        <w:pStyle w:val="Zkladntext1"/>
        <w:numPr>
          <w:ilvl w:val="0"/>
          <w:numId w:val="13"/>
        </w:numPr>
        <w:shd w:val="clear" w:color="auto" w:fill="auto"/>
        <w:tabs>
          <w:tab w:val="left" w:pos="625"/>
        </w:tabs>
        <w:ind w:left="600" w:hanging="600"/>
      </w:pPr>
      <w:r>
        <w:t>V souladu s GBER zajistí poskytovatel zápis udaju o rezimech podpory, jednotlivých podporách a udaje o jejich pnjemcích do souhrnného elektro</w:t>
      </w:r>
      <w:r>
        <w:t>nického systému verejne podpory. Hlavní príjemce a dalsl učastník/učastníci poskytnou nezbytnou součinnost a souhlasí se zverejnením údajů v tomto systému.</w:t>
      </w:r>
    </w:p>
    <w:p w:rsidR="006E209D" w:rsidRDefault="00B147CA">
      <w:pPr>
        <w:pStyle w:val="Zkladntext1"/>
        <w:numPr>
          <w:ilvl w:val="0"/>
          <w:numId w:val="13"/>
        </w:numPr>
        <w:shd w:val="clear" w:color="auto" w:fill="auto"/>
        <w:tabs>
          <w:tab w:val="left" w:pos="625"/>
        </w:tabs>
        <w:ind w:left="600" w:hanging="600"/>
      </w:pPr>
      <w:r>
        <w:t>Hlavní príjemce svym podpisem níze potvrzuje, ze souhlasí s tím, aby obraz Smlouvy vcetne jejích prí</w:t>
      </w:r>
      <w:r>
        <w:t xml:space="preserve">loh a prípadnych dodatku a metadata k teto Smlouvá byla uverejn^na v registru smluv v souladu se zákonem c. 340/2015 Sb., o zvlástních podmínkách ucinnosti nekterych smluv, </w:t>
      </w:r>
      <w:r>
        <w:lastRenderedPageBreak/>
        <w:t>uverejnování těchto smluv a o registru smluv (zákon o registru smluv), ve zn^ní poz</w:t>
      </w:r>
      <w:r>
        <w:t>dejsích predpisu. Smluvní strany se dohodly, ze podklady dle predchozí vety odesle za ucelem jejich zverejnení správci registru poskytovatel, tím není dotceno právo hlavního príjemce k jejich odeslání.</w:t>
      </w:r>
    </w:p>
    <w:p w:rsidR="006E209D" w:rsidRDefault="00B147CA">
      <w:pPr>
        <w:pStyle w:val="Zkladntext1"/>
        <w:numPr>
          <w:ilvl w:val="0"/>
          <w:numId w:val="13"/>
        </w:numPr>
        <w:shd w:val="clear" w:color="auto" w:fill="auto"/>
        <w:tabs>
          <w:tab w:val="left" w:pos="625"/>
        </w:tabs>
        <w:ind w:left="600" w:hanging="600"/>
      </w:pPr>
      <w:r>
        <w:t>Pri uzavrení Smlouvy o ucasti na resení projektu</w:t>
      </w:r>
      <w:hyperlink w:anchor="bookmark11" w:tooltip="Current Document">
        <w:r>
          <w:rPr>
            <w:vertAlign w:val="superscript"/>
          </w:rPr>
          <w:t>11</w:t>
        </w:r>
        <w:r>
          <w:t xml:space="preserve"> </w:t>
        </w:r>
      </w:hyperlink>
      <w:r>
        <w:t xml:space="preserve">hlavní príjemce potvrzuje, ze uverejní obraz Smlouvy vcetne jejích príloh a prípadnych dodatku a metadata k teto Smlouvá v registru smluv v souladu se zákonem c. 340/2015 Sb., o zvlástních podmínkách </w:t>
      </w:r>
      <w:r>
        <w:t>ucinnosti nekterych smluv, uverejnování těchto smluv a o registru smluv (zákon o registru smluv), ve zn^ní pozdejsích předpisů.</w:t>
      </w:r>
    </w:p>
    <w:p w:rsidR="006E209D" w:rsidRDefault="00B147CA">
      <w:pPr>
        <w:pStyle w:val="Zkladntext1"/>
        <w:numPr>
          <w:ilvl w:val="0"/>
          <w:numId w:val="13"/>
        </w:numPr>
        <w:shd w:val="clear" w:color="auto" w:fill="auto"/>
        <w:tabs>
          <w:tab w:val="left" w:pos="625"/>
        </w:tabs>
        <w:ind w:left="600" w:hanging="600"/>
      </w:pPr>
      <w:r>
        <w:t>Smlouva bude obema smluvními stranami podepsána elektronicky, nedohodnou-li smluvní strany jinak.</w:t>
      </w:r>
    </w:p>
    <w:p w:rsidR="006E209D" w:rsidRDefault="00B147CA">
      <w:pPr>
        <w:pStyle w:val="Zkladntext1"/>
        <w:numPr>
          <w:ilvl w:val="0"/>
          <w:numId w:val="13"/>
        </w:numPr>
        <w:shd w:val="clear" w:color="auto" w:fill="auto"/>
        <w:tabs>
          <w:tab w:val="left" w:pos="625"/>
        </w:tabs>
        <w:spacing w:after="526"/>
        <w:ind w:left="600" w:hanging="600"/>
      </w:pPr>
      <w:r>
        <w:t>Nedílnou součástí této Smlouvy</w:t>
      </w:r>
      <w:r>
        <w:t xml:space="preserve"> je příloha „Závazné parametry řešení projektu“.</w:t>
      </w:r>
    </w:p>
    <w:p w:rsidR="006E209D" w:rsidRDefault="00B147C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15</w:t>
      </w:r>
    </w:p>
    <w:p w:rsidR="006E209D" w:rsidRDefault="00B147CA">
      <w:pPr>
        <w:pStyle w:val="Zkladntext1"/>
        <w:shd w:val="clear" w:color="auto" w:fill="auto"/>
        <w:spacing w:after="180" w:line="269" w:lineRule="auto"/>
        <w:jc w:val="center"/>
      </w:pPr>
      <w:r>
        <w:rPr>
          <w:b/>
          <w:bCs/>
        </w:rPr>
        <w:t>Účinnost Smlouvy</w:t>
      </w:r>
    </w:p>
    <w:p w:rsidR="006E209D" w:rsidRDefault="00B147CA">
      <w:pPr>
        <w:pStyle w:val="Zkladntext1"/>
        <w:numPr>
          <w:ilvl w:val="0"/>
          <w:numId w:val="14"/>
        </w:numPr>
        <w:shd w:val="clear" w:color="auto" w:fill="auto"/>
        <w:tabs>
          <w:tab w:val="left" w:pos="625"/>
        </w:tabs>
        <w:spacing w:after="526" w:line="269" w:lineRule="auto"/>
        <w:ind w:left="600" w:hanging="600"/>
      </w:pPr>
      <w:r>
        <w:t>Tato Smlouva nabyvá ucinnosti dnem jejího zverejnení v Registru smluv</w:t>
      </w:r>
      <w:hyperlink w:anchor="bookmark12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>a pozbyvá ucinnosti splnením závazku a povinností sm</w:t>
      </w:r>
      <w:r>
        <w:t>luvních stran z ní vyplyvajících. Tím nejsou dotceny povinnosti vyplývající z právních předpisů</w:t>
      </w:r>
      <w:hyperlink w:anchor="bookmark13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6E209D" w:rsidRDefault="00B147C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  <w:jc w:val="left"/>
      </w:pPr>
      <w:r>
        <w:rPr>
          <w:b/>
          <w:bCs/>
          <w:color w:val="FFFFFF"/>
        </w:rPr>
        <w:t>POZNÁMKY</w:t>
      </w:r>
    </w:p>
    <w:p w:rsidR="006E209D" w:rsidRDefault="00B147CA">
      <w:pPr>
        <w:pStyle w:val="Zkladntext20"/>
        <w:numPr>
          <w:ilvl w:val="0"/>
          <w:numId w:val="15"/>
        </w:numPr>
        <w:shd w:val="clear" w:color="auto" w:fill="auto"/>
        <w:tabs>
          <w:tab w:val="left" w:pos="697"/>
        </w:tabs>
        <w:ind w:left="360"/>
      </w:pPr>
      <w:bookmarkStart w:id="2" w:name="bookmark3"/>
      <w:bookmarkStart w:id="3" w:name="bookmark2"/>
      <w:r>
        <w:t>§</w:t>
      </w:r>
      <w:bookmarkEnd w:id="2"/>
      <w:r>
        <w:t xml:space="preserve"> 9 odst. 1 písm. e) zákona č. 130/2002 Sb.</w:t>
      </w:r>
      <w:bookmarkEnd w:id="3"/>
    </w:p>
    <w:p w:rsidR="006E209D" w:rsidRDefault="00B147CA">
      <w:pPr>
        <w:pStyle w:val="Zkladntext20"/>
        <w:numPr>
          <w:ilvl w:val="0"/>
          <w:numId w:val="15"/>
        </w:numPr>
        <w:shd w:val="clear" w:color="auto" w:fill="auto"/>
        <w:tabs>
          <w:tab w:val="left" w:pos="697"/>
        </w:tabs>
        <w:ind w:left="360"/>
      </w:pPr>
      <w:bookmarkStart w:id="4" w:name="bookmark4"/>
      <w:r>
        <w:t>§</w:t>
      </w:r>
      <w:bookmarkEnd w:id="4"/>
      <w:r>
        <w:t xml:space="preserve"> 2 odst. 2 písm. j) zákona č. 130/2002 Sb.</w:t>
      </w:r>
    </w:p>
    <w:p w:rsidR="006E209D" w:rsidRDefault="00B147CA">
      <w:pPr>
        <w:pStyle w:val="Zkladntext20"/>
        <w:numPr>
          <w:ilvl w:val="0"/>
          <w:numId w:val="15"/>
        </w:numPr>
        <w:shd w:val="clear" w:color="auto" w:fill="auto"/>
        <w:tabs>
          <w:tab w:val="left" w:pos="697"/>
        </w:tabs>
        <w:ind w:left="360"/>
      </w:pPr>
      <w:bookmarkStart w:id="5" w:name="bookmark5"/>
      <w:r>
        <w:t>§</w:t>
      </w:r>
      <w:bookmarkEnd w:id="5"/>
      <w:r>
        <w:t xml:space="preserve"> 10 odst. 1 zákona č. 130/2002 Sb.</w:t>
      </w:r>
    </w:p>
    <w:p w:rsidR="006E209D" w:rsidRDefault="00B147CA">
      <w:pPr>
        <w:pStyle w:val="Zkladntext20"/>
        <w:numPr>
          <w:ilvl w:val="0"/>
          <w:numId w:val="15"/>
        </w:numPr>
        <w:shd w:val="clear" w:color="auto" w:fill="auto"/>
        <w:tabs>
          <w:tab w:val="left" w:pos="697"/>
        </w:tabs>
        <w:ind w:left="360"/>
      </w:pPr>
      <w:bookmarkStart w:id="6" w:name="bookmark6"/>
      <w:r>
        <w:t>§</w:t>
      </w:r>
      <w:bookmarkEnd w:id="6"/>
      <w:r>
        <w:t xml:space="preserve"> 25 odst. 8 zákona č. 218/2000 Sb. o rozpočtových pravidlech</w:t>
      </w:r>
    </w:p>
    <w:p w:rsidR="006E209D" w:rsidRDefault="00B147CA">
      <w:pPr>
        <w:pStyle w:val="Zkladntext20"/>
        <w:numPr>
          <w:ilvl w:val="0"/>
          <w:numId w:val="15"/>
        </w:numPr>
        <w:shd w:val="clear" w:color="auto" w:fill="auto"/>
        <w:tabs>
          <w:tab w:val="left" w:pos="697"/>
        </w:tabs>
        <w:ind w:left="360"/>
      </w:pPr>
      <w:bookmarkStart w:id="7" w:name="bookmark7"/>
      <w:r>
        <w:t>§</w:t>
      </w:r>
      <w:bookmarkEnd w:id="7"/>
      <w:r>
        <w:t xml:space="preserve"> 9 odst. 8 zákona č. 130/2002 Sb.</w:t>
      </w:r>
    </w:p>
    <w:p w:rsidR="006E209D" w:rsidRDefault="00B147CA">
      <w:pPr>
        <w:pStyle w:val="Zkladntext20"/>
        <w:numPr>
          <w:ilvl w:val="0"/>
          <w:numId w:val="15"/>
        </w:numPr>
        <w:shd w:val="clear" w:color="auto" w:fill="auto"/>
        <w:tabs>
          <w:tab w:val="left" w:pos="697"/>
        </w:tabs>
        <w:ind w:left="360"/>
      </w:pPr>
      <w:bookmarkStart w:id="8" w:name="bookmark8"/>
      <w:r>
        <w:t>§</w:t>
      </w:r>
      <w:bookmarkEnd w:id="8"/>
      <w:r>
        <w:t xml:space="preserve"> 9 odst. 8 zákona č. 130/2002 Sb.</w:t>
      </w:r>
    </w:p>
    <w:p w:rsidR="006E209D" w:rsidRDefault="00B147CA">
      <w:pPr>
        <w:pStyle w:val="Zkladntext20"/>
        <w:numPr>
          <w:ilvl w:val="0"/>
          <w:numId w:val="15"/>
        </w:numPr>
        <w:shd w:val="clear" w:color="auto" w:fill="auto"/>
        <w:tabs>
          <w:tab w:val="left" w:pos="697"/>
        </w:tabs>
        <w:ind w:left="360"/>
      </w:pPr>
      <w:bookmarkStart w:id="9" w:name="bookmark9"/>
      <w:r>
        <w:t>Č</w:t>
      </w:r>
      <w:bookmarkEnd w:id="9"/>
      <w:r>
        <w:t>l. 4 bod 2 písm. f) Všeobecných podmínek</w:t>
      </w:r>
    </w:p>
    <w:p w:rsidR="006E209D" w:rsidRDefault="00B147CA">
      <w:pPr>
        <w:pStyle w:val="Zkladntext20"/>
        <w:numPr>
          <w:ilvl w:val="0"/>
          <w:numId w:val="15"/>
        </w:numPr>
        <w:shd w:val="clear" w:color="auto" w:fill="auto"/>
        <w:tabs>
          <w:tab w:val="left" w:pos="697"/>
        </w:tabs>
        <w:ind w:left="360"/>
      </w:pPr>
      <w:bookmarkStart w:id="10" w:name="bookmark10"/>
      <w:r>
        <w:t>§</w:t>
      </w:r>
      <w:bookmarkEnd w:id="10"/>
      <w:r>
        <w:t xml:space="preserve"> 75 zákona č. 218/2000 Sb., o rozpočtových pra</w:t>
      </w:r>
      <w:r>
        <w:t>vidlech</w:t>
      </w:r>
    </w:p>
    <w:p w:rsidR="006E209D" w:rsidRDefault="00B147CA">
      <w:pPr>
        <w:pStyle w:val="Zkladntext20"/>
        <w:numPr>
          <w:ilvl w:val="0"/>
          <w:numId w:val="15"/>
        </w:numPr>
        <w:shd w:val="clear" w:color="auto" w:fill="auto"/>
        <w:tabs>
          <w:tab w:val="left" w:pos="697"/>
        </w:tabs>
        <w:ind w:left="360"/>
      </w:pPr>
      <w:r>
        <w:t>Vyhláska c. 367/2015 Sb., o zásadách a lhutách financního vyporádání vztahu se státním rozpoctem, státními</w:t>
      </w:r>
    </w:p>
    <w:p w:rsidR="006E209D" w:rsidRDefault="00B147CA">
      <w:pPr>
        <w:pStyle w:val="Zkladntext20"/>
        <w:shd w:val="clear" w:color="auto" w:fill="auto"/>
        <w:ind w:left="280"/>
        <w:jc w:val="center"/>
      </w:pPr>
      <w:bookmarkStart w:id="11" w:name="bookmark11"/>
      <w:r>
        <w:t>f</w:t>
      </w:r>
      <w:bookmarkEnd w:id="11"/>
      <w:r>
        <w:t>inančními aktivy a Národním fondem (vyhláška o finančním vypořádání), ve znění pozdějších předpisů</w:t>
      </w:r>
    </w:p>
    <w:p w:rsidR="006E209D" w:rsidRDefault="00B147CA">
      <w:pPr>
        <w:pStyle w:val="Zkladntext20"/>
        <w:numPr>
          <w:ilvl w:val="0"/>
          <w:numId w:val="15"/>
        </w:numPr>
        <w:shd w:val="clear" w:color="auto" w:fill="auto"/>
        <w:tabs>
          <w:tab w:val="left" w:pos="694"/>
        </w:tabs>
        <w:spacing w:after="100"/>
        <w:ind w:left="280"/>
      </w:pPr>
      <w:r>
        <w:t>§ 14 odst. 1 zákona č. 130/2002 Sb.</w:t>
      </w:r>
      <w:r>
        <w:br w:type="page"/>
      </w:r>
    </w:p>
    <w:p w:rsidR="006E209D" w:rsidRDefault="00B147CA">
      <w:pPr>
        <w:pStyle w:val="Zkladntext20"/>
        <w:numPr>
          <w:ilvl w:val="0"/>
          <w:numId w:val="15"/>
        </w:numPr>
        <w:shd w:val="clear" w:color="auto" w:fill="auto"/>
        <w:tabs>
          <w:tab w:val="left" w:pos="700"/>
        </w:tabs>
        <w:ind w:left="260"/>
      </w:pPr>
      <w:bookmarkStart w:id="12" w:name="bookmark13"/>
      <w:bookmarkStart w:id="13" w:name="bookmark12"/>
      <w:r>
        <w:lastRenderedPageBreak/>
        <w:t>Č</w:t>
      </w:r>
      <w:bookmarkEnd w:id="12"/>
      <w:r>
        <w:t xml:space="preserve">l. </w:t>
      </w:r>
      <w:r>
        <w:t>5 Všeobecných podmínek</w:t>
      </w:r>
      <w:bookmarkEnd w:id="13"/>
    </w:p>
    <w:p w:rsidR="006E209D" w:rsidRDefault="00B147CA">
      <w:pPr>
        <w:pStyle w:val="Zkladntext20"/>
        <w:numPr>
          <w:ilvl w:val="0"/>
          <w:numId w:val="15"/>
        </w:numPr>
        <w:shd w:val="clear" w:color="auto" w:fill="auto"/>
        <w:tabs>
          <w:tab w:val="left" w:pos="700"/>
        </w:tabs>
        <w:ind w:left="260"/>
      </w:pPr>
      <w:r>
        <w:t>§ 6 odst. 1 zákona č. 340/2015 Sb., o registru smluv</w:t>
      </w:r>
    </w:p>
    <w:p w:rsidR="006E209D" w:rsidRDefault="00B147CA">
      <w:pPr>
        <w:pStyle w:val="Zkladntext20"/>
        <w:numPr>
          <w:ilvl w:val="0"/>
          <w:numId w:val="15"/>
        </w:numPr>
        <w:shd w:val="clear" w:color="auto" w:fill="auto"/>
        <w:tabs>
          <w:tab w:val="left" w:pos="700"/>
        </w:tabs>
        <w:spacing w:after="526"/>
        <w:ind w:left="260"/>
      </w:pPr>
      <w:r>
        <w:t>Např. § 44 a § 44a zákona č. 218/2000 Sb., o rozpočtových pravidlech, zákon č. 320/2000 Sb., o finanční kontrole</w:t>
      </w:r>
    </w:p>
    <w:p w:rsidR="006E209D" w:rsidRDefault="00B147C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97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368300</wp:posOffset>
                </wp:positionV>
                <wp:extent cx="905510" cy="20129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209D" w:rsidRDefault="00B147CA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Poskytovatel: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1.200000000000003pt;margin-top:29.pt;width:71.299999999999997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Poskytovatel: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FFFFFF"/>
        </w:rPr>
        <w:t>PODPISY SMLUVNÍCH STRAN</w:t>
      </w:r>
    </w:p>
    <w:p w:rsidR="006E209D" w:rsidRDefault="00B147CA">
      <w:pPr>
        <w:pStyle w:val="Nadpis20"/>
        <w:keepNext/>
        <w:keepLines/>
        <w:shd w:val="clear" w:color="auto" w:fill="auto"/>
      </w:pPr>
      <w:bookmarkStart w:id="14" w:name="bookmark14"/>
      <w:r>
        <w:t>Ing. Petr Jílek</w:t>
      </w:r>
      <w:bookmarkEnd w:id="14"/>
    </w:p>
    <w:p w:rsidR="006E209D" w:rsidRDefault="00B147CA">
      <w:pPr>
        <w:pStyle w:val="Zkladntext50"/>
        <w:shd w:val="clear" w:color="auto" w:fill="auto"/>
      </w:pPr>
      <w:r>
        <w:t xml:space="preserve">Digitální </w:t>
      </w:r>
      <w:r>
        <w:t>podpis:</w:t>
      </w:r>
    </w:p>
    <w:p w:rsidR="006E209D" w:rsidRDefault="00B147CA">
      <w:pPr>
        <w:pStyle w:val="Zkladntext1"/>
        <w:shd w:val="clear" w:color="auto" w:fill="auto"/>
        <w:tabs>
          <w:tab w:val="left" w:leader="dot" w:pos="4781"/>
        </w:tabs>
        <w:spacing w:after="120"/>
      </w:pPr>
      <w:r>
        <w:t xml:space="preserve">V Praze, dne </w:t>
      </w:r>
      <w:r>
        <w:tab/>
      </w:r>
    </w:p>
    <w:p w:rsidR="006E209D" w:rsidRDefault="00B147CA">
      <w:pPr>
        <w:pStyle w:val="Zkladntext1"/>
        <w:pBdr>
          <w:top w:val="single" w:sz="4" w:space="0" w:color="auto"/>
        </w:pBdr>
        <w:shd w:val="clear" w:color="auto" w:fill="auto"/>
        <w:spacing w:after="40"/>
        <w:jc w:val="center"/>
      </w:pPr>
      <w:r>
        <w:t>Ing. Petr Jílek</w:t>
      </w:r>
    </w:p>
    <w:p w:rsidR="006E209D" w:rsidRDefault="00B147CA">
      <w:pPr>
        <w:pStyle w:val="Zkladntext1"/>
        <w:shd w:val="clear" w:color="auto" w:fill="auto"/>
        <w:jc w:val="center"/>
        <w:sectPr w:rsidR="006E209D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2818" w:right="1107" w:bottom="1776" w:left="1112" w:header="0" w:footer="3" w:gutter="0"/>
          <w:cols w:space="720"/>
          <w:noEndnote/>
          <w:titlePg/>
          <w:docGrid w:linePitch="360"/>
        </w:sectPr>
      </w:pPr>
      <w:r>
        <w:t>náměstek pro řízení Sekce ekologického</w:t>
      </w:r>
      <w:r>
        <w:br/>
        <w:t>zemědělství, komodit, výzkumu</w:t>
      </w:r>
      <w:r>
        <w:br/>
        <w:t>a vzdělávání</w:t>
      </w:r>
    </w:p>
    <w:p w:rsidR="006E209D" w:rsidRDefault="006E209D">
      <w:pPr>
        <w:spacing w:line="66" w:lineRule="exact"/>
        <w:rPr>
          <w:sz w:val="5"/>
          <w:szCs w:val="5"/>
        </w:rPr>
      </w:pPr>
    </w:p>
    <w:p w:rsidR="006E209D" w:rsidRDefault="006E209D">
      <w:pPr>
        <w:spacing w:line="14" w:lineRule="exact"/>
        <w:sectPr w:rsidR="006E209D">
          <w:type w:val="continuous"/>
          <w:pgSz w:w="11900" w:h="16840"/>
          <w:pgMar w:top="2242" w:right="0" w:bottom="1392" w:left="0" w:header="0" w:footer="3" w:gutter="0"/>
          <w:cols w:space="720"/>
          <w:noEndnote/>
          <w:docGrid w:linePitch="360"/>
        </w:sectPr>
      </w:pPr>
    </w:p>
    <w:p w:rsidR="006E209D" w:rsidRDefault="00B147CA">
      <w:pPr>
        <w:pStyle w:val="Zkladntext1"/>
        <w:framePr w:w="1728" w:h="317" w:wrap="none" w:vAnchor="text" w:hAnchor="page" w:x="1225" w:y="361"/>
        <w:shd w:val="clear" w:color="auto" w:fill="auto"/>
        <w:jc w:val="left"/>
      </w:pPr>
      <w:r>
        <w:rPr>
          <w:b/>
          <w:bCs/>
        </w:rPr>
        <w:t>Hlavní příjemce:</w:t>
      </w:r>
    </w:p>
    <w:p w:rsidR="006E209D" w:rsidRDefault="00B147CA">
      <w:pPr>
        <w:pStyle w:val="Zkladntext1"/>
        <w:framePr w:w="4646" w:h="307" w:wrap="none" w:vAnchor="text" w:hAnchor="page" w:x="1408" w:y="1100"/>
        <w:shd w:val="clear" w:color="auto" w:fill="auto"/>
        <w:tabs>
          <w:tab w:val="left" w:leader="dot" w:pos="2054"/>
          <w:tab w:val="left" w:leader="dot" w:pos="4608"/>
        </w:tabs>
      </w:pPr>
      <w:r>
        <w:tab/>
        <w:t xml:space="preserve">, dne </w:t>
      </w:r>
      <w:r>
        <w:tab/>
      </w:r>
    </w:p>
    <w:p w:rsidR="006E209D" w:rsidRDefault="006E209D">
      <w:pPr>
        <w:pStyle w:val="Zkladntext40"/>
        <w:framePr w:w="1157" w:h="1536" w:wrap="none" w:vAnchor="text" w:hAnchor="page" w:x="7547" w:y="21"/>
        <w:shd w:val="clear" w:color="auto" w:fill="auto"/>
        <w:rPr>
          <w:sz w:val="28"/>
          <w:szCs w:val="28"/>
        </w:rPr>
      </w:pPr>
      <w:bookmarkStart w:id="15" w:name="_GoBack"/>
      <w:bookmarkEnd w:id="15"/>
    </w:p>
    <w:p w:rsidR="006E209D" w:rsidRDefault="00B147CA">
      <w:pPr>
        <w:pStyle w:val="Zkladntext20"/>
        <w:framePr w:w="1507" w:h="1162" w:wrap="none" w:vAnchor="text" w:hAnchor="page" w:x="9083" w:y="169"/>
        <w:shd w:val="clear" w:color="auto" w:fill="auto"/>
        <w:spacing w:line="254" w:lineRule="auto"/>
        <w:ind w:left="0"/>
      </w:pPr>
      <w:r>
        <w:t xml:space="preserve">Digitálně podepsal RNDr. Mikuláš </w:t>
      </w:r>
      <w:r>
        <w:t>Madaras, Ph.D. Datum: 2022.12.02 18:30:59+01'00'</w:t>
      </w:r>
    </w:p>
    <w:p w:rsidR="006E209D" w:rsidRDefault="00B147CA">
      <w:pPr>
        <w:pStyle w:val="Zkladntext1"/>
        <w:framePr w:w="3586" w:h="307" w:wrap="none" w:vAnchor="text" w:hAnchor="page" w:x="7029" w:y="1537"/>
        <w:shd w:val="clear" w:color="auto" w:fill="auto"/>
        <w:jc w:val="left"/>
      </w:pPr>
      <w:r>
        <w:t>RNDr. Mikuláš Madaras, Ph.D., ředitel</w:t>
      </w:r>
    </w:p>
    <w:p w:rsidR="006E209D" w:rsidRDefault="006E209D">
      <w:pPr>
        <w:spacing w:line="360" w:lineRule="exact"/>
      </w:pPr>
    </w:p>
    <w:p w:rsidR="006E209D" w:rsidRDefault="006E209D">
      <w:pPr>
        <w:spacing w:line="360" w:lineRule="exact"/>
      </w:pPr>
    </w:p>
    <w:p w:rsidR="006E209D" w:rsidRDefault="006E209D">
      <w:pPr>
        <w:spacing w:line="360" w:lineRule="exact"/>
      </w:pPr>
    </w:p>
    <w:p w:rsidR="006E209D" w:rsidRDefault="006E209D">
      <w:pPr>
        <w:spacing w:line="360" w:lineRule="exact"/>
      </w:pPr>
    </w:p>
    <w:p w:rsidR="006E209D" w:rsidRDefault="006E209D">
      <w:pPr>
        <w:spacing w:after="389" w:line="14" w:lineRule="exact"/>
      </w:pPr>
    </w:p>
    <w:p w:rsidR="006E209D" w:rsidRDefault="006E209D">
      <w:pPr>
        <w:spacing w:line="14" w:lineRule="exact"/>
      </w:pPr>
    </w:p>
    <w:sectPr w:rsidR="006E209D">
      <w:type w:val="continuous"/>
      <w:pgSz w:w="11900" w:h="16840"/>
      <w:pgMar w:top="2242" w:right="1124" w:bottom="1392" w:left="11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CA" w:rsidRDefault="00B147CA">
      <w:r>
        <w:separator/>
      </w:r>
    </w:p>
  </w:endnote>
  <w:endnote w:type="continuationSeparator" w:id="0">
    <w:p w:rsidR="00B147CA" w:rsidRDefault="00B1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9D" w:rsidRDefault="00B147C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5300980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209D" w:rsidRDefault="00B147C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3, revize 221123</w:t>
                          </w:r>
                        </w:p>
                        <w:p w:rsidR="006E209D" w:rsidRDefault="00B147C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6E209D" w:rsidRDefault="00B147C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32D8" w:rsidRPr="005932D8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417.4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hEmAEAACkDAAAOAAAAZHJzL2Uyb0RvYy54bWysUsFOwzAMvSPxD1HurGMTG1TrEAiBkBAg&#10;DT4gS5M1UhNHcVi7v8fJ1oHghrgkju08v2d7cd3blm1VQAOu4uejMWfKSaiN21T8/e3+7JIzjMLV&#10;ogWnKr5TyK+XpyeLzpdqAg20tQqMQByWna94E6MviwJlo6zAEXjlKKghWBHpGTZFHURH6LYtJuPx&#10;rOgg1D6AVIjkvdsH+TLja61kfNEaVWRtxYlbzGfI5zqdxXIhyk0QvjHyQEP8gYUVxlHRI9SdiIJ9&#10;BPMLyhoZAEHHkQRbgNZGqqyB1JyPf6hZNcKrrIWag/7YJvw/WPm8fQ3M1BWfc+aEpRHlqmyeWtN5&#10;LClj5Skn9rfQ04gHP5IzKe51sOkmLYzi1OTdsbGqj0ymTxez6XROIUmx6ezyanqRYIqv3z5gfFBg&#10;WTIqHmhwuZ9i+4RxnzqkpGIO7k3bJn+iuKeSrNiv+6xmMtBcQ70j9h2NuOKOdpCz9tFRB9M2DEYY&#10;jPXBSDXQ33xEqpPLJ/A91KEmzSMLOOxOGvj3d8762vDlJwAAAP//AwBQSwMEFAAGAAgAAAAhADS0&#10;TWDeAAAADgEAAA8AAABkcnMvZG93bnJldi54bWxMj8FOwzAQRO9I/IO1SNyok0JLCHEqVIkLNwpC&#10;4ubG2zjCXkexmyZ/z+YEt1nNaPZNtZu8EyMOsQukIF9lIJCaYDpqFXx+vN4VIGLSZLQLhApmjLCr&#10;r68qXZpwoXccD6kVXEKx1ApsSn0pZWwseh1XoUdi7xQGrxOfQyvNoC9c7p1cZ9lWet0Rf7C6x73F&#10;5udw9goep6+AfcQ9fp/GZrDdXLi3Wanbm+nlGUTCKf2FYcFndKiZ6RjOZKJwCor7B0ZPbGw2i1oi&#10;WZHzviOrbb5+AllX8v+M+hcAAP//AwBQSwECLQAUAAYACAAAACEAtoM4kv4AAADhAQAAEwAAAAAA&#10;AAAAAAAAAAAAAAAAW0NvbnRlbnRfVHlwZXNdLnhtbFBLAQItABQABgAIAAAAIQA4/SH/1gAAAJQB&#10;AAALAAAAAAAAAAAAAAAAAC8BAABfcmVscy8ucmVsc1BLAQItABQABgAIAAAAIQAzL8hEmAEAACkD&#10;AAAOAAAAAAAAAAAAAAAAAC4CAABkcnMvZTJvRG9jLnhtbFBLAQItABQABgAIAAAAIQA0tE1g3gAA&#10;AA4BAAAPAAAAAAAAAAAAAAAAAPIDAABkcnMvZG93bnJldi54bWxQSwUGAAAAAAQABADzAAAA/QQA&#10;AAAA&#10;" filled="f" stroked="f">
              <v:textbox style="mso-fit-shape-to-text:t" inset="0,0,0,0">
                <w:txbxContent>
                  <w:p w:rsidR="006E209D" w:rsidRDefault="00B147C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3, revize 221123</w:t>
                    </w:r>
                  </w:p>
                  <w:p w:rsidR="006E209D" w:rsidRDefault="00B147C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6E209D" w:rsidRDefault="00B147C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32D8" w:rsidRPr="005932D8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9D" w:rsidRDefault="00B147C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5300980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209D" w:rsidRDefault="00B147C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3, revize 221123</w:t>
                          </w:r>
                        </w:p>
                        <w:p w:rsidR="006E209D" w:rsidRDefault="00B147C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6E209D" w:rsidRDefault="00B147C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32D8" w:rsidRPr="005932D8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417.4pt;margin-top:777.4pt;width:123.1pt;height:29.0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xQlwEAACsDAAAOAAAAZHJzL2Uyb0RvYy54bWysUttOwzAMfUfiH6K8sw6mXajWIRACISFA&#10;Aj4gS5M1UhNHcbZ2f4+T3RC8IV4Sx3bO8bE9v+ltyzYqoAFX8cvBkDPlJNTGrSr++fFwMeMMo3C1&#10;aMGpim8V8pvF+dm886W6ggbaWgVGIA7Lzle8idGXRYGyUVbgALxyFNQQrIj0DKuiDqIjdNsWV8Ph&#10;pOgg1D6AVIjkvd8F+SLja61kfNUaVWRtxam2mM+Qz2U6i8VclKsgfGPkvgzxhyqsMI5Ij1D3Igq2&#10;DuYXlDUyAIKOAwm2AK2NVFkDqbkc/lDz3givshZqDvpjm/D/YOXL5i0wU9Psppw5YWlGmZbRm5rT&#10;eSwp591TVuzvoKfEgx/JmTT3Oth0kxpGcWrz9tha1Ucm06fxZDSaUkhSbDSZXY/GCaY4/fYB46MC&#10;y5JR8UCjyx0Vm2eMu9RDSiJz8GDaNvlTibtSkhX7ZZ/1ZPzkWUK9peo7GnLFHW0hZ+2Tox6mfTgY&#10;4WAs90biQH+7jsST6U9Qe06aSBaw35408u/vnHXa8cUXAAAA//8DAFBLAwQUAAYACAAAACEANLRN&#10;YN4AAAAOAQAADwAAAGRycy9kb3ducmV2LnhtbEyPwU7DMBBE70j8g7VI3KiTQksIcSpUiQs3CkLi&#10;5sbbOMJeR7GbJn/P5gS3Wc1o9k21m7wTIw6xC6QgX2UgkJpgOmoVfH683hUgYtJktAuECmaMsKuv&#10;rypdmnChdxwPqRVcQrHUCmxKfSllbCx6HVehR2LvFAavE59DK82gL1zunVxn2VZ63RF/sLrHvcXm&#10;53D2Ch6nr4B9xD1+n8ZmsN1cuLdZqdub6eUZRMIp/YVhwWd0qJnpGM5konAKivsHRk9sbDaLWiJZ&#10;kfO+I6ttvn4CWVfy/4z6FwAA//8DAFBLAQItABQABgAIAAAAIQC2gziS/gAAAOEBAAATAAAAAAAA&#10;AAAAAAAAAAAAAABbQ29udGVudF9UeXBlc10ueG1sUEsBAi0AFAAGAAgAAAAhADj9If/WAAAAlAEA&#10;AAsAAAAAAAAAAAAAAAAALwEAAF9yZWxzLy5yZWxzUEsBAi0AFAAGAAgAAAAhAFLCrFCXAQAAKwMA&#10;AA4AAAAAAAAAAAAAAAAALgIAAGRycy9lMm9Eb2MueG1sUEsBAi0AFAAGAAgAAAAhADS0TWDeAAAA&#10;DgEAAA8AAAAAAAAAAAAAAAAA8QMAAGRycy9kb3ducmV2LnhtbFBLBQYAAAAABAAEAPMAAAD8BAAA&#10;AAA=&#10;" filled="f" stroked="f">
              <v:textbox style="mso-fit-shape-to-text:t" inset="0,0,0,0">
                <w:txbxContent>
                  <w:p w:rsidR="006E209D" w:rsidRDefault="00B147C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3, revize 221123</w:t>
                    </w:r>
                  </w:p>
                  <w:p w:rsidR="006E209D" w:rsidRDefault="00B147C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6E209D" w:rsidRDefault="00B147C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32D8" w:rsidRPr="005932D8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9D" w:rsidRDefault="00B147C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5270500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209D" w:rsidRDefault="00B147C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veřze 3, řevize 221123</w:t>
                          </w:r>
                        </w:p>
                        <w:p w:rsidR="006E209D" w:rsidRDefault="00B147C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6E209D" w:rsidRDefault="00B147C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Střana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32D8" w:rsidRPr="005932D8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5" type="#_x0000_t202" style="position:absolute;margin-left:415pt;margin-top:777.4pt;width:123.1pt;height:29.0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S4mQEAACsDAAAOAAAAZHJzL2Uyb0RvYy54bWysUttKAzEQfRf8h5B3u7XFWpduRRFFEBWq&#10;H5Bmk25gkwmZ2N3+vZO0W0XfxJdkMjM558xlcd3blm1VQAOu4uejMWfKSaiN21T8/e3+bM4ZRuFq&#10;0YJTFd8p5NfL05NF50s1gQbaWgVGIA7Lzle8idGXRYGyUVbgCLxyFNQQrIj0DJuiDqIjdNsWk/F4&#10;VnQQah9AKkTy3u2DfJnxtVYyvmiNKrK24qQt5jPkc53OYrkQ5SYI3xh5kCH+oMIK44j0CHUnomAf&#10;wfyCskYGQNBxJMEWoLWRKtdA1ZyPf1SzaoRXuRZqDvpjm/D/YOXz9jUwU1d8csGZE5ZmlGkZvak5&#10;nceSclaesmJ/Cz0NefAjOVPNvQ423VQNozi1eXdsreojk+nTxWw6vaSQpNh0Nr+aZvji67cPGB8U&#10;WJaMigcaXe6o2D5hJCWUOqQkMgf3pm2TP0ncS0lW7Nd9rmc+yFxDvSP1HQ254o62kLP20VEP0z4M&#10;RhiM9cFIHOhvPiLxZPoEvoc6cNJEsqrD9qSRf3/nrK8dX34CAAD//wMAUEsDBBQABgAIAAAAIQDi&#10;c1iQ4AAAAA4BAAAPAAAAZHJzL2Rvd25yZXYueG1sTI/NTsMwEITvSLyDtUjcqN1A05DGqVAlLtxo&#10;ERI3N97GUf0TxW6avD3bE9x2NKPZ+art5CwbcYhd8BKWCwEMfRN051sJX4f3pwJYTMprZYNHCTNG&#10;2Nb3d5Uqdbj6Txz3qWVU4mOpJJiU+pLz2Bh0Ki5Cj568UxicSiSHlutBXancWZ4JkXOnOk8fjOpx&#10;Z7A57y9Ownr6DthH3OHPaWwG082F/ZilfHyY3jbAEk7pLwy3+TQdatp0DBevI7MSimdBLImM1eqF&#10;IG4Rsc4zYEe68mX2Cryu+H+M+hcAAP//AwBQSwECLQAUAAYACAAAACEAtoM4kv4AAADhAQAAEwAA&#10;AAAAAAAAAAAAAAAAAAAAW0NvbnRlbnRfVHlwZXNdLnhtbFBLAQItABQABgAIAAAAIQA4/SH/1gAA&#10;AJQBAAALAAAAAAAAAAAAAAAAAC8BAABfcmVscy8ucmVsc1BLAQItABQABgAIAAAAIQCfFOS4mQEA&#10;ACsDAAAOAAAAAAAAAAAAAAAAAC4CAABkcnMvZTJvRG9jLnhtbFBLAQItABQABgAIAAAAIQDic1iQ&#10;4AAAAA4BAAAPAAAAAAAAAAAAAAAAAPMDAABkcnMvZG93bnJldi54bWxQSwUGAAAAAAQABADzAAAA&#10;AAUAAAAA&#10;" filled="f" stroked="f">
              <v:textbox style="mso-fit-shape-to-text:t" inset="0,0,0,0">
                <w:txbxContent>
                  <w:p w:rsidR="006E209D" w:rsidRDefault="00B147C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veřze 3, řevize 221123</w:t>
                    </w:r>
                  </w:p>
                  <w:p w:rsidR="006E209D" w:rsidRDefault="00B147C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6E209D" w:rsidRDefault="00B147C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Střana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32D8" w:rsidRPr="005932D8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CA" w:rsidRDefault="00B147CA"/>
  </w:footnote>
  <w:footnote w:type="continuationSeparator" w:id="0">
    <w:p w:rsidR="00B147CA" w:rsidRDefault="00B147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9D" w:rsidRDefault="00B147C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695325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209D" w:rsidRDefault="00B147CA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.75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209D" w:rsidRDefault="00B147CA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4.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9D" w:rsidRDefault="00B147C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695325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209D" w:rsidRDefault="00B147CA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12" name="Picut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54.75pt;margin-top:67.700000000000003pt;width:43.200000000000003pt;height:29.75pt;z-index:-18874405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4" name="Picutre 1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1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209D" w:rsidRDefault="00B147CA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84.pt;margin-top:100.84999999999999pt;width:104.65000000000001pt;height:6.2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9D" w:rsidRDefault="00B147C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722630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209D" w:rsidRDefault="00B147CA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20" name="Picutre 2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Picture 2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56.899999999999999pt;margin-top:67.700000000000003pt;width:43.200000000000003pt;height:29.75pt;z-index:-18874405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22" name="Picutre 2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Picture 2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1094740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209D" w:rsidRDefault="00B147CA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86.200000000000003pt;margin-top:100.84999999999999pt;width:104.65000000000001pt;height:6.2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7E4"/>
    <w:multiLevelType w:val="multilevel"/>
    <w:tmpl w:val="081C5324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B37A3"/>
    <w:multiLevelType w:val="multilevel"/>
    <w:tmpl w:val="578AA06E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C4109"/>
    <w:multiLevelType w:val="multilevel"/>
    <w:tmpl w:val="7F3C8DA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9039D0"/>
    <w:multiLevelType w:val="multilevel"/>
    <w:tmpl w:val="4866E292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25514"/>
    <w:multiLevelType w:val="multilevel"/>
    <w:tmpl w:val="6E18ED8A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175FE7"/>
    <w:multiLevelType w:val="multilevel"/>
    <w:tmpl w:val="F48C2C5A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8F3B8C"/>
    <w:multiLevelType w:val="multilevel"/>
    <w:tmpl w:val="4AF61516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093B5A"/>
    <w:multiLevelType w:val="multilevel"/>
    <w:tmpl w:val="565CA362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0A7070"/>
    <w:multiLevelType w:val="multilevel"/>
    <w:tmpl w:val="797E5C9E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3A7FB9"/>
    <w:multiLevelType w:val="multilevel"/>
    <w:tmpl w:val="4002F646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AD55DF"/>
    <w:multiLevelType w:val="multilevel"/>
    <w:tmpl w:val="02724938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E44CA6"/>
    <w:multiLevelType w:val="multilevel"/>
    <w:tmpl w:val="767845C0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064D0C"/>
    <w:multiLevelType w:val="multilevel"/>
    <w:tmpl w:val="0D1400AE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C61D63"/>
    <w:multiLevelType w:val="multilevel"/>
    <w:tmpl w:val="373EAFBC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0001BB"/>
    <w:multiLevelType w:val="multilevel"/>
    <w:tmpl w:val="14BE3022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7"/>
  </w:num>
  <w:num w:numId="6">
    <w:abstractNumId w:val="10"/>
  </w:num>
  <w:num w:numId="7">
    <w:abstractNumId w:val="5"/>
  </w:num>
  <w:num w:numId="8">
    <w:abstractNumId w:val="14"/>
  </w:num>
  <w:num w:numId="9">
    <w:abstractNumId w:val="0"/>
  </w:num>
  <w:num w:numId="10">
    <w:abstractNumId w:val="1"/>
  </w:num>
  <w:num w:numId="11">
    <w:abstractNumId w:val="3"/>
  </w:num>
  <w:num w:numId="12">
    <w:abstractNumId w:val="9"/>
  </w:num>
  <w:num w:numId="13">
    <w:abstractNumId w:val="1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E209D"/>
    <w:rsid w:val="005932D8"/>
    <w:rsid w:val="006E209D"/>
    <w:rsid w:val="00B1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60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/>
      <w:jc w:val="center"/>
      <w:outlineLvl w:val="2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20"/>
    </w:pPr>
    <w:rPr>
      <w:rFonts w:ascii="Cambria" w:eastAsia="Cambria" w:hAnsi="Cambria" w:cs="Cambri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4560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/>
      <w:ind w:left="6220"/>
    </w:pPr>
    <w:rPr>
      <w:rFonts w:ascii="Arial" w:eastAsia="Arial" w:hAnsi="Arial" w:cs="Arial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02" w:lineRule="auto"/>
    </w:pPr>
    <w:rPr>
      <w:rFonts w:ascii="Arial" w:eastAsia="Arial" w:hAnsi="Arial" w:cs="Arial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2D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60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/>
      <w:jc w:val="center"/>
      <w:outlineLvl w:val="2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20"/>
    </w:pPr>
    <w:rPr>
      <w:rFonts w:ascii="Cambria" w:eastAsia="Cambria" w:hAnsi="Cambria" w:cs="Cambri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4560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/>
      <w:ind w:left="6220"/>
    </w:pPr>
    <w:rPr>
      <w:rFonts w:ascii="Arial" w:eastAsia="Arial" w:hAnsi="Arial" w:cs="Arial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02" w:lineRule="auto"/>
    </w:pPr>
    <w:rPr>
      <w:rFonts w:ascii="Arial" w:eastAsia="Arial" w:hAnsi="Arial" w:cs="Arial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2D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2893</Words>
  <Characters>17070</Characters>
  <Application>Microsoft Office Word</Application>
  <DocSecurity>0</DocSecurity>
  <Lines>142</Lines>
  <Paragraphs>39</Paragraphs>
  <ScaleCrop>false</ScaleCrop>
  <Company/>
  <LinksUpToDate>false</LinksUpToDate>
  <CharactersWithSpaces>19924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QK23020056</dc:title>
  <dc:subject/>
  <dc:creator/>
  <cp:keywords/>
  <cp:lastModifiedBy>Sakrytova</cp:lastModifiedBy>
  <cp:revision>2</cp:revision>
  <dcterms:created xsi:type="dcterms:W3CDTF">2023-01-25T14:30:00Z</dcterms:created>
  <dcterms:modified xsi:type="dcterms:W3CDTF">2023-01-25T14:30:00Z</dcterms:modified>
</cp:coreProperties>
</file>