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r>
        <w:rPr>
          <w:rStyle w:val="CharStyle5"/>
        </w:rPr>
        <w:t>Illllllllllllllllllllllll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494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5833110</wp:posOffset>
                </wp:positionH>
                <wp:positionV relativeFrom="paragraph">
                  <wp:posOffset>88900</wp:posOffset>
                </wp:positionV>
                <wp:extent cx="701040" cy="1282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KS č. 20230008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9.30000000000001pt;margin-top:7.pt;width:55.200000000000003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KS č. 20230008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  <w:sz w:val="16"/>
          <w:szCs w:val="16"/>
        </w:rPr>
        <w:t>2023000621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2"/>
          <w:b/>
          <w:bCs/>
        </w:rPr>
        <w:t>RÁMCOVÁ KUPNÍ SMLOUVA</w:t>
      </w:r>
      <w:bookmarkEnd w:id="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52" w:lineRule="auto"/>
        <w:ind w:left="2020" w:right="0" w:hanging="1280"/>
        <w:jc w:val="left"/>
        <w:rPr>
          <w:sz w:val="20"/>
          <w:szCs w:val="20"/>
        </w:rPr>
      </w:pPr>
      <w:r>
        <w:rPr>
          <w:rStyle w:val="CharStyle14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962"/>
        <w:gridCol w:w="5755"/>
      </w:tblGrid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  <w:b/>
                <w:bCs/>
              </w:rPr>
              <w:t>příspěvková organizace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MUDr. Hana Albrechtová, ředitelka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  <w:spacing w:val="2"/>
                <w:shd w:val="clear" w:color="auto" w:fill="000000"/>
              </w:rPr>
              <w:t>............</w:t>
            </w:r>
            <w:r>
              <w:rPr>
                <w:rStyle w:val="CharStyle19"/>
                <w:spacing w:val="3"/>
                <w:shd w:val="clear" w:color="auto" w:fill="000000"/>
              </w:rPr>
              <w:t>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3"/>
                <w:shd w:val="clear" w:color="auto" w:fill="000000"/>
              </w:rPr>
              <w:t>........</w:t>
            </w:r>
            <w:r>
              <w:rPr>
                <w:rStyle w:val="CharStyle19"/>
                <w:spacing w:val="4"/>
                <w:shd w:val="clear" w:color="auto" w:fill="000000"/>
              </w:rPr>
              <w:t>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  <w:u w:val="single"/>
                <w:shd w:val="clear" w:color="auto" w:fill="000000"/>
              </w:rPr>
              <w:t>......</w:t>
            </w:r>
            <w:r>
              <w:rPr>
                <w:rStyle w:val="CharStyle19"/>
                <w:spacing w:val="1"/>
                <w:u w:val="single"/>
                <w:shd w:val="clear" w:color="auto" w:fill="000000"/>
              </w:rPr>
              <w:t>..........</w:t>
            </w:r>
            <w:r>
              <w:rPr>
                <w:rStyle w:val="CharStyle19"/>
                <w:spacing w:val="1"/>
                <w:u w:val="single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9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1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9"/>
                <w:shd w:val="clear" w:color="auto" w:fill="000000"/>
              </w:rPr>
              <w:t>..​</w:t>
            </w:r>
            <w:r>
              <w:rPr>
                <w:rStyle w:val="CharStyle19"/>
                <w:spacing w:val="8"/>
                <w:shd w:val="clear" w:color="auto" w:fill="000000"/>
              </w:rPr>
              <w:t>...</w:t>
            </w:r>
            <w:r>
              <w:rPr>
                <w:rStyle w:val="CharStyle19"/>
                <w:spacing w:val="9"/>
                <w:shd w:val="clear" w:color="auto" w:fill="000000"/>
              </w:rPr>
              <w:t>..</w:t>
            </w:r>
            <w:r>
              <w:rPr>
                <w:rStyle w:val="CharStyle19"/>
                <w:shd w:val="clear" w:color="auto" w:fill="000000"/>
              </w:rPr>
              <w:t>​.......​</w:t>
            </w:r>
            <w:r>
              <w:rPr>
                <w:rStyle w:val="CharStyle19"/>
                <w:spacing w:val="6"/>
                <w:shd w:val="clear" w:color="auto" w:fill="000000"/>
              </w:rPr>
              <w:t>...</w:t>
            </w:r>
            <w:r>
              <w:rPr>
                <w:rStyle w:val="CharStyle19"/>
                <w:spacing w:val="7"/>
                <w:shd w:val="clear" w:color="auto" w:fill="000000"/>
              </w:rPr>
              <w:t>...</w:t>
            </w:r>
            <w:r>
              <w:rPr>
                <w:rStyle w:val="CharStyle19"/>
                <w:shd w:val="clear" w:color="auto" w:fill="000000"/>
              </w:rPr>
              <w:t>​......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00346292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Krajský soud v Brně sp. zn. Pr 1245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MONETA Money Bank, a.s., č. ú. 117203514/0600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7"/>
        </w:rPr>
        <w:t>(dále jen „kupující“)</w:t>
      </w:r>
    </w:p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7"/>
        </w:rPr>
        <w:t>a</w:t>
      </w:r>
    </w:p>
    <w:tbl>
      <w:tblPr>
        <w:tblOverlap w:val="never"/>
        <w:jc w:val="left"/>
        <w:tblLayout w:type="fixed"/>
      </w:tblPr>
      <w:tblGrid>
        <w:gridCol w:w="2962"/>
        <w:gridCol w:w="4392"/>
      </w:tblGrid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9"/>
                <w:b/>
                <w:bCs/>
              </w:rPr>
              <w:t>CHEIRÓN a.s.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9"/>
              </w:rPr>
              <w:t>Kukulova 24, 169 00 Praha 6, Břevnov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9"/>
              </w:rPr>
              <w:t>Ing. Jindřich Petřík, MBA, člen představenstva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9"/>
                <w:spacing w:val="2"/>
                <w:shd w:val="clear" w:color="auto" w:fill="000000"/>
              </w:rPr>
              <w:t>......</w:t>
            </w:r>
            <w:r>
              <w:rPr>
                <w:rStyle w:val="CharStyle19"/>
                <w:spacing w:val="3"/>
                <w:shd w:val="clear" w:color="auto" w:fill="000000"/>
              </w:rPr>
              <w:t>......</w:t>
            </w:r>
            <w:r>
              <w:rPr>
                <w:rStyle w:val="CharStyle19"/>
                <w:shd w:val="clear" w:color="auto" w:fill="000000"/>
              </w:rPr>
              <w:t>​....</w:t>
            </w:r>
            <w:r>
              <w:rPr>
                <w:rStyle w:val="CharStyle19"/>
                <w:spacing w:val="1"/>
                <w:shd w:val="clear" w:color="auto" w:fill="000000"/>
              </w:rPr>
              <w:t>.........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2"/>
                <w:shd w:val="clear" w:color="auto" w:fill="000000"/>
              </w:rPr>
              <w:t>.......</w:t>
            </w:r>
            <w:r>
              <w:rPr>
                <w:rStyle w:val="CharStyle19"/>
                <w:spacing w:val="3"/>
                <w:shd w:val="clear" w:color="auto" w:fill="000000"/>
              </w:rPr>
              <w:t>.........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3"/>
                <w:shd w:val="clear" w:color="auto" w:fill="000000"/>
              </w:rPr>
              <w:t>.</w:t>
            </w:r>
            <w:r>
              <w:rPr>
                <w:rStyle w:val="CharStyle19"/>
                <w:spacing w:val="4"/>
                <w:shd w:val="clear" w:color="auto" w:fill="000000"/>
              </w:rPr>
              <w:t>............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27094987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CZ27094987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19"/>
              </w:rPr>
              <w:t>Městský soud v Praze, sp. z. B 8964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19"/>
              </w:rPr>
              <w:t>ČSOB a.s., č. ú. 279233863/0300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7"/>
        </w:rPr>
        <w:t>(dále jen „prodávající“^</w:t>
      </w:r>
    </w:p>
    <w:p>
      <w:pPr>
        <w:widowControl w:val="0"/>
        <w:spacing w:after="679" w:line="1" w:lineRule="exact"/>
      </w:pP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4"/>
        </w:rPr>
        <w:t>Prodávající je oprávněn na základě svého vlastnického práva nakládat s tímto zbožím: pulzní oxymetry PM-60. Bližší specifikace tohoto zboží a jeho jednotková cena je uvedena v příloze č.1, která je nedílnou součástí této smlouvy.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14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jméno, příjmení, funkci a podpis osoby jednající za kupujícího. Výzvu (objednávku) kupujícího lze učinit i elektronickou formou (e-mailem).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14"/>
        </w:rPr>
        <w:t>Součástí dodávky zboží podle čl. 2 této smlouvy také: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680" w:right="0" w:hanging="280"/>
        <w:jc w:val="both"/>
      </w:pPr>
      <w:r>
        <w:rPr>
          <w:rStyle w:val="CharStyle14"/>
        </w:rPr>
        <w:t>předání veškerých písemných dokladů, které jsou nezbytné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atestů, certifikátů a prohlášení o shodě.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0" w:val="left"/>
        </w:tabs>
        <w:bidi w:val="0"/>
        <w:spacing w:before="0" w:line="240" w:lineRule="auto"/>
        <w:ind w:left="0" w:right="0" w:firstLine="400"/>
        <w:jc w:val="both"/>
      </w:pPr>
      <w:r>
        <w:rPr>
          <w:rStyle w:val="CharStyle14"/>
        </w:rPr>
        <w:t>provádění bezpečnostně-technických kontrol po dobu trvání záruky za jakost.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14"/>
        </w:rPr>
        <w:t xml:space="preserve">Prodávající se zavazuje plnit svůj závazek k dodání zboží podle čl. 1 této smlouvy vždy nejpozději do </w:t>
      </w:r>
      <w:r>
        <w:rPr>
          <w:rStyle w:val="CharStyle14"/>
          <w:b/>
          <w:bCs/>
        </w:rPr>
        <w:t xml:space="preserve">3 týdnů </w:t>
      </w:r>
      <w:r>
        <w:rPr>
          <w:rStyle w:val="CharStyle14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se rozumí sídlo zadavatele, Kamenice 798/1 d, Brno.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4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440" w:line="240" w:lineRule="auto"/>
        <w:ind w:left="380" w:right="0" w:hanging="380"/>
        <w:jc w:val="both"/>
      </w:pPr>
      <w:r>
        <w:rPr>
          <w:rStyle w:val="CharStyle14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4"/>
        </w:rPr>
        <w:t>Kupující se zavazuje zaplatit prodávajícímu za předmět koupě a prodeje podle čl. 1 této smlouvy kupní cenu, která bude stanovena jako součin dodaného množství příslušného zboží a jednotkových cen. Jednotkové ceny zboží jsou uvedeny v příloze č. 1 této smlouvy, která je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změny zákonné sazby DPH.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4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e-mail: </w:t>
      </w:r>
      <w:r>
        <w:rPr>
          <w:rStyle w:val="CharStyle14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14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14"/>
          <w:shd w:val="clear" w:color="auto" w:fill="000000"/>
          <w:lang w:val="en-US" w:eastAsia="en-US" w:bidi="en-US"/>
        </w:rPr>
        <w:t>.</w:t>
      </w:r>
      <w:r>
        <w:rPr>
          <w:rStyle w:val="CharStyle14"/>
          <w:shd w:val="clear" w:color="auto" w:fill="000000"/>
        </w:rPr>
        <w:t>​..</w:t>
      </w:r>
      <w:r>
        <w:rPr>
          <w:rStyle w:val="CharStyle14"/>
        </w:rPr>
        <w:t xml:space="preserve"> </w:t>
      </w:r>
      <w:r>
        <w:rPr>
          <w:rStyle w:val="CharStyle14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4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4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4"/>
          <w:color w:val="4585BE"/>
          <w:u w:val="single"/>
          <w:lang w:val="en-US" w:eastAsia="en-US" w:bidi="en-US"/>
        </w:rPr>
        <w:t>.</w:t>
      </w:r>
      <w:r>
        <w:rPr>
          <w:rStyle w:val="CharStyle14"/>
          <w:color w:val="4585BE"/>
          <w:lang w:val="en-US" w:eastAsia="en-US" w:bidi="en-US"/>
        </w:rPr>
        <w:t xml:space="preserve"> </w:t>
      </w:r>
      <w:r>
        <w:rPr>
          <w:rStyle w:val="CharStyle14"/>
        </w:rPr>
        <w:t xml:space="preserve">Na faktuře/daňovém dokladu musí být mimo jiné vždy uvedeno toto </w:t>
      </w:r>
      <w:r>
        <w:rPr>
          <w:rStyle w:val="CharStyle14"/>
          <w:b/>
          <w:bCs/>
        </w:rPr>
        <w:t xml:space="preserve">číslo </w:t>
      </w:r>
      <w:r>
        <w:rPr>
          <w:rStyle w:val="CharStyle14"/>
        </w:rPr>
        <w:t xml:space="preserve">veřejné zakázky, ke které se faktura vztahuje: </w:t>
      </w:r>
      <w:r>
        <w:rPr>
          <w:rStyle w:val="CharStyle14"/>
          <w:b/>
          <w:bCs/>
        </w:rPr>
        <w:t xml:space="preserve">P23V00000017. </w:t>
      </w:r>
      <w:r>
        <w:rPr>
          <w:rStyle w:val="CharStyle14"/>
        </w:rPr>
        <w:t>Nebude-li faktura splňovat veškeré náležitosti daňového dokladu podle zákona a další náležitosti podle této smlouvy, je kupující oprávněn vrátit takovou fakturu zhotoviteli k opravě, přičemž doba její splatnosti začne znovu celá běžet ode dne doručení opravené faktury kupujícímu.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4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3 týdnů od doručení příslušné písemné nebo e-mailové reklamace kupujícího, pokud nebude dohodnuto jinak. Za odstranění vady v uvedené lhůtě se považuje i zapůjčení náhradního srovnatelného zboží v této lhůtě, a to na dobu nezbytnou k odstranění reklamované vady.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4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4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14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občanského zákoníků na vztah mezi oběma stranami podle této smlouvy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11" w:right="1537" w:bottom="1851" w:left="162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4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příslušné dílčí kupní smlouvy i od této rámcové smlouvy s účinky ex tunc.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501390" distL="0" distR="0" simplePos="0" relativeHeight="12582938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0</wp:posOffset>
                </wp:positionV>
                <wp:extent cx="5541010" cy="40906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1010" cy="409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220" w:line="240" w:lineRule="auto"/>
                              <w:ind w:left="380" w:right="0" w:hanging="380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Pro případ prodlení kupujícího se zaplacením kupní ceny nebo její části ve lhůtě podle čl. 8 této smlouvy o víc, než 2 týdny, je prodávající oprávněn od této smlouvy odstoupit s účinky ex tunc.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220" w:line="240" w:lineRule="auto"/>
                              <w:ind w:left="380" w:right="0" w:hanging="380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220" w:line="240" w:lineRule="auto"/>
                              <w:ind w:left="380" w:right="0" w:hanging="380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320" w:line="240" w:lineRule="auto"/>
                              <w:ind w:left="380" w:right="0" w:hanging="380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Tuto smlouvu lze změnit nebo zrušit pouze jinou písemnou dohodou obou smluvních stran.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220" w:line="240" w:lineRule="auto"/>
                              <w:ind w:left="380" w:right="0" w:hanging="380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Tato smlouva nabývá účinnosti po jejím podpisu oběma smluvními stranami dnem jejího uveřejnění v Registru smluv.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2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 xml:space="preserve">Tato smlouva se uzavírá na dobu určitou do </w:t>
                            </w:r>
                            <w:r>
                              <w:rPr>
                                <w:rStyle w:val="CharStyle14"/>
                                <w:b/>
                                <w:bCs/>
                              </w:rPr>
                              <w:t>31.12. 2024.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403" w:val="left"/>
                              </w:tabs>
                              <w:bidi w:val="0"/>
                              <w:spacing w:before="0" w:after="220" w:line="240" w:lineRule="auto"/>
                              <w:ind w:left="380" w:right="0" w:hanging="380"/>
                              <w:jc w:val="both"/>
                            </w:pPr>
                            <w:r>
                              <w:rPr>
                                <w:rStyle w:val="CharStyle14"/>
                              </w:rPr>
                              <w:t>Dáno ve dvou originálních písemných vyhotoveních, z nichž každá ze smluvních stran obdrží po jednom.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799999999999997pt;margin-top:0;width:436.30000000000001pt;height:322.10000000000002pt;z-index:-125829373;mso-wrap-distance-left:0;mso-wrap-distance-right:0;mso-wrap-distance-bottom:275.6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220" w:line="240" w:lineRule="auto"/>
                        <w:ind w:left="380" w:right="0" w:hanging="380"/>
                        <w:jc w:val="both"/>
                      </w:pPr>
                      <w:r>
                        <w:rPr>
                          <w:rStyle w:val="CharStyle14"/>
                        </w:rPr>
                        <w:t>Pro případ prodlení kupujícího se zaplacením kupní ceny nebo její části ve lhůtě podle čl. 8 této smlouvy o víc, než 2 týdny, je prodávající oprávněn od této smlouvy odstoupit s účinky ex tunc.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220" w:line="240" w:lineRule="auto"/>
                        <w:ind w:left="380" w:right="0" w:hanging="380"/>
                        <w:jc w:val="both"/>
                      </w:pPr>
                      <w:r>
                        <w:rPr>
                          <w:rStyle w:val="CharStyle14"/>
                        </w:rPr>
                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220" w:line="240" w:lineRule="auto"/>
                        <w:ind w:left="380" w:right="0" w:hanging="380"/>
                        <w:jc w:val="both"/>
                      </w:pPr>
                      <w:r>
                        <w:rPr>
                          <w:rStyle w:val="CharStyle14"/>
                        </w:rPr>
                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320" w:line="240" w:lineRule="auto"/>
                        <w:ind w:left="380" w:right="0" w:hanging="380"/>
                        <w:jc w:val="both"/>
                      </w:pPr>
                      <w:r>
                        <w:rPr>
                          <w:rStyle w:val="CharStyle14"/>
                        </w:rPr>
                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Tuto smlouvu lze změnit nebo zrušit pouze jinou písemnou dohodou obou smluvních stran.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220" w:line="240" w:lineRule="auto"/>
                        <w:ind w:left="380" w:right="0" w:hanging="380"/>
                        <w:jc w:val="both"/>
                      </w:pPr>
                      <w:r>
                        <w:rPr>
                          <w:rStyle w:val="CharStyle14"/>
                        </w:rPr>
                        <w:t>Tato smlouva nabývá účinnosti po jejím podpisu oběma smluvními stranami dnem jejího uveřejnění v Registru smluv.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4"/>
                        </w:rPr>
                        <w:t xml:space="preserve">Tato smlouva se uzavírá na dobu určitou do </w:t>
                      </w:r>
                      <w:r>
                        <w:rPr>
                          <w:rStyle w:val="CharStyle14"/>
                          <w:b/>
                          <w:bCs/>
                        </w:rPr>
                        <w:t>31.12. 2024.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403" w:val="left"/>
                        </w:tabs>
                        <w:bidi w:val="0"/>
                        <w:spacing w:before="0" w:after="220" w:line="240" w:lineRule="auto"/>
                        <w:ind w:left="380" w:right="0" w:hanging="380"/>
                        <w:jc w:val="both"/>
                      </w:pPr>
                      <w:r>
                        <w:rPr>
                          <w:rStyle w:val="CharStyle14"/>
                        </w:rPr>
                        <w:t>Dáno ve dvou originálních písemných vyhotoveních, z nichž každá ze smluvních stran obdrží po jednom.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34840" distB="3007995" distL="0" distR="0" simplePos="0" relativeHeight="125829382" behindDoc="0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4434840</wp:posOffset>
                </wp:positionV>
                <wp:extent cx="694690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\ Praze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3.15000000000003pt;margin-top:349.19999999999999pt;width:54.700000000000003pt;height:11.75pt;z-index:-125829371;mso-wrap-distance-left:0;mso-wrap-distance-top:349.19999999999999pt;mso-wrap-distance-right:0;mso-wrap-distance-bottom:236.84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\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733925" distB="2023110" distL="18415" distR="0" simplePos="0" relativeHeight="125829384" behindDoc="0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4733925</wp:posOffset>
            </wp:positionV>
            <wp:extent cx="2438400" cy="83502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438400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4407535</wp:posOffset>
                </wp:positionV>
                <wp:extent cx="423545" cy="17653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>V Brně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7.799999999999997pt;margin-top:347.05000000000001pt;width:33.350000000000001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1"/>
                        </w:rPr>
                        <w:t>V Brně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5568950</wp:posOffset>
                </wp:positionV>
                <wp:extent cx="1368425" cy="43561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842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1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1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7.799999999999997pt;margin-top:438.5pt;width:107.75pt;height:34.30000000000000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1"/>
                        </w:rPr>
                        <w:t>MUDr. Hana Albrechtová ředitelka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1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770120" distB="2474595" distL="0" distR="0" simplePos="0" relativeHeight="125829385" behindDoc="0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4770120</wp:posOffset>
                </wp:positionV>
                <wp:extent cx="551815" cy="3473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rStyle w:val="CharStyle44"/>
                              </w:rPr>
                              <w:t>Ing.</w:t>
                            </w:r>
                            <w:bookmarkEnd w:id="4"/>
                          </w:p>
                          <w:p>
                            <w:pPr>
                              <w:pStyle w:val="Style4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4"/>
                              </w:rPr>
                              <w:t>Jindřich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4.85000000000002pt;margin-top:375.60000000000002pt;width:43.450000000000003pt;height:27.350000000000001pt;z-index:-125829368;mso-wrap-distance-left:0;mso-wrap-distance-top:375.60000000000002pt;mso-wrap-distance-right:0;mso-wrap-distance-bottom:194.84999999999999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rStyle w:val="CharStyle44"/>
                        </w:rPr>
                        <w:t>Ing.</w:t>
                      </w:r>
                      <w:bookmarkEnd w:id="4"/>
                    </w:p>
                    <w:p>
                      <w:pPr>
                        <w:pStyle w:val="Style4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4"/>
                        </w:rPr>
                        <w:t>Jindřich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58055" distB="2477135" distL="0" distR="0" simplePos="0" relativeHeight="125829387" behindDoc="0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4758055</wp:posOffset>
                </wp:positionV>
                <wp:extent cx="777240" cy="35687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724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Digitálně podepsal Ing. Jindřich Petřík, MBA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96.75pt;margin-top:374.65000000000003pt;width:61.200000000000003pt;height:28.100000000000001pt;z-index:-125829366;mso-wrap-distance-left:0;mso-wrap-distance-top:374.65000000000003pt;mso-wrap-distance-right:0;mso-wrap-distance-bottom:195.05000000000001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6"/>
                        </w:rPr>
                        <w:t>Digitálně podepsal Ing. Jindřich Petřík, MBA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63185" distB="2254885" distL="0" distR="0" simplePos="0" relativeHeight="125829389" behindDoc="0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5163185</wp:posOffset>
                </wp:positionV>
                <wp:extent cx="783590" cy="1739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7" w:name="bookmark7"/>
                            <w:r>
                              <w:rPr>
                                <w:rStyle w:val="CharStyle44"/>
                              </w:rPr>
                              <w:t>Petřík, MBA</w:t>
                            </w:r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35.80000000000001pt;margin-top:406.55000000000001pt;width:61.700000000000003pt;height:13.700000000000001pt;z-index:-125829364;mso-wrap-distance-left:0;mso-wrap-distance-top:406.55000000000001pt;mso-wrap-distance-right:0;mso-wrap-distance-bottom:177.55000000000001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rStyle w:val="CharStyle44"/>
                        </w:rPr>
                        <w:t>Petřík, MBA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17465" distB="2227580" distL="0" distR="0" simplePos="0" relativeHeight="125829391" behindDoc="0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5117465</wp:posOffset>
                </wp:positionV>
                <wp:extent cx="765175" cy="24701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Datum: 2023.01.17 17:43:56+01'00'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7.pt;margin-top:402.94999999999999pt;width:60.25pt;height:19.449999999999999pt;z-index:-125829362;mso-wrap-distance-left:0;mso-wrap-distance-top:402.94999999999999pt;mso-wrap-distance-right:0;mso-wrap-distance-bottom:175.40000000000001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46"/>
                        </w:rPr>
                        <w:t>Datum: 2023.01.17 17:43:56+01'00'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59425" distB="1456690" distL="0" distR="0" simplePos="0" relativeHeight="125829393" behindDoc="0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5559425</wp:posOffset>
                </wp:positionV>
                <wp:extent cx="1365250" cy="57594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25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Ing. Jindřich Petřík, MBA člen představenstva CHEIRÓN a.s.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3.15000000000003pt;margin-top:437.75pt;width:107.5pt;height:45.350000000000001pt;z-index:-125829360;mso-wrap-distance-left:0;mso-wrap-distance-top:437.75pt;mso-wrap-distance-right:0;mso-wrap-distance-bottom:114.7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Ing. Jindřich Petřík, MBA člen představenstva CHEIRÓN a.s.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87185" distB="749300" distL="0" distR="0" simplePos="0" relativeHeight="125829395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6687185</wp:posOffset>
                </wp:positionV>
                <wp:extent cx="1499870" cy="15557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98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</w:rPr>
                              <w:t>Příloha č. 1 Specifikace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7.799999999999997pt;margin-top:526.54999999999995pt;width:118.10000000000001pt;height:12.25pt;z-index:-125829358;mso-wrap-distance-left:0;mso-wrap-distance-top:526.54999999999995pt;mso-wrap-distance-right:0;mso-wrap-distance-bottom:5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</w:rPr>
                        <w:t>Příloha č. 1 Specifikace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85230" distB="873760" distL="0" distR="0" simplePos="0" relativeHeight="125829397" behindDoc="0" locked="0" layoutInCell="1" allowOverlap="1">
                <wp:simplePos x="0" y="0"/>
                <wp:positionH relativeFrom="page">
                  <wp:posOffset>4258310</wp:posOffset>
                </wp:positionH>
                <wp:positionV relativeFrom="paragraph">
                  <wp:posOffset>6285230</wp:posOffset>
                </wp:positionV>
                <wp:extent cx="709930" cy="43307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bookmarkStart w:id="9" w:name="bookmark9"/>
                            <w:r>
                              <w:rPr>
                                <w:rStyle w:val="CharStyle48"/>
                              </w:rPr>
                              <w:t>Vladěna</w:t>
                            </w:r>
                            <w:bookmarkEnd w:id="9"/>
                          </w:p>
                          <w:p>
                            <w:pPr>
                              <w:pStyle w:val="Style4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8"/>
                              </w:rPr>
                              <w:t>Levíková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35.30000000000001pt;margin-top:494.90000000000003pt;width:55.899999999999999pt;height:34.100000000000001pt;z-index:-125829356;mso-wrap-distance-left:0;mso-wrap-distance-top:494.90000000000003pt;mso-wrap-distance-right:0;mso-wrap-distance-bottom:68.799999999999997pt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bookmarkStart w:id="9" w:name="bookmark9"/>
                      <w:r>
                        <w:rPr>
                          <w:rStyle w:val="CharStyle48"/>
                        </w:rPr>
                        <w:t>Vladěna</w:t>
                      </w:r>
                      <w:bookmarkEnd w:id="9"/>
                    </w:p>
                    <w:p>
                      <w:pPr>
                        <w:pStyle w:val="Style4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8"/>
                        </w:rPr>
                        <w:t>Levíková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69990" distB="852805" distL="0" distR="0" simplePos="0" relativeHeight="125829399" behindDoc="0" locked="0" layoutInCell="1" allowOverlap="1">
                <wp:simplePos x="0" y="0"/>
                <wp:positionH relativeFrom="page">
                  <wp:posOffset>5279390</wp:posOffset>
                </wp:positionH>
                <wp:positionV relativeFrom="paragraph">
                  <wp:posOffset>6269990</wp:posOffset>
                </wp:positionV>
                <wp:extent cx="743585" cy="46926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6"/>
                              </w:rPr>
                              <w:t>Digitálně podepsal Vladěna Levíková Datum: 2023.01.17 13:26:36+01'00'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15.69999999999999pt;margin-top:493.69999999999999pt;width:58.550000000000004pt;height:36.950000000000003pt;z-index:-125829354;mso-wrap-distance-left:0;mso-wrap-distance-top:493.69999999999999pt;mso-wrap-distance-right:0;mso-wrap-distance-bottom:67.150000000000006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6"/>
                        </w:rPr>
                        <w:t>Digitálně podepsal Vladěna Levíková Datum: 2023.01.17 13:26:36+01'00'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618" w:right="1618" w:bottom="1618" w:left="1556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věcná správnost: Monika Flidrová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14"/>
          <w:b/>
          <w:bCs/>
        </w:rPr>
        <w:t>Příloha č. 1 Specifikace</w:t>
      </w:r>
    </w:p>
    <w:tbl>
      <w:tblPr>
        <w:tblOverlap w:val="never"/>
        <w:jc w:val="center"/>
        <w:tblLayout w:type="fixed"/>
      </w:tblPr>
      <w:tblGrid>
        <w:gridCol w:w="4882"/>
        <w:gridCol w:w="3806"/>
      </w:tblGrid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Údaje o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Typ/označení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PM-60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Výrobce zboží (název/obchodní jméno)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Mindray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Cena za ks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8 698,00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Cena za ks vč. DPH: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10 524,58 Kč</w:t>
            </w:r>
          </w:p>
        </w:tc>
      </w:tr>
    </w:tbl>
    <w:p>
      <w:pPr>
        <w:widowControl w:val="0"/>
        <w:spacing w:after="379" w:line="1" w:lineRule="exact"/>
      </w:pPr>
    </w:p>
    <w:tbl>
      <w:tblPr>
        <w:tblOverlap w:val="never"/>
        <w:jc w:val="center"/>
        <w:tblLayout w:type="fixed"/>
      </w:tblPr>
      <w:tblGrid>
        <w:gridCol w:w="552"/>
        <w:gridCol w:w="5146"/>
        <w:gridCol w:w="2995"/>
      </w:tblGrid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  <w:b/>
                <w:bCs/>
              </w:rPr>
              <w:t>Účastníkem nabízená hodnota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Pulzní oxymetr vhodný do PNP provozu, odolný proti pádu.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Monitorace SpO? a HR (vč. pletysmografické křivky).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Vhodný pro dospělé i děti (umožňuje výměnu SpO2 senzorů).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Barevný bezdotykový displej o velikosti min. 2,4 s rozlišením 320x240 pixelů.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2,4“ a 320x240 pixelů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Umožňuje nastavení zvukových a vizuálních alarmů.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Světelný indikátor alarmu.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Provoz na běžně dostupné baterie typu AA.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Kompletní menu v českém jazyce.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Jednoduché, intuitivní ovládání.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Ochranné pouzdro součástí přístroje.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Hmotnost 310 g vč. baterie.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310 g vč. baterie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sz w:val="17"/>
                <w:szCs w:val="17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Splňuje IEC60601 v souladu s MDD 93/42/EEC.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ANO splňuje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633" w:right="1473" w:bottom="1273" w:left="173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9894570</wp:posOffset>
              </wp:positionV>
              <wp:extent cx="200279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0279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VZ </w:t>
                          </w: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04_2023 Pulzní oxymetry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3.25pt;margin-top:779.10000000000002pt;width:157.70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6"/>
                        <w:szCs w:val="16"/>
                      </w:rPr>
                      <w:t xml:space="preserve">VZ </w:t>
                    </w: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04_2023 Pulzní oxymetry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Nadpis #3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1">
    <w:name w:val="Titulek obrázku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">
    <w:name w:val="Nadpis #4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6">
    <w:name w:val="Základní text (2)_"/>
    <w:basedOn w:val="DefaultParagraphFont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8">
    <w:name w:val="Nadpis #2_"/>
    <w:basedOn w:val="DefaultParagraphFont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220"/>
      <w:ind w:left="24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100"/>
      <w:ind w:left="460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Nadpis #3"/>
    <w:basedOn w:val="Normal"/>
    <w:link w:val="CharStyle12"/>
    <w:pPr>
      <w:widowControl w:val="0"/>
      <w:shd w:val="clear" w:color="auto" w:fill="auto"/>
      <w:spacing w:after="280" w:line="228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0">
    <w:name w:val="Titulek obrázku"/>
    <w:basedOn w:val="Normal"/>
    <w:link w:val="CharStyle4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3">
    <w:name w:val="Nadpis #4"/>
    <w:basedOn w:val="Normal"/>
    <w:link w:val="CharStyle44"/>
    <w:pPr>
      <w:widowControl w:val="0"/>
      <w:shd w:val="clear" w:color="auto" w:fill="auto"/>
      <w:spacing w:after="2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5">
    <w:name w:val="Základní text (2)"/>
    <w:basedOn w:val="Normal"/>
    <w:link w:val="CharStyle46"/>
    <w:pPr>
      <w:widowControl w:val="0"/>
      <w:shd w:val="clear" w:color="auto" w:fill="auto"/>
      <w:spacing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7">
    <w:name w:val="Nadpis #2"/>
    <w:basedOn w:val="Normal"/>
    <w:link w:val="CharStyle48"/>
    <w:pPr>
      <w:widowControl w:val="0"/>
      <w:shd w:val="clear" w:color="auto" w:fill="auto"/>
      <w:spacing w:after="3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