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2AED0314" w:rsidR="002B4A2D" w:rsidRPr="00863C61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863C61">
        <w:rPr>
          <w:rFonts w:ascii="Arial" w:hAnsi="Arial" w:cs="Arial"/>
          <w:bCs/>
          <w:kern w:val="16"/>
          <w:sz w:val="22"/>
          <w:szCs w:val="22"/>
        </w:rPr>
        <w:t>ev. č</w:t>
      </w:r>
      <w:r w:rsidR="00FD63B0" w:rsidRPr="00863C61">
        <w:rPr>
          <w:rFonts w:ascii="Arial" w:hAnsi="Arial" w:cs="Arial"/>
          <w:bCs/>
          <w:kern w:val="16"/>
          <w:sz w:val="22"/>
          <w:szCs w:val="22"/>
        </w:rPr>
        <w:t>.:</w:t>
      </w:r>
      <w:r w:rsidR="009A4D6D">
        <w:rPr>
          <w:rFonts w:ascii="Arial" w:hAnsi="Arial" w:cs="Arial"/>
          <w:bCs/>
          <w:kern w:val="16"/>
          <w:sz w:val="22"/>
          <w:szCs w:val="22"/>
        </w:rPr>
        <w:t>23/016</w:t>
      </w:r>
      <w:r w:rsidR="00863C61">
        <w:rPr>
          <w:rFonts w:ascii="Arial" w:hAnsi="Arial" w:cs="Arial"/>
          <w:bCs/>
          <w:kern w:val="16"/>
          <w:sz w:val="22"/>
          <w:szCs w:val="22"/>
        </w:rPr>
        <w:t>-0</w:t>
      </w:r>
    </w:p>
    <w:p w14:paraId="08822CAA" w14:textId="380F11E1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863C61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863C61">
        <w:rPr>
          <w:rFonts w:ascii="Arial" w:hAnsi="Arial" w:cs="Arial"/>
          <w:bCs/>
          <w:kern w:val="16"/>
          <w:sz w:val="22"/>
          <w:szCs w:val="22"/>
        </w:rPr>
        <w:t>:</w:t>
      </w:r>
      <w:r w:rsidR="0088145D">
        <w:rPr>
          <w:rFonts w:ascii="Arial" w:hAnsi="Arial" w:cs="Arial"/>
          <w:bCs/>
          <w:kern w:val="16"/>
          <w:sz w:val="22"/>
          <w:szCs w:val="22"/>
        </w:rPr>
        <w:t xml:space="preserve"> </w:t>
      </w:r>
      <w:r w:rsidR="00863C61">
        <w:rPr>
          <w:rFonts w:ascii="Arial" w:hAnsi="Arial" w:cs="Arial"/>
          <w:bCs/>
          <w:kern w:val="16"/>
          <w:sz w:val="22"/>
          <w:szCs w:val="22"/>
        </w:rPr>
        <w:t>2330/2023-UVCR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515C61CD" w14:textId="7BD202C8" w:rsidR="002B4A2D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D74B1B">
        <w:rPr>
          <w:rFonts w:ascii="Arial" w:hAnsi="Arial" w:cs="Arial"/>
          <w:sz w:val="22"/>
          <w:szCs w:val="22"/>
        </w:rPr>
        <w:tab/>
        <w:t>Bc. Davidem Jandou, odb. koordinátorem prodeje státní správě</w:t>
      </w:r>
    </w:p>
    <w:p w14:paraId="2D719A80" w14:textId="636DC43D" w:rsidR="00D74B1B" w:rsidRPr="002B4A2D" w:rsidRDefault="00D74B1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Ing. Vítězslavem Pelcem, odb. koordinátorem sponzoringu a eventů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5B3A3C8E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1000053254/2700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A52A0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54A23AB" w14:textId="1102B1BE" w:rsidR="00AD7C6F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kterou zastupuje:</w:t>
      </w:r>
      <w:r w:rsidRPr="006A52A0">
        <w:rPr>
          <w:rFonts w:ascii="Arial" w:hAnsi="Arial" w:cs="Arial"/>
          <w:sz w:val="22"/>
          <w:szCs w:val="22"/>
        </w:rPr>
        <w:tab/>
        <w:t xml:space="preserve">Ing. Ivana Hošťálková, </w:t>
      </w:r>
      <w:r w:rsidRPr="00E26B1C">
        <w:rPr>
          <w:rFonts w:ascii="Arial" w:hAnsi="Arial" w:cs="Arial"/>
          <w:sz w:val="22"/>
          <w:szCs w:val="22"/>
        </w:rPr>
        <w:t xml:space="preserve">ředitelka Odboru </w:t>
      </w:r>
      <w:r w:rsidR="00AD7C6F" w:rsidRPr="00E26B1C">
        <w:rPr>
          <w:rFonts w:ascii="Arial" w:hAnsi="Arial" w:cs="Arial"/>
          <w:sz w:val="22"/>
          <w:szCs w:val="22"/>
        </w:rPr>
        <w:t>majetku a služeb,</w:t>
      </w:r>
    </w:p>
    <w:p w14:paraId="0D29ABEB" w14:textId="677488C3" w:rsidR="002B4A2D" w:rsidRPr="006A52A0" w:rsidRDefault="00AD7C6F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2B4A2D" w:rsidRPr="006A52A0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A52A0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se sídlem: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IČO: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A52A0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A52A0">
        <w:rPr>
          <w:rFonts w:ascii="Arial" w:hAnsi="Arial" w:cs="Arial"/>
          <w:snapToGrid w:val="0"/>
          <w:sz w:val="22"/>
          <w:szCs w:val="22"/>
        </w:rPr>
        <w:tab/>
      </w:r>
      <w:r w:rsidRPr="006A52A0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bankovní spojení:</w:t>
      </w:r>
      <w:r w:rsidRPr="006A52A0">
        <w:rPr>
          <w:rFonts w:ascii="Arial" w:hAnsi="Arial" w:cs="Arial"/>
          <w:sz w:val="22"/>
          <w:szCs w:val="22"/>
        </w:rPr>
        <w:tab/>
        <w:t>ČNB Praha</w:t>
      </w:r>
    </w:p>
    <w:p w14:paraId="0E3E16DF" w14:textId="243D8435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číslo účtu: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4320001/0710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6A52A0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6E0CEC87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FF288A">
        <w:rPr>
          <w:rFonts w:ascii="Arial" w:hAnsi="Arial" w:cs="Arial"/>
          <w:sz w:val="22"/>
          <w:szCs w:val="22"/>
        </w:rPr>
        <w:br/>
      </w:r>
      <w:r w:rsidR="00AD74E1">
        <w:rPr>
          <w:rFonts w:ascii="Arial" w:hAnsi="Arial" w:cs="Arial"/>
          <w:b/>
          <w:sz w:val="22"/>
          <w:szCs w:val="22"/>
        </w:rPr>
        <w:t>1. 2. 2023</w:t>
      </w:r>
      <w:r w:rsidRPr="006A52A0">
        <w:rPr>
          <w:rFonts w:ascii="Arial" w:hAnsi="Arial" w:cs="Arial"/>
          <w:b/>
          <w:sz w:val="22"/>
          <w:szCs w:val="22"/>
        </w:rPr>
        <w:t xml:space="preserve"> do </w:t>
      </w:r>
      <w:r w:rsidR="00FF288A">
        <w:rPr>
          <w:rFonts w:ascii="Arial" w:hAnsi="Arial" w:cs="Arial"/>
          <w:b/>
          <w:sz w:val="22"/>
          <w:szCs w:val="22"/>
        </w:rPr>
        <w:t>1. 2</w:t>
      </w:r>
      <w:r w:rsidR="003C2A72" w:rsidRPr="006A52A0">
        <w:rPr>
          <w:rFonts w:ascii="Arial" w:hAnsi="Arial" w:cs="Arial"/>
          <w:b/>
          <w:sz w:val="22"/>
          <w:szCs w:val="22"/>
        </w:rPr>
        <w:t>.</w:t>
      </w:r>
      <w:r w:rsidR="00FF288A">
        <w:rPr>
          <w:rFonts w:ascii="Arial" w:hAnsi="Arial" w:cs="Arial"/>
          <w:b/>
          <w:sz w:val="22"/>
          <w:szCs w:val="22"/>
        </w:rPr>
        <w:t xml:space="preserve"> </w:t>
      </w:r>
      <w:r w:rsidR="00871566" w:rsidRPr="006A52A0">
        <w:rPr>
          <w:rFonts w:ascii="Arial" w:hAnsi="Arial" w:cs="Arial"/>
          <w:b/>
          <w:sz w:val="22"/>
          <w:szCs w:val="22"/>
        </w:rPr>
        <w:t>202</w:t>
      </w:r>
      <w:r w:rsidR="00AD74E1">
        <w:rPr>
          <w:rFonts w:ascii="Arial" w:hAnsi="Arial" w:cs="Arial"/>
          <w:b/>
          <w:sz w:val="22"/>
          <w:szCs w:val="22"/>
        </w:rPr>
        <w:t>4</w:t>
      </w:r>
      <w:r w:rsidRPr="006A52A0">
        <w:rPr>
          <w:rFonts w:ascii="Arial" w:hAnsi="Arial" w:cs="Arial"/>
          <w:sz w:val="22"/>
          <w:szCs w:val="22"/>
        </w:rPr>
        <w:t xml:space="preserve"> do užívání </w:t>
      </w:r>
      <w:r w:rsidR="007619F3" w:rsidRPr="006A52A0">
        <w:rPr>
          <w:rFonts w:ascii="Arial" w:hAnsi="Arial" w:cs="Arial"/>
          <w:sz w:val="22"/>
          <w:szCs w:val="22"/>
        </w:rPr>
        <w:t xml:space="preserve">silniční </w:t>
      </w:r>
      <w:r w:rsidRPr="006A52A0">
        <w:rPr>
          <w:rFonts w:ascii="Arial" w:hAnsi="Arial" w:cs="Arial"/>
          <w:sz w:val="22"/>
          <w:szCs w:val="22"/>
        </w:rPr>
        <w:t>vozidlo</w:t>
      </w:r>
    </w:p>
    <w:p w14:paraId="64414F41" w14:textId="08DF1AC7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typ</w:t>
      </w:r>
      <w:r w:rsidRPr="006A52A0">
        <w:rPr>
          <w:rFonts w:ascii="Arial" w:hAnsi="Arial" w:cs="Arial"/>
          <w:b/>
          <w:sz w:val="22"/>
          <w:szCs w:val="22"/>
        </w:rPr>
        <w:tab/>
        <w:t>RZ</w:t>
      </w:r>
      <w:r w:rsidRPr="006A52A0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091BDB94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 xml:space="preserve">ŠKODA </w:t>
      </w:r>
      <w:r w:rsidR="00E31C58">
        <w:rPr>
          <w:rFonts w:ascii="Arial" w:hAnsi="Arial" w:cs="Arial"/>
          <w:b/>
          <w:sz w:val="22"/>
          <w:szCs w:val="22"/>
        </w:rPr>
        <w:t>ENYAQ iV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753EC7">
        <w:rPr>
          <w:rFonts w:ascii="Arial" w:hAnsi="Arial" w:cs="Arial"/>
          <w:b/>
          <w:sz w:val="22"/>
          <w:szCs w:val="22"/>
        </w:rPr>
        <w:t>EL497</w:t>
      </w:r>
      <w:r w:rsidR="00E31C58" w:rsidRPr="00E31C58">
        <w:rPr>
          <w:rFonts w:ascii="Arial" w:hAnsi="Arial" w:cs="Arial"/>
          <w:b/>
          <w:sz w:val="22"/>
          <w:szCs w:val="22"/>
        </w:rPr>
        <w:t>AZ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753EC7" w:rsidRPr="00753EC7">
        <w:rPr>
          <w:rFonts w:ascii="Arial" w:hAnsi="Arial" w:cs="Arial"/>
          <w:b/>
          <w:sz w:val="22"/>
          <w:szCs w:val="22"/>
        </w:rPr>
        <w:t>TMBLE9NYXNF046893</w:t>
      </w:r>
    </w:p>
    <w:p w14:paraId="7D99ACD0" w14:textId="057C4B26" w:rsidR="007F4161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AA3B290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FF288A">
        <w:rPr>
          <w:rFonts w:ascii="Arial" w:hAnsi="Arial" w:cs="Arial"/>
          <w:b/>
          <w:sz w:val="22"/>
          <w:szCs w:val="22"/>
        </w:rPr>
        <w:t>1</w:t>
      </w:r>
      <w:r w:rsidR="00793B54">
        <w:rPr>
          <w:rFonts w:ascii="Arial" w:hAnsi="Arial" w:cs="Arial"/>
          <w:b/>
          <w:sz w:val="22"/>
          <w:szCs w:val="22"/>
        </w:rPr>
        <w:t> 763 000</w:t>
      </w:r>
      <w:r w:rsidR="00FA67E3" w:rsidRPr="006A52A0">
        <w:rPr>
          <w:rFonts w:ascii="Arial" w:hAnsi="Arial" w:cs="Arial"/>
          <w:b/>
          <w:sz w:val="22"/>
          <w:szCs w:val="22"/>
        </w:rPr>
        <w:t>,-</w:t>
      </w:r>
      <w:r w:rsidR="00757229" w:rsidRPr="006A52A0">
        <w:rPr>
          <w:rFonts w:ascii="Arial" w:hAnsi="Arial" w:cs="Arial"/>
          <w:sz w:val="22"/>
          <w:szCs w:val="22"/>
        </w:rPr>
        <w:t xml:space="preserve"> </w:t>
      </w:r>
      <w:r w:rsidRPr="006A52A0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47BD4B42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 xml:space="preserve">spolu </w:t>
      </w:r>
      <w:r w:rsidR="00AD7C6F" w:rsidRPr="00E26B1C">
        <w:rPr>
          <w:rFonts w:ascii="Arial" w:hAnsi="Arial" w:cs="Arial"/>
          <w:sz w:val="22"/>
          <w:szCs w:val="22"/>
        </w:rPr>
        <w:t>s</w:t>
      </w:r>
      <w:r w:rsidR="00E26B1C" w:rsidRPr="00E26B1C">
        <w:rPr>
          <w:rFonts w:ascii="Arial" w:hAnsi="Arial" w:cs="Arial"/>
          <w:sz w:val="22"/>
          <w:szCs w:val="22"/>
        </w:rPr>
        <w:t> </w:t>
      </w:r>
      <w:r w:rsidR="00AD7C6F" w:rsidRPr="00E26B1C">
        <w:rPr>
          <w:rFonts w:ascii="Arial" w:hAnsi="Arial" w:cs="Arial"/>
          <w:sz w:val="22"/>
          <w:szCs w:val="22"/>
        </w:rPr>
        <w:t>10</w:t>
      </w:r>
      <w:r w:rsidR="00E26B1C" w:rsidRPr="00E26B1C">
        <w:rPr>
          <w:rFonts w:ascii="Arial" w:hAnsi="Arial" w:cs="Arial"/>
          <w:sz w:val="22"/>
          <w:szCs w:val="22"/>
        </w:rPr>
        <w:t xml:space="preserve"> kW elektrické energie</w:t>
      </w:r>
      <w:r w:rsidR="00AD7C6F">
        <w:rPr>
          <w:rFonts w:ascii="Arial" w:hAnsi="Arial" w:cs="Arial"/>
          <w:sz w:val="22"/>
          <w:szCs w:val="22"/>
        </w:rPr>
        <w:t xml:space="preserve"> a </w:t>
      </w:r>
      <w:r w:rsidR="003D67D3" w:rsidRPr="00211EB9">
        <w:rPr>
          <w:rFonts w:ascii="Arial" w:hAnsi="Arial" w:cs="Arial"/>
          <w:sz w:val="22"/>
          <w:szCs w:val="22"/>
        </w:rPr>
        <w:t>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36314084" w:rsidR="00B43ECD" w:rsidRPr="00FB196A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</w:t>
      </w:r>
      <w:r w:rsidRPr="00FB196A">
        <w:rPr>
          <w:rFonts w:ascii="Arial" w:hAnsi="Arial" w:cs="Arial"/>
          <w:b/>
          <w:sz w:val="22"/>
          <w:szCs w:val="22"/>
        </w:rPr>
        <w:t xml:space="preserve">výši </w:t>
      </w:r>
      <w:r w:rsidR="00793B54">
        <w:rPr>
          <w:rFonts w:ascii="Arial" w:hAnsi="Arial" w:cs="Arial"/>
          <w:b/>
          <w:sz w:val="22"/>
          <w:szCs w:val="22"/>
        </w:rPr>
        <w:t xml:space="preserve">160 </w:t>
      </w:r>
      <w:r w:rsidR="00FB196A">
        <w:rPr>
          <w:rFonts w:ascii="Arial" w:hAnsi="Arial" w:cs="Arial"/>
          <w:b/>
          <w:sz w:val="22"/>
          <w:szCs w:val="22"/>
        </w:rPr>
        <w:t>000</w:t>
      </w:r>
      <w:r w:rsidRPr="00FB196A">
        <w:rPr>
          <w:rFonts w:ascii="Arial" w:hAnsi="Arial" w:cs="Arial"/>
          <w:b/>
          <w:sz w:val="22"/>
          <w:szCs w:val="22"/>
        </w:rPr>
        <w:t xml:space="preserve"> Kč s DPH (slovy: </w:t>
      </w:r>
      <w:r w:rsidR="00FB196A">
        <w:rPr>
          <w:rFonts w:ascii="Arial" w:hAnsi="Arial" w:cs="Arial"/>
          <w:b/>
          <w:sz w:val="22"/>
          <w:szCs w:val="22"/>
        </w:rPr>
        <w:t>sto</w:t>
      </w:r>
      <w:r w:rsidR="00793B54">
        <w:rPr>
          <w:rFonts w:ascii="Arial" w:hAnsi="Arial" w:cs="Arial"/>
          <w:b/>
          <w:sz w:val="22"/>
          <w:szCs w:val="22"/>
        </w:rPr>
        <w:t>šedesát</w:t>
      </w:r>
      <w:r w:rsidR="00FB196A">
        <w:rPr>
          <w:rFonts w:ascii="Arial" w:hAnsi="Arial" w:cs="Arial"/>
          <w:b/>
          <w:sz w:val="22"/>
          <w:szCs w:val="22"/>
        </w:rPr>
        <w:t>tisíc</w:t>
      </w:r>
      <w:r w:rsidRPr="00FB196A">
        <w:rPr>
          <w:rFonts w:ascii="Arial" w:hAnsi="Arial" w:cs="Arial"/>
          <w:b/>
          <w:sz w:val="22"/>
          <w:szCs w:val="22"/>
        </w:rPr>
        <w:t xml:space="preserve"> korun českých)</w:t>
      </w:r>
      <w:r w:rsidRPr="00FB196A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Pr="006A52A0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</w:t>
      </w:r>
      <w:r w:rsidR="00284A41" w:rsidRPr="006A52A0">
        <w:rPr>
          <w:rFonts w:ascii="Arial" w:hAnsi="Arial" w:cs="Arial"/>
          <w:sz w:val="22"/>
          <w:szCs w:val="22"/>
        </w:rPr>
        <w:t xml:space="preserve">schránkou (identifikace: trfaa33) nebo elektronickou poštou na adresu </w:t>
      </w:r>
      <w:hyperlink r:id="rId8" w:history="1">
        <w:r w:rsidR="00284A41" w:rsidRPr="006A52A0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6A52A0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53EAEFC3" w14:textId="77777777" w:rsidR="006A52A0" w:rsidRDefault="006A52A0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4D586A18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18476109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="00D74B1B">
        <w:rPr>
          <w:rFonts w:ascii="Arial" w:hAnsi="Arial" w:cs="Arial"/>
          <w:sz w:val="22"/>
          <w:szCs w:val="22"/>
        </w:rPr>
        <w:t>TV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33C86A75" w:rsidR="00866A55" w:rsidRPr="00CC1ECA" w:rsidRDefault="00D74B1B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5E49D2">
        <w:t>XXXXX</w:t>
      </w:r>
    </w:p>
    <w:p w14:paraId="00D90D96" w14:textId="468BD7AC" w:rsidR="00866A55" w:rsidRDefault="00866A55" w:rsidP="00CC1ECA">
      <w:pPr>
        <w:pStyle w:val="Zkladntextodsazen"/>
        <w:tabs>
          <w:tab w:val="left" w:pos="567"/>
        </w:tabs>
        <w:ind w:left="357"/>
        <w:jc w:val="both"/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5E49D2" w:rsidRPr="005E49D2">
        <w:t xml:space="preserve"> </w:t>
      </w:r>
      <w:r w:rsidR="005E49D2">
        <w:t>XXXXX</w:t>
      </w:r>
      <w:r w:rsidR="005E49D2" w:rsidRPr="00CC1ECA">
        <w:rPr>
          <w:rFonts w:ascii="Arial" w:hAnsi="Arial" w:cs="Arial"/>
          <w:sz w:val="22"/>
          <w:szCs w:val="22"/>
        </w:rPr>
        <w:t xml:space="preserve"> </w:t>
      </w:r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4E3846EC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D74B1B">
        <w:rPr>
          <w:rFonts w:ascii="Arial" w:hAnsi="Arial" w:cs="Arial"/>
          <w:sz w:val="22"/>
          <w:szCs w:val="22"/>
        </w:rPr>
        <w:t>VAC</w:t>
      </w:r>
      <w:r w:rsidRPr="00CC1ECA">
        <w:rPr>
          <w:rFonts w:ascii="Arial" w:hAnsi="Arial" w:cs="Arial"/>
          <w:sz w:val="22"/>
          <w:szCs w:val="22"/>
        </w:rPr>
        <w:t xml:space="preserve">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1C1CD5C3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5E49D2">
        <w:t>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5E49D2">
        <w:t>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587F5870" w14:textId="245A7D2F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5E49D2">
        <w:t>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A52A0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E26B1C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7678E87E" w:rsidR="00C074CE" w:rsidRPr="00E26B1C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 xml:space="preserve">Odbor </w:t>
      </w:r>
      <w:r w:rsidR="00AD7C6F" w:rsidRPr="00E26B1C">
        <w:rPr>
          <w:rFonts w:ascii="Arial" w:hAnsi="Arial" w:cs="Arial"/>
          <w:sz w:val="22"/>
          <w:szCs w:val="22"/>
        </w:rPr>
        <w:t>majetku a služeb</w:t>
      </w:r>
    </w:p>
    <w:p w14:paraId="145BD64C" w14:textId="3C3B784E" w:rsidR="00C074CE" w:rsidRPr="00E26B1C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>n</w:t>
      </w:r>
      <w:r w:rsidR="000C7EAF" w:rsidRPr="00E26B1C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2F1D3951" w:rsidR="00C074CE" w:rsidRPr="00E26B1C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 xml:space="preserve">Ing. </w:t>
      </w:r>
      <w:r w:rsidR="000C7EAF" w:rsidRPr="00E26B1C">
        <w:rPr>
          <w:rFonts w:ascii="Arial" w:hAnsi="Arial" w:cs="Arial"/>
          <w:sz w:val="22"/>
          <w:szCs w:val="22"/>
        </w:rPr>
        <w:t>Ivana Hošťálková</w:t>
      </w:r>
      <w:r w:rsidRPr="00E26B1C">
        <w:rPr>
          <w:rFonts w:ascii="Arial" w:hAnsi="Arial" w:cs="Arial"/>
          <w:sz w:val="22"/>
          <w:szCs w:val="22"/>
        </w:rPr>
        <w:t xml:space="preserve">, mob.: </w:t>
      </w:r>
      <w:r w:rsidR="005E49D2">
        <w:t>XXXXX</w:t>
      </w:r>
      <w:r w:rsidRPr="00E26B1C">
        <w:rPr>
          <w:rFonts w:ascii="Arial" w:hAnsi="Arial" w:cs="Arial"/>
          <w:sz w:val="22"/>
          <w:szCs w:val="22"/>
        </w:rPr>
        <w:t xml:space="preserve"> </w:t>
      </w:r>
    </w:p>
    <w:p w14:paraId="0A8F6493" w14:textId="5116C675" w:rsidR="00C074CE" w:rsidRPr="00E26B1C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 xml:space="preserve">email: </w:t>
      </w:r>
      <w:r w:rsidR="005E49D2">
        <w:t>XXXXX</w:t>
      </w:r>
      <w:r w:rsidRPr="00E26B1C">
        <w:rPr>
          <w:rFonts w:ascii="Arial" w:hAnsi="Arial" w:cs="Arial"/>
          <w:sz w:val="22"/>
          <w:szCs w:val="22"/>
        </w:rPr>
        <w:t xml:space="preserve"> </w:t>
      </w:r>
      <w:r w:rsidR="00BB4704" w:rsidRPr="00E26B1C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E26B1C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E26B1C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78121F4A" w:rsidR="000C7EAF" w:rsidRPr="006A52A0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E26B1C">
        <w:rPr>
          <w:rFonts w:ascii="Arial" w:hAnsi="Arial" w:cs="Arial"/>
          <w:sz w:val="22"/>
          <w:szCs w:val="22"/>
        </w:rPr>
        <w:t xml:space="preserve">Odbor </w:t>
      </w:r>
      <w:r w:rsidR="00AD7C6F" w:rsidRPr="00E26B1C">
        <w:rPr>
          <w:rFonts w:ascii="Arial" w:hAnsi="Arial" w:cs="Arial"/>
          <w:sz w:val="22"/>
          <w:szCs w:val="22"/>
        </w:rPr>
        <w:t>majetku a služeb</w:t>
      </w:r>
      <w:r w:rsidRPr="00E26B1C">
        <w:rPr>
          <w:rFonts w:ascii="Arial" w:hAnsi="Arial" w:cs="Arial"/>
          <w:sz w:val="22"/>
          <w:szCs w:val="22"/>
        </w:rPr>
        <w:t>, Oddělení</w:t>
      </w:r>
      <w:r w:rsidRPr="006A52A0">
        <w:rPr>
          <w:rFonts w:ascii="Arial" w:hAnsi="Arial" w:cs="Arial"/>
          <w:sz w:val="22"/>
          <w:szCs w:val="22"/>
        </w:rPr>
        <w:t xml:space="preserve"> dopravy</w:t>
      </w:r>
    </w:p>
    <w:p w14:paraId="42C341CB" w14:textId="77777777" w:rsidR="00BB4704" w:rsidRPr="006A52A0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33C9F007" w:rsidR="000C7EAF" w:rsidRPr="006A52A0" w:rsidRDefault="007A22AE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Vokáč</w:t>
      </w:r>
      <w:r w:rsidR="00BB4704" w:rsidRPr="006A52A0">
        <w:rPr>
          <w:rFonts w:ascii="Arial" w:hAnsi="Arial" w:cs="Arial"/>
          <w:sz w:val="22"/>
          <w:szCs w:val="22"/>
        </w:rPr>
        <w:t xml:space="preserve">, </w:t>
      </w:r>
      <w:r w:rsidR="000C7EAF" w:rsidRPr="006A52A0">
        <w:rPr>
          <w:rFonts w:ascii="Arial" w:hAnsi="Arial" w:cs="Arial"/>
          <w:sz w:val="22"/>
          <w:szCs w:val="22"/>
        </w:rPr>
        <w:t xml:space="preserve">mob.: </w:t>
      </w:r>
      <w:r w:rsidR="005E49D2">
        <w:t>XXXXX</w:t>
      </w:r>
      <w:r w:rsidR="000C7EAF" w:rsidRPr="006A52A0">
        <w:rPr>
          <w:rFonts w:ascii="Arial" w:hAnsi="Arial" w:cs="Arial"/>
          <w:sz w:val="22"/>
          <w:szCs w:val="22"/>
        </w:rPr>
        <w:t>,</w:t>
      </w:r>
    </w:p>
    <w:p w14:paraId="69D7F5CC" w14:textId="6055CE8F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email: </w:t>
      </w:r>
      <w:r w:rsidR="005E49D2">
        <w:t>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F58972" w14:textId="77777777" w:rsidR="006A52A0" w:rsidRDefault="006A52A0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7326230" w14:textId="279BD98C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7EC874A4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</w:t>
      </w:r>
      <w:r w:rsidR="00CE47A5">
        <w:rPr>
          <w:rFonts w:ascii="Arial" w:hAnsi="Arial" w:cs="Arial"/>
          <w:sz w:val="22"/>
          <w:szCs w:val="22"/>
        </w:rPr>
        <w:t>bere na vědomí, že tato smlouva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, včetně všech jejích případných dodatků, </w:t>
      </w:r>
      <w:r w:rsidR="00CE47A5">
        <w:rPr>
          <w:rFonts w:ascii="Arial" w:hAnsi="Arial" w:cs="Arial"/>
          <w:spacing w:val="-5"/>
          <w:sz w:val="22"/>
          <w:szCs w:val="22"/>
        </w:rPr>
        <w:t>bude ve svém plném znění objednatelem uveřejněna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k uveřejnění těchto údajů potřebný souhlas dotčených osob, poskytovatel výslovně prohlašuje, že takový souhlas všech dotčených osob zajistil.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09410D03" w14:textId="4DB6C206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1B85FF21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D74B1B">
        <w:rPr>
          <w:rFonts w:ascii="Arial" w:hAnsi="Arial" w:cs="Arial"/>
          <w:sz w:val="22"/>
          <w:szCs w:val="22"/>
        </w:rPr>
        <w:t>je podepsána elektronicky</w:t>
      </w:r>
      <w:r w:rsidRPr="001C6E0F">
        <w:rPr>
          <w:rFonts w:ascii="Arial" w:hAnsi="Arial" w:cs="Arial"/>
          <w:sz w:val="22"/>
          <w:szCs w:val="22"/>
        </w:rPr>
        <w:t>.</w:t>
      </w:r>
    </w:p>
    <w:p w14:paraId="2A8C54BF" w14:textId="668322F7" w:rsidR="003D10BE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126D7C0E" w:rsidR="00347068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D3CCE86" w14:textId="70CBAF50" w:rsidR="003D10BE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1117896" w14:textId="77777777" w:rsidR="003D10BE" w:rsidRPr="008C1E14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DA6A814" w14:textId="76086100" w:rsidR="000765FB" w:rsidRPr="008C1E14" w:rsidRDefault="00B11345" w:rsidP="000765FB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lastRenderedPageBreak/>
        <w:t>Dne</w:t>
      </w:r>
      <w:r w:rsidR="004D4F23" w:rsidRPr="008C1E14">
        <w:rPr>
          <w:rFonts w:ascii="Arial" w:hAnsi="Arial" w:cs="Arial"/>
          <w:sz w:val="22"/>
          <w:szCs w:val="22"/>
        </w:rPr>
        <w:t xml:space="preserve">: </w:t>
      </w:r>
      <w:r w:rsidR="00824189">
        <w:rPr>
          <w:rFonts w:ascii="Arial" w:hAnsi="Arial" w:cs="Arial"/>
          <w:sz w:val="22"/>
          <w:szCs w:val="22"/>
        </w:rPr>
        <w:t>24.01</w:t>
      </w:r>
      <w:bookmarkStart w:id="0" w:name="_GoBack"/>
      <w:bookmarkEnd w:id="0"/>
      <w:r w:rsidR="000765FB">
        <w:rPr>
          <w:rFonts w:ascii="Arial" w:hAnsi="Arial" w:cs="Arial"/>
          <w:sz w:val="22"/>
          <w:szCs w:val="22"/>
        </w:rPr>
        <w:t>.2023</w:t>
      </w:r>
    </w:p>
    <w:p w14:paraId="3E51E840" w14:textId="776B41EC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6A52A0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264BFB52" w:rsidR="004D4F23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4BF530AF" w14:textId="77777777" w:rsidR="003D10BE" w:rsidRPr="006A52A0" w:rsidRDefault="003D10BE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6A52A0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6A52A0">
        <w:rPr>
          <w:rFonts w:ascii="Arial" w:hAnsi="Arial" w:cs="Arial"/>
          <w:color w:val="auto"/>
          <w:sz w:val="22"/>
          <w:szCs w:val="22"/>
        </w:rPr>
        <w:t>________________________</w:t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="008E2C4B" w:rsidRPr="006A52A0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4502CA78" w:rsidR="0049108E" w:rsidRPr="006A52A0" w:rsidRDefault="00D32A12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723CD4">
        <w:rPr>
          <w:rFonts w:ascii="Arial" w:hAnsi="Arial" w:cs="Arial"/>
          <w:sz w:val="22"/>
          <w:szCs w:val="22"/>
        </w:rPr>
        <w:t xml:space="preserve"> </w:t>
      </w:r>
      <w:r w:rsidR="005E49D2">
        <w:rPr>
          <w:rFonts w:ascii="Arial" w:hAnsi="Arial" w:cs="Arial"/>
          <w:sz w:val="22"/>
          <w:szCs w:val="22"/>
        </w:rPr>
        <w:t>v.</w:t>
      </w:r>
      <w:r w:rsidR="00723CD4">
        <w:rPr>
          <w:rFonts w:ascii="Arial" w:hAnsi="Arial" w:cs="Arial"/>
          <w:sz w:val="22"/>
          <w:szCs w:val="22"/>
        </w:rPr>
        <w:t xml:space="preserve"> </w:t>
      </w:r>
      <w:r w:rsidR="005E49D2">
        <w:rPr>
          <w:rFonts w:ascii="Arial" w:hAnsi="Arial" w:cs="Arial"/>
          <w:sz w:val="22"/>
          <w:szCs w:val="22"/>
        </w:rPr>
        <w:t>r.</w:t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723CD4">
        <w:rPr>
          <w:rFonts w:ascii="Arial" w:hAnsi="Arial" w:cs="Arial"/>
          <w:sz w:val="22"/>
          <w:szCs w:val="22"/>
        </w:rPr>
        <w:tab/>
      </w:r>
      <w:r w:rsidR="008C1E14" w:rsidRPr="006A52A0">
        <w:rPr>
          <w:rFonts w:ascii="Arial" w:hAnsi="Arial" w:cs="Arial"/>
          <w:sz w:val="22"/>
          <w:szCs w:val="22"/>
        </w:rPr>
        <w:t>Ing. Ivana Hošťálková</w:t>
      </w:r>
      <w:r w:rsidR="0049108E" w:rsidRPr="006A52A0">
        <w:rPr>
          <w:rFonts w:ascii="Arial" w:hAnsi="Arial" w:cs="Arial"/>
          <w:sz w:val="22"/>
          <w:szCs w:val="22"/>
        </w:rPr>
        <w:t xml:space="preserve"> </w:t>
      </w:r>
      <w:r w:rsidR="005E49D2">
        <w:rPr>
          <w:rFonts w:ascii="Arial" w:hAnsi="Arial" w:cs="Arial"/>
          <w:sz w:val="22"/>
          <w:szCs w:val="22"/>
        </w:rPr>
        <w:t>v.</w:t>
      </w:r>
      <w:r w:rsidR="00723CD4">
        <w:rPr>
          <w:rFonts w:ascii="Arial" w:hAnsi="Arial" w:cs="Arial"/>
          <w:sz w:val="22"/>
          <w:szCs w:val="22"/>
        </w:rPr>
        <w:t xml:space="preserve"> </w:t>
      </w:r>
      <w:r w:rsidR="005E49D2">
        <w:rPr>
          <w:rFonts w:ascii="Arial" w:hAnsi="Arial" w:cs="Arial"/>
          <w:sz w:val="22"/>
          <w:szCs w:val="22"/>
        </w:rPr>
        <w:t>r.</w:t>
      </w:r>
    </w:p>
    <w:p w14:paraId="3EB6E24C" w14:textId="43764917" w:rsidR="008C1E14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prodeje státní správě</w:t>
      </w:r>
      <w:r w:rsidR="008C1E14" w:rsidRPr="006A52A0">
        <w:rPr>
          <w:rFonts w:ascii="Arial" w:hAnsi="Arial" w:cs="Arial"/>
          <w:sz w:val="22"/>
          <w:szCs w:val="22"/>
        </w:rPr>
        <w:tab/>
      </w:r>
      <w:r w:rsidR="008C1E14" w:rsidRPr="00E26B1C">
        <w:rPr>
          <w:rFonts w:ascii="Arial" w:hAnsi="Arial" w:cs="Arial"/>
          <w:sz w:val="22"/>
          <w:szCs w:val="22"/>
        </w:rPr>
        <w:t xml:space="preserve">ředitelka Odboru </w:t>
      </w:r>
      <w:r w:rsidR="00AD7C6F" w:rsidRPr="00E26B1C">
        <w:rPr>
          <w:rFonts w:ascii="Arial" w:hAnsi="Arial" w:cs="Arial"/>
          <w:sz w:val="22"/>
          <w:szCs w:val="22"/>
        </w:rPr>
        <w:t>majetku a služeb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13F614A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27844733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268B6E75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D32A12">
        <w:rPr>
          <w:rFonts w:ascii="Arial" w:hAnsi="Arial" w:cs="Arial"/>
          <w:sz w:val="22"/>
          <w:szCs w:val="22"/>
        </w:rPr>
        <w:t>Vítězslav Pelc</w:t>
      </w:r>
      <w:r w:rsidR="005E49D2">
        <w:rPr>
          <w:rFonts w:ascii="Arial" w:hAnsi="Arial" w:cs="Arial"/>
          <w:sz w:val="22"/>
          <w:szCs w:val="22"/>
        </w:rPr>
        <w:t xml:space="preserve"> v.</w:t>
      </w:r>
      <w:r w:rsidR="00723CD4">
        <w:rPr>
          <w:rFonts w:ascii="Arial" w:hAnsi="Arial" w:cs="Arial"/>
          <w:sz w:val="22"/>
          <w:szCs w:val="22"/>
        </w:rPr>
        <w:t xml:space="preserve"> </w:t>
      </w:r>
      <w:r w:rsidR="005E49D2">
        <w:rPr>
          <w:rFonts w:ascii="Arial" w:hAnsi="Arial" w:cs="Arial"/>
          <w:sz w:val="22"/>
          <w:szCs w:val="22"/>
        </w:rPr>
        <w:t>r.</w:t>
      </w:r>
    </w:p>
    <w:p w14:paraId="5738270A" w14:textId="1EEC7B35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sponzoringu a eventů</w:t>
      </w:r>
    </w:p>
    <w:p w14:paraId="1CABA242" w14:textId="7F7C6F47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3C5E490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sectPr w:rsidR="00D32A12" w:rsidRPr="008C1E14" w:rsidSect="008C1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676DB" w14:textId="77777777" w:rsidR="007A50AB" w:rsidRDefault="007A50AB">
      <w:r>
        <w:separator/>
      </w:r>
    </w:p>
  </w:endnote>
  <w:endnote w:type="continuationSeparator" w:id="0">
    <w:p w14:paraId="0A14BB76" w14:textId="77777777" w:rsidR="007A50AB" w:rsidRDefault="007A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0B8A" w14:textId="77777777" w:rsidR="00D74B1B" w:rsidRDefault="00D74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5711CBA6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24189">
      <w:rPr>
        <w:rFonts w:ascii="Arial" w:hAnsi="Arial" w:cs="Arial"/>
        <w:bCs/>
        <w:noProof/>
        <w:sz w:val="18"/>
        <w:szCs w:val="18"/>
      </w:rPr>
      <w:t>5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24189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ED19" w14:textId="1B35CE32" w:rsidR="00D74B1B" w:rsidRDefault="00D7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C139" w14:textId="77777777" w:rsidR="007A50AB" w:rsidRDefault="007A50AB">
      <w:r>
        <w:separator/>
      </w:r>
    </w:p>
  </w:footnote>
  <w:footnote w:type="continuationSeparator" w:id="0">
    <w:p w14:paraId="4754DE77" w14:textId="77777777" w:rsidR="007A50AB" w:rsidRDefault="007A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6B77" w14:textId="77777777" w:rsidR="00D74B1B" w:rsidRDefault="00D74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757B" w14:textId="77777777" w:rsidR="00D74B1B" w:rsidRDefault="00D74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65FB"/>
    <w:rsid w:val="000772DE"/>
    <w:rsid w:val="00082863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5ADB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5433"/>
    <w:rsid w:val="001F66FC"/>
    <w:rsid w:val="001F6D25"/>
    <w:rsid w:val="002071AF"/>
    <w:rsid w:val="00211EB9"/>
    <w:rsid w:val="00214383"/>
    <w:rsid w:val="00222ED5"/>
    <w:rsid w:val="002247DF"/>
    <w:rsid w:val="0023192A"/>
    <w:rsid w:val="0023677C"/>
    <w:rsid w:val="00237D91"/>
    <w:rsid w:val="00250502"/>
    <w:rsid w:val="002600F6"/>
    <w:rsid w:val="00260643"/>
    <w:rsid w:val="002622B2"/>
    <w:rsid w:val="002636B1"/>
    <w:rsid w:val="002643D5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6E11"/>
    <w:rsid w:val="003C79FB"/>
    <w:rsid w:val="003C7DAD"/>
    <w:rsid w:val="003D0DD4"/>
    <w:rsid w:val="003D10BE"/>
    <w:rsid w:val="003D67D3"/>
    <w:rsid w:val="003E1EF4"/>
    <w:rsid w:val="003F25A0"/>
    <w:rsid w:val="003F6F5F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129C"/>
    <w:rsid w:val="00476049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301C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19D"/>
    <w:rsid w:val="005D6775"/>
    <w:rsid w:val="005E3096"/>
    <w:rsid w:val="005E49D2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A52A0"/>
    <w:rsid w:val="006B13A3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3CD4"/>
    <w:rsid w:val="00726A50"/>
    <w:rsid w:val="00737E63"/>
    <w:rsid w:val="007401F8"/>
    <w:rsid w:val="00740BCB"/>
    <w:rsid w:val="00742BC5"/>
    <w:rsid w:val="00747B1D"/>
    <w:rsid w:val="0075171A"/>
    <w:rsid w:val="00753EC7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3B54"/>
    <w:rsid w:val="007949DC"/>
    <w:rsid w:val="007A0FDA"/>
    <w:rsid w:val="007A22AE"/>
    <w:rsid w:val="007A3887"/>
    <w:rsid w:val="007A48A0"/>
    <w:rsid w:val="007A50AB"/>
    <w:rsid w:val="007B1FB4"/>
    <w:rsid w:val="007B34CA"/>
    <w:rsid w:val="007C357C"/>
    <w:rsid w:val="007D233E"/>
    <w:rsid w:val="007D4982"/>
    <w:rsid w:val="007D5AB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2245C"/>
    <w:rsid w:val="00824189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16A3"/>
    <w:rsid w:val="00862324"/>
    <w:rsid w:val="00863C61"/>
    <w:rsid w:val="008652CB"/>
    <w:rsid w:val="00866A55"/>
    <w:rsid w:val="00871566"/>
    <w:rsid w:val="00876DCB"/>
    <w:rsid w:val="00877406"/>
    <w:rsid w:val="008779A4"/>
    <w:rsid w:val="00880394"/>
    <w:rsid w:val="008807C2"/>
    <w:rsid w:val="0088145D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4D6D"/>
    <w:rsid w:val="009A6DFA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057D7"/>
    <w:rsid w:val="00A101EF"/>
    <w:rsid w:val="00A12E8C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3803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D74E1"/>
    <w:rsid w:val="00AD7C6F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75EF"/>
    <w:rsid w:val="00C02004"/>
    <w:rsid w:val="00C074C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E47A5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32A12"/>
    <w:rsid w:val="00D36590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1B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9CB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23B45"/>
    <w:rsid w:val="00E26B1C"/>
    <w:rsid w:val="00E31C58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46D6"/>
    <w:rsid w:val="00FA67E3"/>
    <w:rsid w:val="00FB196A"/>
    <w:rsid w:val="00FB30B1"/>
    <w:rsid w:val="00FC20E2"/>
    <w:rsid w:val="00FC24A4"/>
    <w:rsid w:val="00FC52CD"/>
    <w:rsid w:val="00FD2306"/>
    <w:rsid w:val="00FD63B0"/>
    <w:rsid w:val="00FD698F"/>
    <w:rsid w:val="00FE093A"/>
    <w:rsid w:val="00FF244F"/>
    <w:rsid w:val="00FF288A"/>
    <w:rsid w:val="00FF6E06"/>
    <w:rsid w:val="00FF7723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0B153"/>
  <w15:docId w15:val="{A540B70C-EB7D-46F8-A644-7EEE029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758F-011A-4D92-8954-62F3D5B5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2148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Lupjanová Alena</cp:lastModifiedBy>
  <cp:revision>7</cp:revision>
  <cp:lastPrinted>2019-07-25T12:57:00Z</cp:lastPrinted>
  <dcterms:created xsi:type="dcterms:W3CDTF">2023-01-25T07:44:00Z</dcterms:created>
  <dcterms:modified xsi:type="dcterms:W3CDTF">2023-01-25T09:07:00Z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2022-10-05T08:32:56Z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caf800bf-836d-4a56-8bb9-83f9c84a6c2a</vt:lpwstr>
  </property>
  <property fmtid="{D5CDD505-2E9C-101B-9397-08002B2CF9AE}" pid="8" name="MSIP_Label_a6b84135-ab90-4b03-a415-784f8f15a7f1_ContentBits">
    <vt:lpwstr>0</vt:lpwstr>
  </property>
</Properties>
</file>