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B4" w:rsidRDefault="0045502C">
      <w:pPr>
        <w:pStyle w:val="Vchoz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after="120"/>
        <w:jc w:val="center"/>
        <w:outlineLvl w:val="0"/>
        <w:rPr>
          <w:rFonts w:ascii="Calibri" w:eastAsia="Calibri" w:hAnsi="Calibri" w:cs="Calibri"/>
          <w:b/>
          <w:bCs/>
          <w:kern w:val="2"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kern w:val="2"/>
          <w:sz w:val="28"/>
          <w:szCs w:val="28"/>
          <w:u w:color="000000"/>
        </w:rPr>
        <w:t>Smlouva o servisní činnosti</w:t>
      </w: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2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99"/>
        <w:gridCol w:w="6901"/>
      </w:tblGrid>
      <w:tr w:rsidR="002E28B4">
        <w:trPr>
          <w:trHeight w:val="216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OBJEDNATEL: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pStyle w:val="Vchoz"/>
              <w:spacing w:before="0"/>
            </w:pPr>
            <w:r>
              <w:rPr>
                <w:rFonts w:ascii="Calibri" w:hAnsi="Calibri"/>
                <w:sz w:val="20"/>
                <w:szCs w:val="20"/>
              </w:rPr>
              <w:t>Základní umělecká škola Litvínov, Podkrušnohorská 1720</w:t>
            </w:r>
          </w:p>
        </w:tc>
      </w:tr>
      <w:tr w:rsidR="002E28B4">
        <w:trPr>
          <w:trHeight w:val="216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SÍDLO: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pStyle w:val="Vchoz"/>
              <w:spacing w:before="0"/>
            </w:pPr>
            <w:r>
              <w:rPr>
                <w:rFonts w:ascii="Calibri" w:hAnsi="Calibri"/>
                <w:sz w:val="20"/>
                <w:szCs w:val="20"/>
              </w:rPr>
              <w:t>Podkrušnohorská 1720, Horní Litvínov, 436 01 Litvínov</w:t>
            </w:r>
          </w:p>
        </w:tc>
      </w:tr>
      <w:tr w:rsidR="002E28B4">
        <w:trPr>
          <w:trHeight w:val="216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IČ</w:t>
            </w: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pStyle w:val="Vchoz"/>
              <w:widowControl w:val="0"/>
              <w:suppressAutoHyphens/>
              <w:spacing w:before="0"/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u w:color="000000"/>
              </w:rPr>
              <w:t>00832430</w:t>
            </w:r>
          </w:p>
        </w:tc>
      </w:tr>
      <w:tr w:rsidR="002E28B4">
        <w:trPr>
          <w:trHeight w:val="216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ZASTOUPEN: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pStyle w:val="Vchoz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spacing w:before="0"/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u w:color="000000"/>
              </w:rPr>
              <w:t>Bc. Jaroslavem Sochorem, ředitelem školy</w:t>
            </w:r>
          </w:p>
        </w:tc>
      </w:tr>
    </w:tbl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„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gram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2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99"/>
        <w:gridCol w:w="6901"/>
      </w:tblGrid>
      <w:tr w:rsidR="002E28B4">
        <w:trPr>
          <w:trHeight w:val="2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DODAVATEL: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SOFTEX NCP, s.r.o.</w:t>
            </w:r>
          </w:p>
        </w:tc>
      </w:tr>
      <w:tr w:rsidR="002E28B4">
        <w:trPr>
          <w:trHeight w:val="2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SÍDLO: 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</w:pPr>
            <w:proofErr w:type="spellStart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Růžová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1426, 434 01 Most</w:t>
            </w:r>
          </w:p>
        </w:tc>
      </w:tr>
      <w:tr w:rsidR="002E28B4">
        <w:trPr>
          <w:trHeight w:val="2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IČ</w:t>
            </w: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O: 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622 43 608</w:t>
            </w:r>
          </w:p>
        </w:tc>
      </w:tr>
      <w:tr w:rsidR="002E28B4">
        <w:trPr>
          <w:trHeight w:val="2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DIČ: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CZ62243608</w:t>
            </w:r>
          </w:p>
        </w:tc>
      </w:tr>
      <w:tr w:rsidR="002E28B4">
        <w:trPr>
          <w:trHeight w:val="2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BANKOVN</w:t>
            </w: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 SPOJENÍ: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KB Most – č.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účtu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7541491/0100</w:t>
            </w:r>
          </w:p>
        </w:tc>
      </w:tr>
      <w:tr w:rsidR="002E28B4">
        <w:trPr>
          <w:trHeight w:val="2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ZASTOUPEN: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</w:pPr>
            <w:proofErr w:type="spellStart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Miroslavem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Průšou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jednatelem</w:t>
            </w:r>
            <w:proofErr w:type="spellEnd"/>
          </w:p>
        </w:tc>
      </w:tr>
      <w:tr w:rsidR="002E28B4">
        <w:trPr>
          <w:trHeight w:val="2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VEDEN U SOUDU, SPISOVÁ </w:t>
            </w: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</w:t>
            </w: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ČKA: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</w:pPr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KS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Ústí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nad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Labem,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oddí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 C, vlo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žka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8233</w:t>
            </w:r>
          </w:p>
        </w:tc>
      </w:tr>
    </w:tbl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„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gram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společně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tak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jako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„</w:t>
      </w:r>
      <w:proofErr w:type="spellStart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gram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uzavírají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níže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dne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měsíce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roku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tuto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„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gram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pStyle w:val="Vchoz"/>
        <w:widowControl w:val="0"/>
        <w:numPr>
          <w:ilvl w:val="0"/>
          <w:numId w:val="2"/>
        </w:numPr>
        <w:suppressAutoHyphens/>
        <w:spacing w:before="120" w:line="276" w:lineRule="auto"/>
        <w:jc w:val="center"/>
        <w:outlineLvl w:val="1"/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  <w:t>Předmět plnění</w:t>
      </w:r>
    </w:p>
    <w:p w:rsidR="002E28B4" w:rsidRDefault="0045502C">
      <w:pPr>
        <w:pStyle w:val="Text"/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Předmě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pt-PT"/>
        </w:rPr>
        <w:t>tem t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to smlouvy je činnost Dodavatele pro Objednatele spočívající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a-DK"/>
        </w:rPr>
        <w:t>v:</w:t>
      </w:r>
    </w:p>
    <w:p w:rsidR="002E28B4" w:rsidRDefault="0045502C">
      <w:pPr>
        <w:pStyle w:val="Text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provádění profylaktických prohlídek;</w:t>
      </w:r>
    </w:p>
    <w:p w:rsidR="002E28B4" w:rsidRDefault="0045502C">
      <w:pPr>
        <w:pStyle w:val="Text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dálkov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a lokální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spr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ávě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PC a serverů;</w:t>
      </w:r>
    </w:p>
    <w:p w:rsidR="002E28B4" w:rsidRDefault="0045502C">
      <w:pPr>
        <w:pStyle w:val="Text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poskytování telefonických konzultací;</w:t>
      </w:r>
    </w:p>
    <w:p w:rsidR="002E28B4" w:rsidRDefault="0045502C">
      <w:pPr>
        <w:pStyle w:val="Text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servisu výpočetní,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kancelářsk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a telekomunikační techniky a servisu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počítačov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sítě a jejích komponentů;</w:t>
      </w:r>
    </w:p>
    <w:p w:rsidR="002E28B4" w:rsidRDefault="0045502C">
      <w:pPr>
        <w:pStyle w:val="Text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zajištění dodá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>vek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 xml:space="preserve"> hardware a software, n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áhradní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ch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 xml:space="preserve"> d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ílů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a spotřebního materiálu dle individuální objednávky nebo potvrzen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nabídky;</w:t>
      </w:r>
    </w:p>
    <w:p w:rsidR="002E28B4" w:rsidRDefault="0045502C">
      <w:pPr>
        <w:pStyle w:val="Vchoz"/>
        <w:widowControl w:val="0"/>
        <w:numPr>
          <w:ilvl w:val="0"/>
          <w:numId w:val="5"/>
        </w:numPr>
        <w:suppressAutoHyphens/>
        <w:spacing w:before="120" w:line="276" w:lineRule="auto"/>
        <w:jc w:val="center"/>
        <w:outlineLvl w:val="1"/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  <w:t>Provádění profylaktických prohlídek</w:t>
      </w:r>
    </w:p>
    <w:p w:rsidR="002E28B4" w:rsidRDefault="0045502C">
      <w:pPr>
        <w:pStyle w:val="Text"/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Během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profylaktick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prohlídky budou provedeny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běžn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kontrolní akce související s provozem zařízení Objednatele, tj. zejm. aktualizace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antivirov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ochrany, aktualizace operačních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syst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mů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, údržba HDD na jednotlivých stanicích, údržba tiskáren (mimo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výmě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>ny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 xml:space="preserve"> toner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ů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a cartridg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í), dodávky smluvními stranami dohodnut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ho spotřebního materiálu, běžná údržba směrovač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pt-PT"/>
        </w:rPr>
        <w:t>e a p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ří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p. dal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ší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činnosti dle dohody smluvních stran. Kontrola funkčnosti kancelářských balíků MS Office, Profylaktická prohlídka nezahrnuje instalaci nových stanic, serverů a síťových komponent, instalaci nov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 xml:space="preserve">ho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>softwarov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ho vybavení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a dal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ší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činnosti nad rámec běžné údržby. V případě nevyužitých hodin v jednom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měsící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je lze použít na instalaci nových </w:t>
      </w:r>
      <w:proofErr w:type="spellStart"/>
      <w:proofErr w:type="gram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stanic.Nevyužité</w:t>
      </w:r>
      <w:proofErr w:type="spellEnd"/>
      <w:proofErr w:type="gram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hodiny se nepřevádějí do dalších měsíců.</w:t>
      </w:r>
    </w:p>
    <w:p w:rsidR="002E28B4" w:rsidRDefault="0045502C">
      <w:pPr>
        <w:pStyle w:val="Text"/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Profylaktick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prohlídky budou prováděny v provozních hodinách Objednatele v termínu dle dohody kontaktní osoby Dodavatele dle čl. X. odst. 2 t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to smlouvy a kontaktní osoby Objednatele dle čl. X. odst. 1 t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to smlouvy nebo jin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opr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ávněn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osoby Objednatele.</w:t>
      </w:r>
    </w:p>
    <w:p w:rsidR="002E28B4" w:rsidRDefault="0045502C">
      <w:pPr>
        <w:pStyle w:val="Vchoz"/>
        <w:widowControl w:val="0"/>
        <w:numPr>
          <w:ilvl w:val="0"/>
          <w:numId w:val="8"/>
        </w:numPr>
        <w:suppressAutoHyphens/>
        <w:spacing w:before="120" w:line="276" w:lineRule="auto"/>
        <w:jc w:val="center"/>
        <w:outlineLvl w:val="1"/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  <w:t xml:space="preserve">Dálková a lokální </w:t>
      </w:r>
      <w:proofErr w:type="spellStart"/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  <w:lang w:val="de-DE"/>
        </w:rPr>
        <w:t>spr</w:t>
      </w:r>
      <w:proofErr w:type="spellEnd"/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  <w:t>á</w:t>
      </w: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  <w:lang w:val="it-IT"/>
        </w:rPr>
        <w:t>va server</w:t>
      </w: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  <w:t xml:space="preserve">ů </w:t>
      </w: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  <w:lang w:val="it-IT"/>
        </w:rPr>
        <w:t>a dal</w:t>
      </w: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  <w:t>ších zařízení</w:t>
      </w:r>
    </w:p>
    <w:p w:rsidR="002E28B4" w:rsidRDefault="0045502C">
      <w:pPr>
        <w:pStyle w:val="Text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Během kontroly serverů vždy proběhne kontrola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oparačního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systému a jeho aktualizací, monitoring stavu serveru, reporty serveru. </w:t>
      </w:r>
    </w:p>
    <w:p w:rsidR="002E28B4" w:rsidRDefault="0045502C">
      <w:pPr>
        <w:pStyle w:val="Text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Objednatel se zavazuje umožnit Dodavateli přístup do všech serverů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a dal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ších zařízení,</w:t>
      </w:r>
      <w:r>
        <w:rPr>
          <w:rFonts w:ascii="Calibri" w:eastAsia="Calibri" w:hAnsi="Calibri" w:cs="Calibri"/>
          <w:color w:val="CE181E"/>
          <w:kern w:val="2"/>
          <w:sz w:val="18"/>
          <w:szCs w:val="18"/>
          <w:u w:color="CE181E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kter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mají být Dodavatelem spravovány, a to včetně vzdálen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ho přístupu.</w:t>
      </w:r>
    </w:p>
    <w:p w:rsidR="002E28B4" w:rsidRDefault="0045502C">
      <w:pPr>
        <w:pStyle w:val="Text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lastRenderedPageBreak/>
        <w:t xml:space="preserve">Objednatel se zavazuje poskytnout Dodavateli při správě serverů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a dal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ších zařízení</w:t>
      </w:r>
      <w:r>
        <w:rPr>
          <w:rFonts w:ascii="Calibri" w:eastAsia="Calibri" w:hAnsi="Calibri" w:cs="Calibri"/>
          <w:color w:val="CE181E"/>
          <w:kern w:val="2"/>
          <w:sz w:val="18"/>
          <w:szCs w:val="18"/>
          <w:u w:color="CE181E"/>
        </w:rPr>
        <w:t xml:space="preserve">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i dal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ší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potřebnou součinnost, zejm.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prov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st opatření, která pomohou upřesnit diagnostiku serverů</w:t>
      </w:r>
      <w:r>
        <w:rPr>
          <w:rFonts w:ascii="Calibri" w:eastAsia="Calibri" w:hAnsi="Calibri" w:cs="Calibri"/>
          <w:color w:val="CE181E"/>
          <w:kern w:val="2"/>
          <w:sz w:val="18"/>
          <w:szCs w:val="18"/>
          <w:u w:color="CE181E"/>
        </w:rPr>
        <w:t xml:space="preserve">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a dal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ších zařízení nebo usnadnit jejich správu.</w:t>
      </w:r>
    </w:p>
    <w:p w:rsidR="002E28B4" w:rsidRDefault="002E28B4">
      <w:pPr>
        <w:pStyle w:val="Text"/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</w:p>
    <w:p w:rsidR="002E28B4" w:rsidRDefault="002E28B4">
      <w:pPr>
        <w:pStyle w:val="Text"/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</w:p>
    <w:p w:rsidR="002E28B4" w:rsidRDefault="0045502C">
      <w:pPr>
        <w:pStyle w:val="Vchoz"/>
        <w:widowControl w:val="0"/>
        <w:numPr>
          <w:ilvl w:val="0"/>
          <w:numId w:val="11"/>
        </w:numPr>
        <w:suppressAutoHyphens/>
        <w:spacing w:before="120" w:line="276" w:lineRule="auto"/>
        <w:jc w:val="center"/>
        <w:outlineLvl w:val="1"/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  <w:t>Poskytování telefonických konzultací</w:t>
      </w:r>
    </w:p>
    <w:p w:rsidR="002E28B4" w:rsidRDefault="0045502C">
      <w:pPr>
        <w:pStyle w:val="Text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Dodavatel poskytne telefonickou konzultaci na základě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telefonick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výzvy Objednatele s ohledem na závažnost a druh problematiky v nejkratším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možn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pt-PT"/>
        </w:rPr>
        <w:t>m term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ínu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.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Telefonick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konzultace jsou poskytovány v pracovní dny od 8:00 do 16:00 hodin na telefonní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ch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 xml:space="preserve">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číslech kontaktních osob Dodavatele uvedený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ch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 xml:space="preserve"> v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 čl. X. odst. 2 t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to smlouvy.</w:t>
      </w:r>
    </w:p>
    <w:p w:rsidR="002E28B4" w:rsidRDefault="0045502C">
      <w:pPr>
        <w:pStyle w:val="Vchoz"/>
        <w:widowControl w:val="0"/>
        <w:numPr>
          <w:ilvl w:val="0"/>
          <w:numId w:val="14"/>
        </w:numPr>
        <w:suppressAutoHyphens/>
        <w:spacing w:before="120" w:line="276" w:lineRule="auto"/>
        <w:jc w:val="center"/>
        <w:outlineLvl w:val="1"/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  <w:t>Servisní činnost</w:t>
      </w:r>
    </w:p>
    <w:p w:rsidR="002E28B4" w:rsidRDefault="0045502C">
      <w:pPr>
        <w:pStyle w:val="Text"/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Dodavatel poskytuje Objednateli servis a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běžn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opravy výpočetní,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kancelářsk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a telekomunikační techniky a počítačový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ch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 xml:space="preserve"> s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ítí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a jejích komponentů na základě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nahl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ášení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potřeby servisního zásahu ze strany Objednatele. Dodavatel určuje a zodpovídá za způsob servisního zásahu včetně posloupnosti jednotlivý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ch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 xml:space="preserve">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činností. K tomu je Objednatel povinen poskytnout potřebnou součinnost, zejm. přístup k servisovaným zařízením. V případě, kdy Objednatel nezabezpečí Dodavatelem požadovanou součinnost (zpřístupnění servisovaných zařízení, poskytnutí potřebných informací, provozní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ch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 xml:space="preserve"> dat,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konfigurac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í apod.), je Objednatel povinen uhradit zhotoviteli zvýšen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náklady spojen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se servisní činností.</w:t>
      </w:r>
    </w:p>
    <w:p w:rsidR="002E28B4" w:rsidRDefault="002E28B4">
      <w:pPr>
        <w:pStyle w:val="Text"/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</w:p>
    <w:p w:rsidR="002E28B4" w:rsidRDefault="0045502C">
      <w:pPr>
        <w:pStyle w:val="Text"/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Dodavatel se zavazuje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prov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st servisní zásah v následující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>reak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ční době:</w:t>
      </w:r>
    </w:p>
    <w:p w:rsidR="002E28B4" w:rsidRDefault="0045502C">
      <w:pPr>
        <w:pStyle w:val="Text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při nahlášení v pracovní dny (Po – Pá mimo svátky) od 08:00 do 16:00 hodin do 2 hodin,</w:t>
      </w:r>
    </w:p>
    <w:p w:rsidR="002E28B4" w:rsidRDefault="0045502C">
      <w:pPr>
        <w:pStyle w:val="Text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při nahlášení v pracovní dny (Po – Pá mimo svátky) od 16:00 do 08:00 hodin do 4 hodin,</w:t>
      </w:r>
    </w:p>
    <w:p w:rsidR="002E28B4" w:rsidRDefault="0045502C">
      <w:pPr>
        <w:pStyle w:val="Text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při nahlášení mimo pracovní dny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 xml:space="preserve">(So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– Ne a svátky) od 00:00 do 24:00 hodin do 24 hodin. </w:t>
      </w:r>
    </w:p>
    <w:p w:rsidR="002E28B4" w:rsidRDefault="002E28B4">
      <w:pPr>
        <w:pStyle w:val="Text"/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</w:p>
    <w:p w:rsidR="002E28B4" w:rsidRDefault="0045502C">
      <w:pPr>
        <w:pStyle w:val="Text"/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/>
          <w:color w:val="00000A"/>
          <w:kern w:val="2"/>
          <w:sz w:val="18"/>
          <w:szCs w:val="18"/>
          <w:u w:color="00000A"/>
          <w:lang w:val="de-DE"/>
        </w:rPr>
      </w:pP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de-DE"/>
        </w:rPr>
        <w:t>Ohl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ášení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potřeby servisního zásahu Objednatele probíhá na telefonním čísle Dodavatele </w:t>
      </w:r>
      <w:r>
        <w:rPr>
          <w:rFonts w:ascii="Calibri" w:eastAsia="Calibri" w:hAnsi="Calibri" w:cs="Calibri"/>
          <w:b/>
          <w:bCs/>
          <w:color w:val="00000A"/>
          <w:kern w:val="2"/>
          <w:sz w:val="18"/>
          <w:szCs w:val="18"/>
          <w:u w:color="00000A"/>
        </w:rPr>
        <w:t>478 620 000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nebo na emailu Dodavatele </w:t>
      </w:r>
      <w:hyperlink r:id="rId7" w:history="1">
        <w:r>
          <w:rPr>
            <w:rStyle w:val="Hyperlink0"/>
            <w:kern w:val="2"/>
          </w:rPr>
          <w:t>podpora@softex.cz</w:t>
        </w:r>
      </w:hyperlink>
      <w:r>
        <w:rPr>
          <w:rStyle w:val="dn"/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nebo </w:t>
      </w:r>
      <w:hyperlink r:id="rId8" w:history="1">
        <w:r>
          <w:rPr>
            <w:rStyle w:val="Hyperlink0"/>
            <w:kern w:val="2"/>
          </w:rPr>
          <w:t>ads@softex.cz</w:t>
        </w:r>
      </w:hyperlink>
      <w:r>
        <w:rPr>
          <w:rStyle w:val="dn"/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. Pouze při nahlášení potřeby servisního zásahu na uvedených kontaktech platí </w:t>
      </w:r>
      <w:r>
        <w:rPr>
          <w:rStyle w:val="dn"/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garance v</w:t>
      </w:r>
      <w:proofErr w:type="spellStart"/>
      <w:r>
        <w:rPr>
          <w:rStyle w:val="dn"/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ýše</w:t>
      </w:r>
      <w:proofErr w:type="spellEnd"/>
      <w:r>
        <w:rPr>
          <w:rStyle w:val="dn"/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uveden</w:t>
      </w:r>
      <w:r>
        <w:rPr>
          <w:rStyle w:val="dn"/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proofErr w:type="spellStart"/>
      <w:r>
        <w:rPr>
          <w:rStyle w:val="dn"/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>reak</w:t>
      </w:r>
      <w:proofErr w:type="spellEnd"/>
      <w:r>
        <w:rPr>
          <w:rStyle w:val="dn"/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ční doby.</w:t>
      </w:r>
    </w:p>
    <w:p w:rsidR="002E28B4" w:rsidRDefault="002E28B4">
      <w:pPr>
        <w:pStyle w:val="Text"/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u w:color="00000A"/>
        </w:rPr>
      </w:pPr>
    </w:p>
    <w:p w:rsidR="002E28B4" w:rsidRDefault="0045502C">
      <w:pPr>
        <w:pStyle w:val="Text"/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</w:pP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>Reak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ční dobou se přitom rozumí doba, která uplyne od nahlášení pracovníkem Objednatele na výše uvedených kontaktech Dodavatele do doby, než se dostaví servisní technik Dodavatele a započne servisní činnost.</w:t>
      </w:r>
    </w:p>
    <w:p w:rsidR="002E28B4" w:rsidRDefault="002E28B4">
      <w:pPr>
        <w:pStyle w:val="Text"/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</w:p>
    <w:p w:rsidR="002E28B4" w:rsidRDefault="0045502C">
      <w:pPr>
        <w:pStyle w:val="Text"/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</w:pP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>Limity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>reak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ční doby dle čl. V. odst. 2 t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to smlouvy neplatí v případě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poš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nl-NL"/>
        </w:rPr>
        <w:t>kozen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í zařízení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velk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>é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ho rozsahu, ať už je toto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poš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nl-NL"/>
        </w:rPr>
        <w:t>kozen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í způsobeno v důsledku vnějších udá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en-US"/>
        </w:rPr>
        <w:t>lost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í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(po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žáry, povodně a jiné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živeln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události, výbuchy atd.), v důsledku jednání zaměstnanců nebo dalších pracovníků Objednatele nebo v důsledku jednání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dal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ších osob. V těchto případech bude postupová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it-IT"/>
        </w:rPr>
        <w:t>no individu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álně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 xml:space="preserve"> podle </w:t>
      </w:r>
      <w:proofErr w:type="spellStart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vzájemn</w:t>
      </w:r>
      <w:proofErr w:type="spellEnd"/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  <w:lang w:val="fr-FR"/>
        </w:rPr>
        <w:t xml:space="preserve">é </w:t>
      </w:r>
      <w:r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  <w:t>dohody mezi smluvními stranami.</w:t>
      </w:r>
    </w:p>
    <w:p w:rsidR="002E28B4" w:rsidRDefault="002E28B4">
      <w:pPr>
        <w:pStyle w:val="Text"/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A"/>
          <w:kern w:val="2"/>
          <w:sz w:val="18"/>
          <w:szCs w:val="18"/>
          <w:u w:color="00000A"/>
        </w:rPr>
      </w:pPr>
    </w:p>
    <w:p w:rsidR="002E28B4" w:rsidRDefault="0045502C">
      <w:pPr>
        <w:pStyle w:val="Vchoz"/>
        <w:widowControl w:val="0"/>
        <w:numPr>
          <w:ilvl w:val="0"/>
          <w:numId w:val="20"/>
        </w:numPr>
        <w:suppressAutoHyphens/>
        <w:spacing w:before="120" w:line="276" w:lineRule="auto"/>
        <w:jc w:val="center"/>
        <w:outlineLvl w:val="0"/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</w:pPr>
      <w:r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  <w:t>Další práva a povinnosti smluvních stran</w:t>
      </w:r>
    </w:p>
    <w:p w:rsidR="002E28B4" w:rsidRDefault="0045502C">
      <w:pPr>
        <w:widowControl w:val="0"/>
        <w:numPr>
          <w:ilvl w:val="0"/>
          <w:numId w:val="22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zdržet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monitorování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přepravovaný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ch dat nad r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ámec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nutný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zajištění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provozu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sítě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a o informac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kter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takto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získá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zavazuje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zachovávat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mlčenlivost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zavazuje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zachovávat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mlčenlivost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 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další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d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ůvěrných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nebo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kter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případně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získá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plnění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numPr>
          <w:ilvl w:val="0"/>
          <w:numId w:val="22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pečovat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zařízení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návodu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 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pou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žití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pokynů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podezření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poruše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neprodleně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informovat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2E28B4">
      <w:pPr>
        <w:widowControl w:val="0"/>
        <w:numPr>
          <w:ilvl w:val="0"/>
          <w:numId w:val="22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pStyle w:val="Vchoz"/>
        <w:widowControl w:val="0"/>
        <w:numPr>
          <w:ilvl w:val="0"/>
          <w:numId w:val="23"/>
        </w:numPr>
        <w:suppressAutoHyphens/>
        <w:spacing w:before="120" w:line="276" w:lineRule="auto"/>
        <w:jc w:val="center"/>
        <w:outlineLvl w:val="0"/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</w:pPr>
      <w:r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  <w:t>Cena a platební podmínky</w:t>
      </w:r>
    </w:p>
    <w:p w:rsidR="002E28B4" w:rsidRDefault="0045502C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zavazuje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zaplatit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plnění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I. odst.1, 2, a 3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</w:t>
      </w:r>
      <w:proofErr w:type="spellStart"/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rozsahu</w:t>
      </w:r>
      <w:proofErr w:type="spellEnd"/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maximálně</w:t>
      </w:r>
      <w:proofErr w:type="spellEnd"/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12 </w:t>
      </w:r>
      <w:proofErr w:type="spellStart"/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hodin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práce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technika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kalendářní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měsíc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závazek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dodržet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I.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4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reakční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dobu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stanovenou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V.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2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částku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výši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5700 </w:t>
      </w:r>
      <w:proofErr w:type="spellStart"/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Kč</w:t>
      </w:r>
      <w:proofErr w:type="spellEnd"/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bez DPH </w:t>
      </w:r>
      <w:proofErr w:type="spellStart"/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měsíčně</w:t>
      </w:r>
      <w:proofErr w:type="spellEnd"/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plnění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I. odst.1, 2, a 3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nad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časový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rozsah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uvedený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předchozím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odstavci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práce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I.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4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zavazuje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zaplatit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hodinu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práce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technika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pracovní</w:t>
      </w:r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dnech</w:t>
      </w:r>
      <w:proofErr w:type="spellEnd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(Po – </w:t>
      </w:r>
      <w:proofErr w:type="spellStart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Pá</w:t>
      </w:r>
      <w:proofErr w:type="spellEnd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mimo</w:t>
      </w:r>
      <w:proofErr w:type="spellEnd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svátky</w:t>
      </w:r>
      <w:proofErr w:type="spellEnd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gramStart"/>
      <w:r w:rsidR="000546A3"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5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00,-</w:t>
      </w:r>
      <w:proofErr w:type="gram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Kč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bez DPH a v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mimopracovních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dnech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(So – Ne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svátky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800,-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Kč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bez DPH.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Cena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profylaktick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prohlídky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I.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1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ani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cena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I.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4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nezahrnuje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cenu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hardware, software,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náhradní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díly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ani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spotřební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materiál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věci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budou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dodány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základě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objednávky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nebo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nabídky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potvrzen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budou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fakturovány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zvlášť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Objednávky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potvrzení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nabídek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zejm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kontaktní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 č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l. X.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p. dal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ší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tomto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zastupovat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ceně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plnění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bude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ipo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čtena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DPH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výši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Faktury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obsahují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náležitosti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daňov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dokladu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zákona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č. 235/2004 Sb., 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dani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idan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hodnoty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znění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pozdějších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předpisů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jsou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splatn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10</w:t>
      </w:r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. den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doručení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Platba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považuje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hlediska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její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včasnosti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provedenou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okamžikem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připsání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bankovní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účet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Sjednaný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měsíční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pau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šální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poplatek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VII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1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hodinová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sazba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technika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mohou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být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dohodě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upraveny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důvodu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inflace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vždy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 1.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březnu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kalendářního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roku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tolik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procent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kolik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procent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činila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inflace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roce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předcházející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m.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Inflac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í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rozumí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meziroční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inflace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měřená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vzrůstem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úhrnn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indexu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spotřebitelských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cen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zboží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služeb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kter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udává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každým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kalendářním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rokem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Český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statistický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úřad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rok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předcházející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vyjádřená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procentech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pStyle w:val="Vchoz"/>
        <w:widowControl w:val="0"/>
        <w:numPr>
          <w:ilvl w:val="0"/>
          <w:numId w:val="26"/>
        </w:numPr>
        <w:suppressAutoHyphens/>
        <w:spacing w:before="120" w:line="276" w:lineRule="auto"/>
        <w:jc w:val="center"/>
        <w:outlineLvl w:val="0"/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</w:pPr>
      <w:r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  <w:t>Sankce</w:t>
      </w:r>
    </w:p>
    <w:p w:rsidR="002E28B4" w:rsidRDefault="0045502C">
      <w:pPr>
        <w:widowControl w:val="0"/>
        <w:numPr>
          <w:ilvl w:val="0"/>
          <w:numId w:val="28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prodlení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úhradou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faktury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účtovat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pokutu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i 0,5 % z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dlužné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částky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každý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den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prodlení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Splatnost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sankční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faktury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10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dnů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numPr>
          <w:ilvl w:val="0"/>
          <w:numId w:val="28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nedodržení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limitu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reakční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doby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stanoven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V.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2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výjimkou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stanovenou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V.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5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požadovat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následující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pokuty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 p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řekročení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reakční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doby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0 – 12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hodin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pokutu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výši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10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% pau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šální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částky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stanoven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VII.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1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2E28B4" w:rsidRDefault="0045502C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 p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řekročení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reakční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doby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více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než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12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hodin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pokutu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výši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% pau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šální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částky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stanoven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VII.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1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left="360"/>
        <w:jc w:val="both"/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Pro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vyloučení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pochybností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uvádí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pokuty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nelze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při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jednotliv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porušení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povinnosti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ze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požadovat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kumulativně</w:t>
      </w:r>
      <w:proofErr w:type="spellEnd"/>
      <w:r>
        <w:rPr>
          <w:rStyle w:val="dn"/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pStyle w:val="Vchoz"/>
        <w:widowControl w:val="0"/>
        <w:numPr>
          <w:ilvl w:val="0"/>
          <w:numId w:val="31"/>
        </w:numPr>
        <w:suppressAutoHyphens/>
        <w:spacing w:before="120" w:line="276" w:lineRule="auto"/>
        <w:jc w:val="center"/>
        <w:outlineLvl w:val="0"/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</w:pPr>
      <w:r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  <w:t>Doba plnění</w:t>
      </w:r>
    </w:p>
    <w:p w:rsidR="002E28B4" w:rsidRDefault="0045502C">
      <w:pPr>
        <w:widowControl w:val="0"/>
        <w:numPr>
          <w:ilvl w:val="0"/>
          <w:numId w:val="33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uzavírá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dobu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neurč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itou s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platností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r w:rsidRPr="00F66695">
        <w:rPr>
          <w:rFonts w:ascii="Calibri" w:eastAsia="Calibri" w:hAnsi="Calibri" w:cs="Calibri"/>
          <w:b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3</w:t>
      </w:r>
      <w:r>
        <w:rPr>
          <w:rStyle w:val="dn"/>
          <w:rFonts w:ascii="Calibri" w:eastAsia="Calibri" w:hAnsi="Calibri" w:cs="Calibri"/>
          <w:b/>
          <w:bCs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.1.2023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widowControl w:val="0"/>
        <w:numPr>
          <w:ilvl w:val="0"/>
          <w:numId w:val="33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lze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též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ukončit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vzájemnou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dohodou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nebo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výpovědí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kter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koliv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 to i bez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udání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důvodu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, s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měsíční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výpovědní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dobou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která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začíná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běžet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prvním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dnem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následujícího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kalendářního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měsíce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doručení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písemn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výpovědi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druh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widowControl w:val="0"/>
        <w:numPr>
          <w:ilvl w:val="0"/>
          <w:numId w:val="33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odstoupit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od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opakovan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nedodržení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reakční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doby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V.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 2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odstoupit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od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nezaplatí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jakoukoliv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platbu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lhůtě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dal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ší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30 (t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řiceti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dnů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splatnosti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faktury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V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takov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zavazují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vyrovnat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vzájemn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závazky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60 (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šedesá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ti) dn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ů od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doručení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písemn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pStyle w:val="Vchoz"/>
        <w:widowControl w:val="0"/>
        <w:numPr>
          <w:ilvl w:val="0"/>
          <w:numId w:val="34"/>
        </w:numPr>
        <w:suppressAutoHyphens/>
        <w:spacing w:before="120" w:line="276" w:lineRule="auto"/>
        <w:jc w:val="center"/>
        <w:outlineLvl w:val="0"/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</w:pPr>
      <w:r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  <w:t>Kontaktní osoby</w:t>
      </w:r>
    </w:p>
    <w:p w:rsidR="002E28B4" w:rsidRDefault="0045502C">
      <w:pPr>
        <w:widowControl w:val="0"/>
        <w:numPr>
          <w:ilvl w:val="0"/>
          <w:numId w:val="36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Kontaktními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osobami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technick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záležitosti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rámci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plnění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jsou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left="360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Bc. Jaroslav Sochor, </w:t>
      </w:r>
      <w:hyperlink r:id="rId9" w:history="1">
        <w:r>
          <w:rPr>
            <w:rStyle w:val="Hyperlink1"/>
            <w:rFonts w:ascii="Calibri" w:eastAsia="Calibri" w:hAnsi="Calibri" w:cs="Calibri"/>
            <w:color w:val="000000"/>
            <w:kern w:val="2"/>
            <w:sz w:val="18"/>
            <w:szCs w:val="18"/>
            <w:u w:color="000000"/>
            <w14:textOutline w14:w="0" w14:cap="flat" w14:cmpd="sng" w14:algn="ctr">
              <w14:noFill/>
              <w14:prstDash w14:val="solid"/>
              <w14:bevel/>
            </w14:textOutline>
          </w:rPr>
          <w:t>reditel@zuslitvinov.cz</w:t>
        </w:r>
      </w:hyperlink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AA270B">
        <w:rPr>
          <w:rFonts w:ascii="Calibri" w:eastAsia="Calibri" w:hAnsi="Calibri" w:cs="Calibri"/>
          <w:color w:val="000000"/>
          <w:kern w:val="2"/>
          <w:sz w:val="18"/>
          <w:szCs w:val="18"/>
          <w:highlight w:val="black"/>
          <w:u w:color="000000"/>
          <w14:textOutline w14:w="0" w14:cap="flat" w14:cmpd="sng" w14:algn="ctr">
            <w14:noFill/>
            <w14:prstDash w14:val="solid"/>
            <w14:bevel/>
          </w14:textOutline>
        </w:rPr>
        <w:t>602 832 151, 476 752 531</w:t>
      </w: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left="360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Ševčíková Blanka, </w:t>
      </w:r>
      <w:hyperlink r:id="rId10" w:history="1">
        <w:r w:rsidRPr="00AA270B">
          <w:rPr>
            <w:rStyle w:val="Hyperlink1"/>
            <w:rFonts w:ascii="Calibri" w:eastAsia="Calibri" w:hAnsi="Calibri" w:cs="Calibri"/>
            <w:color w:val="000000"/>
            <w:kern w:val="2"/>
            <w:sz w:val="18"/>
            <w:szCs w:val="18"/>
            <w:highlight w:val="black"/>
            <w:u w:color="000000"/>
            <w14:textOutline w14:w="0" w14:cap="flat" w14:cmpd="sng" w14:algn="ctr">
              <w14:noFill/>
              <w14:prstDash w14:val="solid"/>
              <w14:bevel/>
            </w14:textOutline>
          </w:rPr>
          <w:t>sevcikova@zuslitvinov.cz</w:t>
        </w:r>
      </w:hyperlink>
      <w:r w:rsidRPr="00AA270B">
        <w:rPr>
          <w:rFonts w:ascii="Calibri" w:eastAsia="Calibri" w:hAnsi="Calibri" w:cs="Calibri"/>
          <w:color w:val="000000"/>
          <w:kern w:val="2"/>
          <w:sz w:val="18"/>
          <w:szCs w:val="18"/>
          <w:highlight w:val="black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A270B">
        <w:rPr>
          <w:rFonts w:ascii="Calibri" w:eastAsia="Calibri" w:hAnsi="Calibri" w:cs="Calibri"/>
          <w:color w:val="000000"/>
          <w:kern w:val="2"/>
          <w:sz w:val="18"/>
          <w:szCs w:val="18"/>
          <w:highlight w:val="black"/>
          <w:u w:color="000000"/>
          <w14:textOutline w14:w="0" w14:cap="flat" w14:cmpd="sng" w14:algn="ctr">
            <w14:noFill/>
            <w14:prstDash w14:val="solid"/>
            <w14:bevel/>
          </w14:textOutline>
        </w:rPr>
        <w:t>476 752 531</w:t>
      </w: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left="360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Eva Skořepová, </w:t>
      </w:r>
      <w:hyperlink r:id="rId11" w:history="1">
        <w:r w:rsidRPr="00AA270B">
          <w:rPr>
            <w:rStyle w:val="Hyperlink1"/>
            <w:rFonts w:ascii="Calibri" w:eastAsia="Calibri" w:hAnsi="Calibri" w:cs="Calibri"/>
            <w:color w:val="000000"/>
            <w:kern w:val="2"/>
            <w:sz w:val="18"/>
            <w:szCs w:val="18"/>
            <w:highlight w:val="black"/>
            <w:u w:color="000000"/>
            <w14:textOutline w14:w="0" w14:cap="flat" w14:cmpd="sng" w14:algn="ctr">
              <w14:noFill/>
              <w14:prstDash w14:val="solid"/>
              <w14:bevel/>
            </w14:textOutline>
          </w:rPr>
          <w:t>skorepova@zuslitvinov.cz</w:t>
        </w:r>
      </w:hyperlink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A270B">
        <w:rPr>
          <w:rFonts w:ascii="Calibri" w:eastAsia="Calibri" w:hAnsi="Calibri" w:cs="Calibri"/>
          <w:color w:val="000000"/>
          <w:kern w:val="2"/>
          <w:sz w:val="18"/>
          <w:szCs w:val="18"/>
          <w:highlight w:val="black"/>
          <w:u w:color="000000"/>
          <w14:textOutline w14:w="0" w14:cap="flat" w14:cmpd="sng" w14:algn="ctr">
            <w14:noFill/>
            <w14:prstDash w14:val="solid"/>
            <w14:bevel/>
          </w14:textOutline>
        </w:rPr>
        <w:t>, 476 752 531</w:t>
      </w:r>
      <w:bookmarkStart w:id="0" w:name="_GoBack"/>
      <w:bookmarkEnd w:id="0"/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left="360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left="360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279" w:hanging="279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numPr>
          <w:ilvl w:val="0"/>
          <w:numId w:val="36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Kontaktními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osobami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technick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záležitosti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rámci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plnění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jsou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Jiří Doležal, dolezal@softex.cz, </w:t>
      </w:r>
      <w:r w:rsidRPr="00AA270B">
        <w:rPr>
          <w:rFonts w:ascii="Calibri" w:eastAsia="Calibri" w:hAnsi="Calibri" w:cs="Calibri"/>
          <w:color w:val="000000" w:themeColor="text1"/>
          <w:kern w:val="2"/>
          <w:sz w:val="18"/>
          <w:szCs w:val="18"/>
          <w:highlight w:val="black"/>
          <w:u w:color="000000"/>
          <w14:textOutline w14:w="0" w14:cap="flat" w14:cmpd="sng" w14:algn="ctr">
            <w14:noFill/>
            <w14:prstDash w14:val="solid"/>
            <w14:bevel/>
          </w14:textOutline>
        </w:rPr>
        <w:t>777 861 007</w:t>
      </w:r>
    </w:p>
    <w:p w:rsidR="002E28B4" w:rsidRDefault="0045502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Žaneta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Dědková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hyperlink r:id="rId12" w:history="1">
        <w:r w:rsidRPr="007E3D51">
          <w:rPr>
            <w:rStyle w:val="Hypertextovodkaz"/>
            <w:rFonts w:ascii="Calibri" w:eastAsia="Calibri" w:hAnsi="Calibri" w:cs="Calibri"/>
            <w:kern w:val="2"/>
            <w:sz w:val="18"/>
            <w:szCs w:val="18"/>
            <w:u w:color="000000"/>
            <w14:textOutline w14:w="0" w14:cap="flat" w14:cmpd="sng" w14:algn="ctr">
              <w14:noFill/>
              <w14:prstDash w14:val="solid"/>
              <w14:bevel/>
            </w14:textOutline>
          </w:rPr>
          <w:t>dedkova@softex.cz</w:t>
        </w:r>
      </w:hyperlink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AA270B">
        <w:rPr>
          <w:rFonts w:ascii="Calibri" w:eastAsia="Calibri" w:hAnsi="Calibri" w:cs="Calibri"/>
          <w:color w:val="000000"/>
          <w:kern w:val="2"/>
          <w:sz w:val="18"/>
          <w:szCs w:val="18"/>
          <w:highlight w:val="black"/>
          <w:u w:color="000000"/>
          <w14:textOutline w14:w="0" w14:cap="flat" w14:cmpd="sng" w14:algn="ctr">
            <w14:noFill/>
            <w14:prstDash w14:val="solid"/>
            <w14:bevel/>
          </w14:textOutline>
        </w:rPr>
        <w:t>777 861 852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pStyle w:val="Vchoz"/>
        <w:widowControl w:val="0"/>
        <w:numPr>
          <w:ilvl w:val="0"/>
          <w:numId w:val="2"/>
        </w:numPr>
        <w:suppressAutoHyphens/>
        <w:spacing w:before="120" w:line="276" w:lineRule="auto"/>
        <w:jc w:val="center"/>
        <w:outlineLvl w:val="0"/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</w:pPr>
      <w:r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  <w:t>Závazek respektování GDPR</w:t>
      </w:r>
    </w:p>
    <w:p w:rsidR="002E28B4" w:rsidRDefault="0045502C">
      <w:pPr>
        <w:numPr>
          <w:ilvl w:val="0"/>
          <w:numId w:val="37"/>
        </w:numPr>
        <w:spacing w:before="120" w:after="120"/>
        <w:jc w:val="both"/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zavazuje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zachovávat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mlčenlivost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všech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údajích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, k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nimž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získá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přístup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souvislosti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zavazuje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zajistit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závazek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mlčenlivosti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 u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svých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zaměstnanců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dal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ších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kter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by v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souvislosti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mohly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sv-SE"/>
          <w14:textOutline w14:w="0" w14:cap="flat" w14:cmpd="sng" w14:algn="ctr">
            <w14:noFill/>
            <w14:prstDash w14:val="solid"/>
            <w14:bevel/>
          </w14:textOutline>
        </w:rPr>
        <w:t>skat p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řístup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„</w:t>
      </w:r>
      <w:proofErr w:type="spellStart"/>
      <w:r>
        <w:rPr>
          <w:rStyle w:val="dn"/>
          <w:rFonts w:ascii="Trebuchet MS" w:hAnsi="Trebuchet MS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</w:t>
      </w:r>
      <w:proofErr w:type="spellEnd"/>
      <w:r>
        <w:rPr>
          <w:rStyle w:val="dn"/>
          <w:rFonts w:ascii="Trebuchet MS" w:hAnsi="Trebuchet MS" w:cs="Arial Unicode MS"/>
          <w:b/>
          <w:bCs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proofErr w:type="gramStart"/>
      <w:r>
        <w:rPr>
          <w:rStyle w:val="dn"/>
          <w:rFonts w:ascii="Trebuchet MS" w:hAnsi="Trebuchet MS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gram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).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Povinnost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mlčenlivosti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trvá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 po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ukončení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povinnost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mlčenlivosti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Oprávněných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trvá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 po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skončení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pracovního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poměru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nebo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jin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právního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vztahu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Oprávněných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numPr>
          <w:ilvl w:val="0"/>
          <w:numId w:val="37"/>
        </w:numPr>
        <w:spacing w:before="120" w:after="120"/>
        <w:jc w:val="both"/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prohlašuje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vědom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povinností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podle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nařízení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Evropsk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parlamentu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Rady EU 2016/679 ze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dne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27.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dubna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2016 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ochraně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fyzických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souvislosti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zpracováním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voln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pohybu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těchto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zrušení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směrnice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95/46/ES (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obecn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nařízení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ochraně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„</w:t>
      </w:r>
      <w:proofErr w:type="gramStart"/>
      <w:r>
        <w:rPr>
          <w:rStyle w:val="dn"/>
          <w:rFonts w:ascii="Trebuchet MS" w:hAnsi="Trebuchet MS" w:cs="Arial Unicode MS"/>
          <w:b/>
          <w:bCs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GDPR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gram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a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bude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dodržovat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zásady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ochrany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numPr>
          <w:ilvl w:val="0"/>
          <w:numId w:val="37"/>
        </w:numPr>
        <w:spacing w:before="120" w:after="120"/>
        <w:jc w:val="both"/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povinen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přijmout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taková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opatření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, aby k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neměly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přístup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jin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než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bude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souvislosti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udě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len Opr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ávněným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osobám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přístup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včetně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vzdálen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přístupu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do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počítačov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sítě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nesmí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Oprávněn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sdělovat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přístupové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dalším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osobám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numPr>
          <w:ilvl w:val="0"/>
          <w:numId w:val="37"/>
        </w:numPr>
        <w:spacing w:before="120" w:after="120"/>
        <w:jc w:val="both"/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povinen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přijmout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opatření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, aby v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souvislosti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jeho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nedošlo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neoprávněn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mu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přístupu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, k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jejich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změně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zničení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ztrátě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neoprávněn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mu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zpracování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zneužití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ohrožení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nebo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porušení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jejich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zabezpečení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numPr>
          <w:ilvl w:val="0"/>
          <w:numId w:val="37"/>
        </w:numPr>
        <w:spacing w:before="120" w:after="120"/>
        <w:jc w:val="both"/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Dodavatel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bere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vědomí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by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vedle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Servisní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činnosti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která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svou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povahou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zpracováním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, doch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ázelo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zpracování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smyslu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GDPR, je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povinen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uzavřít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 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Objednatelem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tak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zpracování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smyslu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čl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28 GDPR,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nebo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jinou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smlouvu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tak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aby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byly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naplněny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požadavky</w:t>
      </w:r>
      <w:proofErr w:type="spellEnd"/>
      <w:r>
        <w:rPr>
          <w:rFonts w:ascii="Trebuchet MS" w:hAnsi="Trebuchet MS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GDPR.</w:t>
      </w:r>
    </w:p>
    <w:p w:rsidR="002E28B4" w:rsidRDefault="002E2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Trebuchet MS" w:eastAsia="Trebuchet MS" w:hAnsi="Trebuchet MS" w:cs="Trebuchet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28B4" w:rsidRDefault="0045502C">
      <w:pPr>
        <w:pStyle w:val="Vchoz"/>
        <w:widowControl w:val="0"/>
        <w:numPr>
          <w:ilvl w:val="0"/>
          <w:numId w:val="2"/>
        </w:numPr>
        <w:suppressAutoHyphens/>
        <w:spacing w:before="120" w:line="276" w:lineRule="auto"/>
        <w:jc w:val="center"/>
        <w:outlineLvl w:val="0"/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</w:pPr>
      <w:r>
        <w:rPr>
          <w:rFonts w:ascii="Calibri" w:eastAsia="Calibri" w:hAnsi="Calibri" w:cs="Calibri"/>
          <w:b/>
          <w:bCs/>
          <w:kern w:val="2"/>
          <w:sz w:val="18"/>
          <w:szCs w:val="18"/>
          <w:u w:color="000000"/>
        </w:rPr>
        <w:t>Závěrečná ujednání</w:t>
      </w:r>
    </w:p>
    <w:p w:rsidR="002E28B4" w:rsidRDefault="0045502C">
      <w:pPr>
        <w:widowControl w:val="0"/>
        <w:numPr>
          <w:ilvl w:val="0"/>
          <w:numId w:val="39"/>
        </w:numPr>
        <w:suppressAutoHyphens/>
        <w:spacing w:line="276" w:lineRule="auto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jakož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práva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povinnosti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vznikl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základě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nebo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souvislosti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, se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řídí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obecně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závazný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 p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ředpisy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zejm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zákonem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č. 89/2012 Sb.,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obč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>ansk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zákoník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znění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pozdějších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předpisů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widowControl w:val="0"/>
        <w:numPr>
          <w:ilvl w:val="0"/>
          <w:numId w:val="39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vyhotovena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exemplářích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přičemž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každá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obdrží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 1 z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nich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widowControl w:val="0"/>
        <w:numPr>
          <w:ilvl w:val="0"/>
          <w:numId w:val="39"/>
        </w:numPr>
        <w:suppressAutoHyphens/>
        <w:spacing w:line="276" w:lineRule="auto"/>
        <w:jc w:val="both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představuje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úplnou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dohodu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předmětu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nahrazuje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veškerá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předešlá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ujednání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ústní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 p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ísemná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Ve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šker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změny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doplnění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lze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prov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formou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písemných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vzestupně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číslovaných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dodatků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podepsaných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oběma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smluvními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stranami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kter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budou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nedílnou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součástí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45502C">
      <w:pPr>
        <w:widowControl w:val="0"/>
        <w:numPr>
          <w:ilvl w:val="0"/>
          <w:numId w:val="39"/>
        </w:numPr>
        <w:suppressAutoHyphens/>
        <w:spacing w:line="276" w:lineRule="auto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prohlašují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tuto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smlouvu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jejím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podepsáním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přečetly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s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jejím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obsahem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souhlasí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prohlašují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tato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výrazem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jejich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prav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svobodn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vážn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vůle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důkaz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toho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ji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níže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podepisují</w:t>
      </w:r>
      <w:proofErr w:type="spellEnd"/>
      <w:r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rPr>
          <w:rFonts w:ascii="Calibri" w:eastAsia="Calibri" w:hAnsi="Calibri" w:cs="Calibri"/>
          <w:color w:val="000000"/>
          <w:kern w:val="2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4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15"/>
        <w:gridCol w:w="5216"/>
      </w:tblGrid>
      <w:tr w:rsidR="002E28B4">
        <w:trPr>
          <w:trHeight w:val="1676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 </w:t>
            </w:r>
            <w:proofErr w:type="spell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Objednatele</w:t>
            </w:r>
            <w:proofErr w:type="spellEnd"/>
          </w:p>
          <w:p w:rsidR="002E28B4" w:rsidRDefault="002E28B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 </w:t>
            </w:r>
            <w:proofErr w:type="spell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Litvínově</w:t>
            </w:r>
            <w:proofErr w:type="spellEnd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dne</w:t>
            </w:r>
            <w:proofErr w:type="spellEnd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1.1.2022</w:t>
            </w:r>
          </w:p>
          <w:p w:rsidR="002E28B4" w:rsidRDefault="002E28B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28B4" w:rsidRDefault="002E28B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28B4" w:rsidRDefault="002E28B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___________________________</w:t>
            </w:r>
          </w:p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</w:pPr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Bc. Jaroslav Sochor, </w:t>
            </w:r>
            <w:proofErr w:type="spell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ředitel</w:t>
            </w:r>
            <w:proofErr w:type="spellEnd"/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 </w:t>
            </w:r>
            <w:proofErr w:type="spell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Dodavatele</w:t>
            </w:r>
            <w:proofErr w:type="spellEnd"/>
          </w:p>
          <w:p w:rsidR="002E28B4" w:rsidRDefault="002E28B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  </w:t>
            </w:r>
            <w:proofErr w:type="spell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Litvínově</w:t>
            </w:r>
            <w:proofErr w:type="spellEnd"/>
            <w:proofErr w:type="gramEnd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dne</w:t>
            </w:r>
            <w:proofErr w:type="spellEnd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2.1.2023</w:t>
            </w:r>
          </w:p>
          <w:p w:rsidR="002E28B4" w:rsidRDefault="002E28B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28B4" w:rsidRDefault="002E28B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28B4" w:rsidRDefault="002E28B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___________________________</w:t>
            </w:r>
          </w:p>
          <w:p w:rsidR="002E28B4" w:rsidRDefault="0045502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jc w:val="center"/>
            </w:pPr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Miroslav </w:t>
            </w:r>
            <w:proofErr w:type="spell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Průša</w:t>
            </w:r>
            <w:proofErr w:type="spellEnd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Style w:val="dn"/>
                <w:rFonts w:ascii="Calibri" w:eastAsia="Calibri" w:hAnsi="Calibri" w:cs="Calibri"/>
                <w:color w:val="000000"/>
                <w:kern w:val="2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jednatel</w:t>
            </w:r>
            <w:proofErr w:type="spellEnd"/>
          </w:p>
        </w:tc>
      </w:tr>
    </w:tbl>
    <w:p w:rsidR="002E28B4" w:rsidRDefault="002E28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</w:pPr>
    </w:p>
    <w:sectPr w:rsidR="002E28B4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903" w:rsidRDefault="002E6903">
      <w:r>
        <w:separator/>
      </w:r>
    </w:p>
  </w:endnote>
  <w:endnote w:type="continuationSeparator" w:id="0">
    <w:p w:rsidR="002E6903" w:rsidRDefault="002E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2C" w:rsidRDefault="00455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903" w:rsidRDefault="002E6903">
      <w:r>
        <w:separator/>
      </w:r>
    </w:p>
  </w:footnote>
  <w:footnote w:type="continuationSeparator" w:id="0">
    <w:p w:rsidR="002E6903" w:rsidRDefault="002E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2C" w:rsidRDefault="0045502C">
    <w:pPr>
      <w:pStyle w:val="Zhlavazpa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1181335" cy="511177"/>
          <wp:effectExtent l="0" t="0" r="0" b="0"/>
          <wp:docPr id="1073741825" name="officeArt object" descr="logo_modra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modra_CMYK.png" descr="logo_modra_CMY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335" cy="5111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6E7"/>
    <w:multiLevelType w:val="hybridMultilevel"/>
    <w:tmpl w:val="12F48D90"/>
    <w:numStyleLink w:val="Importovanstyl8"/>
  </w:abstractNum>
  <w:abstractNum w:abstractNumId="1" w15:restartNumberingAfterBreak="0">
    <w:nsid w:val="0A2428F8"/>
    <w:multiLevelType w:val="hybridMultilevel"/>
    <w:tmpl w:val="AB24168A"/>
    <w:numStyleLink w:val="Importovanstyl11"/>
  </w:abstractNum>
  <w:abstractNum w:abstractNumId="2" w15:restartNumberingAfterBreak="0">
    <w:nsid w:val="0C0E2541"/>
    <w:multiLevelType w:val="hybridMultilevel"/>
    <w:tmpl w:val="F56CF9BC"/>
    <w:numStyleLink w:val="Importovanstyl14"/>
  </w:abstractNum>
  <w:abstractNum w:abstractNumId="3" w15:restartNumberingAfterBreak="0">
    <w:nsid w:val="0FC52768"/>
    <w:multiLevelType w:val="hybridMultilevel"/>
    <w:tmpl w:val="4866CB58"/>
    <w:numStyleLink w:val="Importovanstyl12"/>
  </w:abstractNum>
  <w:abstractNum w:abstractNumId="4" w15:restartNumberingAfterBreak="0">
    <w:nsid w:val="102F1EC7"/>
    <w:multiLevelType w:val="hybridMultilevel"/>
    <w:tmpl w:val="FAAADB44"/>
    <w:styleLink w:val="Importovanstyl6"/>
    <w:lvl w:ilvl="0" w:tplc="39280A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292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42E300">
      <w:start w:val="1"/>
      <w:numFmt w:val="lowerRoman"/>
      <w:lvlText w:val="%3."/>
      <w:lvlJc w:val="left"/>
      <w:pPr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9250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878F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EA3AA0">
      <w:start w:val="1"/>
      <w:numFmt w:val="lowerRoman"/>
      <w:lvlText w:val="%6."/>
      <w:lvlJc w:val="left"/>
      <w:pPr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58E1E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2376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A8D16">
      <w:start w:val="1"/>
      <w:numFmt w:val="lowerRoman"/>
      <w:lvlText w:val="%9."/>
      <w:lvlJc w:val="left"/>
      <w:pPr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C008BF"/>
    <w:multiLevelType w:val="hybridMultilevel"/>
    <w:tmpl w:val="01B26B0A"/>
    <w:numStyleLink w:val="Importovanstyl7"/>
  </w:abstractNum>
  <w:abstractNum w:abstractNumId="6" w15:restartNumberingAfterBreak="0">
    <w:nsid w:val="1844240F"/>
    <w:multiLevelType w:val="hybridMultilevel"/>
    <w:tmpl w:val="12F48D90"/>
    <w:styleLink w:val="Importovanstyl8"/>
    <w:lvl w:ilvl="0" w:tplc="51BC23F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F6608C">
      <w:start w:val="1"/>
      <w:numFmt w:val="lowerRoman"/>
      <w:lvlText w:val="%2."/>
      <w:lvlJc w:val="left"/>
      <w:pPr>
        <w:ind w:left="1440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ACBFC">
      <w:start w:val="1"/>
      <w:numFmt w:val="lowerRoman"/>
      <w:lvlText w:val="%3."/>
      <w:lvlJc w:val="left"/>
      <w:pPr>
        <w:ind w:left="21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82C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C1C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AA0CCA">
      <w:start w:val="1"/>
      <w:numFmt w:val="lowerRoman"/>
      <w:lvlText w:val="%6."/>
      <w:lvlJc w:val="left"/>
      <w:pPr>
        <w:ind w:left="43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898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A61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E614E">
      <w:start w:val="1"/>
      <w:numFmt w:val="lowerRoman"/>
      <w:lvlText w:val="%9."/>
      <w:lvlJc w:val="left"/>
      <w:pPr>
        <w:ind w:left="64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93BEB"/>
    <w:multiLevelType w:val="hybridMultilevel"/>
    <w:tmpl w:val="AB24168A"/>
    <w:styleLink w:val="Importovanstyl11"/>
    <w:lvl w:ilvl="0" w:tplc="2D22CA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A6B2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9882E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AA64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AAE6C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2FE0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822B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21E28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49E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44158F"/>
    <w:multiLevelType w:val="hybridMultilevel"/>
    <w:tmpl w:val="92729442"/>
    <w:numStyleLink w:val="Importovanstyl2"/>
  </w:abstractNum>
  <w:abstractNum w:abstractNumId="9" w15:restartNumberingAfterBreak="0">
    <w:nsid w:val="30FB5128"/>
    <w:multiLevelType w:val="hybridMultilevel"/>
    <w:tmpl w:val="0C94DA24"/>
    <w:numStyleLink w:val="Importovanstyl5"/>
  </w:abstractNum>
  <w:abstractNum w:abstractNumId="10" w15:restartNumberingAfterBreak="0">
    <w:nsid w:val="35315F2D"/>
    <w:multiLevelType w:val="hybridMultilevel"/>
    <w:tmpl w:val="1222F276"/>
    <w:styleLink w:val="Importovanstyl10"/>
    <w:lvl w:ilvl="0" w:tplc="4D44810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EB8BC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AFA84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24BCD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D4903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F4533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A87B1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EA80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69DA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D77B98"/>
    <w:multiLevelType w:val="hybridMultilevel"/>
    <w:tmpl w:val="92729442"/>
    <w:styleLink w:val="Importovanstyl2"/>
    <w:lvl w:ilvl="0" w:tplc="37D6992A">
      <w:start w:val="1"/>
      <w:numFmt w:val="upperRoman"/>
      <w:lvlText w:val="%1."/>
      <w:lvlJc w:val="left"/>
      <w:pPr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D67CE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2C6A24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28A61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0E9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D66C9E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78DB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9CA36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0EA6A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F3E42"/>
    <w:multiLevelType w:val="hybridMultilevel"/>
    <w:tmpl w:val="F9DAE4CC"/>
    <w:numStyleLink w:val="Importovanstyl9"/>
  </w:abstractNum>
  <w:abstractNum w:abstractNumId="13" w15:restartNumberingAfterBreak="0">
    <w:nsid w:val="450C1094"/>
    <w:multiLevelType w:val="hybridMultilevel"/>
    <w:tmpl w:val="4E44FED4"/>
    <w:styleLink w:val="Importovanstyl13"/>
    <w:lvl w:ilvl="0" w:tplc="95DED1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34C11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645CA6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0F95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80E7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CA45F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89E3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01CF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4BEA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CE19C7"/>
    <w:multiLevelType w:val="hybridMultilevel"/>
    <w:tmpl w:val="4C1E91BA"/>
    <w:lvl w:ilvl="0" w:tplc="2312CB9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8A8ED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0D66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68A8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6F9B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6C2E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2625C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405C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E2E51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E2821F5"/>
    <w:multiLevelType w:val="hybridMultilevel"/>
    <w:tmpl w:val="4E44FED4"/>
    <w:numStyleLink w:val="Importovanstyl13"/>
  </w:abstractNum>
  <w:abstractNum w:abstractNumId="16" w15:restartNumberingAfterBreak="0">
    <w:nsid w:val="4FF06E44"/>
    <w:multiLevelType w:val="hybridMultilevel"/>
    <w:tmpl w:val="F56CF9BC"/>
    <w:styleLink w:val="Importovanstyl14"/>
    <w:lvl w:ilvl="0" w:tplc="324CFA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C6074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6DF7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AA119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D6FF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C811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603C9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180BE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3ED9C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275237D"/>
    <w:multiLevelType w:val="hybridMultilevel"/>
    <w:tmpl w:val="CDA85FCC"/>
    <w:numStyleLink w:val="Importovanstyl3"/>
  </w:abstractNum>
  <w:abstractNum w:abstractNumId="18" w15:restartNumberingAfterBreak="0">
    <w:nsid w:val="56844ACB"/>
    <w:multiLevelType w:val="hybridMultilevel"/>
    <w:tmpl w:val="A336EBAE"/>
    <w:numStyleLink w:val="Importovanstyl4"/>
  </w:abstractNum>
  <w:abstractNum w:abstractNumId="19" w15:restartNumberingAfterBreak="0">
    <w:nsid w:val="58E80DD2"/>
    <w:multiLevelType w:val="hybridMultilevel"/>
    <w:tmpl w:val="A336EBAE"/>
    <w:styleLink w:val="Importovanstyl4"/>
    <w:lvl w:ilvl="0" w:tplc="274604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CA5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7AE240">
      <w:start w:val="1"/>
      <w:numFmt w:val="lowerRoman"/>
      <w:lvlText w:val="%3."/>
      <w:lvlJc w:val="left"/>
      <w:pPr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4EF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AFC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83BDE">
      <w:start w:val="1"/>
      <w:numFmt w:val="lowerRoman"/>
      <w:lvlText w:val="%6."/>
      <w:lvlJc w:val="left"/>
      <w:pPr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E8C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104B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5A5D8C">
      <w:start w:val="1"/>
      <w:numFmt w:val="lowerRoman"/>
      <w:lvlText w:val="%9."/>
      <w:lvlJc w:val="left"/>
      <w:pPr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A676A16"/>
    <w:multiLevelType w:val="hybridMultilevel"/>
    <w:tmpl w:val="91D40512"/>
    <w:numStyleLink w:val="Importovanstyl15"/>
  </w:abstractNum>
  <w:abstractNum w:abstractNumId="21" w15:restartNumberingAfterBreak="0">
    <w:nsid w:val="5F411B50"/>
    <w:multiLevelType w:val="hybridMultilevel"/>
    <w:tmpl w:val="0C94DA24"/>
    <w:styleLink w:val="Importovanstyl5"/>
    <w:lvl w:ilvl="0" w:tplc="183884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E0C82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AA333E">
      <w:start w:val="1"/>
      <w:numFmt w:val="lowerRoman"/>
      <w:lvlText w:val="%3."/>
      <w:lvlJc w:val="left"/>
      <w:pPr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C4858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EADE5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146908">
      <w:start w:val="1"/>
      <w:numFmt w:val="lowerRoman"/>
      <w:lvlText w:val="%6."/>
      <w:lvlJc w:val="left"/>
      <w:pPr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A2F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45B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2A476">
      <w:start w:val="1"/>
      <w:numFmt w:val="lowerRoman"/>
      <w:lvlText w:val="%9."/>
      <w:lvlJc w:val="left"/>
      <w:pPr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1E96615"/>
    <w:multiLevelType w:val="hybridMultilevel"/>
    <w:tmpl w:val="01B26B0A"/>
    <w:styleLink w:val="Importovanstyl7"/>
    <w:lvl w:ilvl="0" w:tplc="F8F46A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DE1F2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E4539A">
      <w:start w:val="1"/>
      <w:numFmt w:val="lowerRoman"/>
      <w:lvlText w:val="%3."/>
      <w:lvlJc w:val="left"/>
      <w:pPr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A865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C413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3A4A42">
      <w:start w:val="1"/>
      <w:numFmt w:val="lowerRoman"/>
      <w:lvlText w:val="%6."/>
      <w:lvlJc w:val="left"/>
      <w:pPr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024CA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8C58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BA3FC6">
      <w:start w:val="1"/>
      <w:numFmt w:val="lowerRoman"/>
      <w:lvlText w:val="%9."/>
      <w:lvlJc w:val="left"/>
      <w:pPr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76771C"/>
    <w:multiLevelType w:val="hybridMultilevel"/>
    <w:tmpl w:val="91D40512"/>
    <w:styleLink w:val="Importovanstyl15"/>
    <w:lvl w:ilvl="0" w:tplc="DB500C0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94AB7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32999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2BFF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8AF1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E6B5C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8D78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B8DA4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20D8E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8C93D72"/>
    <w:multiLevelType w:val="hybridMultilevel"/>
    <w:tmpl w:val="1222F276"/>
    <w:numStyleLink w:val="Importovanstyl10"/>
  </w:abstractNum>
  <w:abstractNum w:abstractNumId="25" w15:restartNumberingAfterBreak="0">
    <w:nsid w:val="6AAB0125"/>
    <w:multiLevelType w:val="hybridMultilevel"/>
    <w:tmpl w:val="4866CB58"/>
    <w:styleLink w:val="Importovanstyl12"/>
    <w:lvl w:ilvl="0" w:tplc="9B34B4DE">
      <w:start w:val="1"/>
      <w:numFmt w:val="lowerLetter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848A92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FAA85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2B41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4A872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656F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786A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CB72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83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217"/>
        </w:tabs>
        <w:ind w:left="64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C287FD9"/>
    <w:multiLevelType w:val="hybridMultilevel"/>
    <w:tmpl w:val="F9DAE4CC"/>
    <w:styleLink w:val="Importovanstyl9"/>
    <w:lvl w:ilvl="0" w:tplc="299A6AB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94522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C7FA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C1AB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42E4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426C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88337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6C9F8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225C5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7EB5404"/>
    <w:multiLevelType w:val="hybridMultilevel"/>
    <w:tmpl w:val="CDA85FCC"/>
    <w:styleLink w:val="Importovanstyl3"/>
    <w:lvl w:ilvl="0" w:tplc="7722B3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02DC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F00FA6">
      <w:start w:val="1"/>
      <w:numFmt w:val="lowerRoman"/>
      <w:lvlText w:val="%3."/>
      <w:lvlJc w:val="left"/>
      <w:pPr>
        <w:ind w:left="18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E4ECE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014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8E57D2">
      <w:start w:val="1"/>
      <w:numFmt w:val="lowerRoman"/>
      <w:lvlText w:val="%6."/>
      <w:lvlJc w:val="left"/>
      <w:pPr>
        <w:ind w:left="39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020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7621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4664CE">
      <w:start w:val="1"/>
      <w:numFmt w:val="lowerRoman"/>
      <w:lvlText w:val="%9."/>
      <w:lvlJc w:val="left"/>
      <w:pPr>
        <w:ind w:left="61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9365D4F"/>
    <w:multiLevelType w:val="hybridMultilevel"/>
    <w:tmpl w:val="FAAADB44"/>
    <w:numStyleLink w:val="Importovanstyl6"/>
  </w:abstractNum>
  <w:num w:numId="1">
    <w:abstractNumId w:val="11"/>
  </w:num>
  <w:num w:numId="2">
    <w:abstractNumId w:val="8"/>
  </w:num>
  <w:num w:numId="3">
    <w:abstractNumId w:val="27"/>
  </w:num>
  <w:num w:numId="4">
    <w:abstractNumId w:val="17"/>
  </w:num>
  <w:num w:numId="5">
    <w:abstractNumId w:val="8"/>
    <w:lvlOverride w:ilvl="0">
      <w:startOverride w:val="2"/>
    </w:lvlOverride>
  </w:num>
  <w:num w:numId="6">
    <w:abstractNumId w:val="19"/>
  </w:num>
  <w:num w:numId="7">
    <w:abstractNumId w:val="18"/>
  </w:num>
  <w:num w:numId="8">
    <w:abstractNumId w:val="8"/>
    <w:lvlOverride w:ilvl="0">
      <w:startOverride w:val="3"/>
    </w:lvlOverride>
  </w:num>
  <w:num w:numId="9">
    <w:abstractNumId w:val="21"/>
  </w:num>
  <w:num w:numId="10">
    <w:abstractNumId w:val="9"/>
  </w:num>
  <w:num w:numId="11">
    <w:abstractNumId w:val="8"/>
    <w:lvlOverride w:ilvl="0">
      <w:startOverride w:val="4"/>
    </w:lvlOverride>
  </w:num>
  <w:num w:numId="12">
    <w:abstractNumId w:val="4"/>
  </w:num>
  <w:num w:numId="13">
    <w:abstractNumId w:val="28"/>
  </w:num>
  <w:num w:numId="14">
    <w:abstractNumId w:val="8"/>
    <w:lvlOverride w:ilvl="0">
      <w:startOverride w:val="5"/>
    </w:lvlOverride>
  </w:num>
  <w:num w:numId="15">
    <w:abstractNumId w:val="22"/>
  </w:num>
  <w:num w:numId="16">
    <w:abstractNumId w:val="5"/>
  </w:num>
  <w:num w:numId="17">
    <w:abstractNumId w:val="6"/>
  </w:num>
  <w:num w:numId="18">
    <w:abstractNumId w:val="0"/>
  </w:num>
  <w:num w:numId="19">
    <w:abstractNumId w:val="5"/>
    <w:lvlOverride w:ilvl="0">
      <w:startOverride w:val="3"/>
      <w:lvl w:ilvl="0" w:tplc="C8F849CE">
        <w:start w:val="3"/>
        <w:numFmt w:val="decimal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CF2C617C">
        <w:start w:val="1"/>
        <w:numFmt w:val="lowerLetter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4C361208">
        <w:start w:val="1"/>
        <w:numFmt w:val="lowerRoman"/>
        <w:lvlText w:val="%3."/>
        <w:lvlJc w:val="left"/>
        <w:pPr>
          <w:ind w:left="19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3CA29B18">
        <w:start w:val="1"/>
        <w:numFmt w:val="decimal"/>
        <w:lvlText w:val="%4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5FCEE5B2">
        <w:start w:val="1"/>
        <w:numFmt w:val="lowerLetter"/>
        <w:lvlText w:val="%5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8A47800">
        <w:start w:val="1"/>
        <w:numFmt w:val="lowerRoman"/>
        <w:lvlText w:val="%6."/>
        <w:lvlJc w:val="left"/>
        <w:pPr>
          <w:ind w:left="40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FBF48624">
        <w:start w:val="1"/>
        <w:numFmt w:val="decimal"/>
        <w:lvlText w:val="%7."/>
        <w:lvlJc w:val="left"/>
        <w:pPr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78F85588">
        <w:start w:val="1"/>
        <w:numFmt w:val="lowerLetter"/>
        <w:lvlText w:val="%8."/>
        <w:lvlJc w:val="left"/>
        <w:pPr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93581380">
        <w:start w:val="1"/>
        <w:numFmt w:val="lowerRoman"/>
        <w:lvlText w:val="%9."/>
        <w:lvlJc w:val="left"/>
        <w:pPr>
          <w:ind w:left="622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0">
    <w:abstractNumId w:val="8"/>
    <w:lvlOverride w:ilvl="0">
      <w:startOverride w:val="6"/>
    </w:lvlOverride>
  </w:num>
  <w:num w:numId="21">
    <w:abstractNumId w:val="26"/>
  </w:num>
  <w:num w:numId="22">
    <w:abstractNumId w:val="12"/>
  </w:num>
  <w:num w:numId="23">
    <w:abstractNumId w:val="8"/>
    <w:lvlOverride w:ilvl="0">
      <w:startOverride w:val="7"/>
    </w:lvlOverride>
  </w:num>
  <w:num w:numId="24">
    <w:abstractNumId w:val="10"/>
  </w:num>
  <w:num w:numId="25">
    <w:abstractNumId w:val="24"/>
  </w:num>
  <w:num w:numId="26">
    <w:abstractNumId w:val="8"/>
    <w:lvlOverride w:ilvl="0">
      <w:startOverride w:val="8"/>
    </w:lvlOverride>
  </w:num>
  <w:num w:numId="27">
    <w:abstractNumId w:val="7"/>
  </w:num>
  <w:num w:numId="28">
    <w:abstractNumId w:val="1"/>
  </w:num>
  <w:num w:numId="29">
    <w:abstractNumId w:val="25"/>
  </w:num>
  <w:num w:numId="30">
    <w:abstractNumId w:val="3"/>
  </w:num>
  <w:num w:numId="31">
    <w:abstractNumId w:val="8"/>
    <w:lvlOverride w:ilvl="0">
      <w:startOverride w:val="9"/>
    </w:lvlOverride>
  </w:num>
  <w:num w:numId="32">
    <w:abstractNumId w:val="13"/>
  </w:num>
  <w:num w:numId="33">
    <w:abstractNumId w:val="15"/>
  </w:num>
  <w:num w:numId="34">
    <w:abstractNumId w:val="8"/>
    <w:lvlOverride w:ilvl="0">
      <w:startOverride w:val="10"/>
    </w:lvlOverride>
  </w:num>
  <w:num w:numId="35">
    <w:abstractNumId w:val="16"/>
  </w:num>
  <w:num w:numId="36">
    <w:abstractNumId w:val="2"/>
  </w:num>
  <w:num w:numId="37">
    <w:abstractNumId w:val="14"/>
  </w:num>
  <w:num w:numId="38">
    <w:abstractNumId w:val="2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B4"/>
    <w:rsid w:val="000546A3"/>
    <w:rsid w:val="002E28B4"/>
    <w:rsid w:val="002E6903"/>
    <w:rsid w:val="0045502C"/>
    <w:rsid w:val="00AA270B"/>
    <w:rsid w:val="00F66695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81029-2904-46F2-A134-773BD34D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numbering" w:customStyle="1" w:styleId="Importovanstyl8">
    <w:name w:val="Importovaný styl 8"/>
    <w:pPr>
      <w:numPr>
        <w:numId w:val="17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outline w:val="0"/>
      <w:color w:val="0563C1"/>
      <w:sz w:val="18"/>
      <w:szCs w:val="18"/>
      <w:u w:val="single" w:color="0563C1"/>
    </w:rPr>
  </w:style>
  <w:style w:type="numbering" w:customStyle="1" w:styleId="Importovanstyl9">
    <w:name w:val="Importovaný styl 9"/>
    <w:pPr>
      <w:numPr>
        <w:numId w:val="21"/>
      </w:numPr>
    </w:pPr>
  </w:style>
  <w:style w:type="numbering" w:customStyle="1" w:styleId="Importovanstyl10">
    <w:name w:val="Importovaný styl 10"/>
    <w:pPr>
      <w:numPr>
        <w:numId w:val="24"/>
      </w:numPr>
    </w:pPr>
  </w:style>
  <w:style w:type="numbering" w:customStyle="1" w:styleId="Importovanstyl11">
    <w:name w:val="Importovaný styl 11"/>
    <w:pPr>
      <w:numPr>
        <w:numId w:val="27"/>
      </w:numPr>
    </w:pPr>
  </w:style>
  <w:style w:type="numbering" w:customStyle="1" w:styleId="Importovanstyl12">
    <w:name w:val="Importovaný styl 12"/>
    <w:pPr>
      <w:numPr>
        <w:numId w:val="29"/>
      </w:numPr>
    </w:pPr>
  </w:style>
  <w:style w:type="numbering" w:customStyle="1" w:styleId="Importovanstyl13">
    <w:name w:val="Importovaný styl 13"/>
    <w:pPr>
      <w:numPr>
        <w:numId w:val="32"/>
      </w:numPr>
    </w:pPr>
  </w:style>
  <w:style w:type="numbering" w:customStyle="1" w:styleId="Importovanstyl14">
    <w:name w:val="Importovaný styl 14"/>
    <w:pPr>
      <w:numPr>
        <w:numId w:val="35"/>
      </w:numPr>
    </w:pPr>
  </w:style>
  <w:style w:type="character" w:customStyle="1" w:styleId="Hyperlink1">
    <w:name w:val="Hyperlink.1"/>
    <w:basedOn w:val="Hypertextovodkaz"/>
    <w:rPr>
      <w:u w:val="single"/>
    </w:rPr>
  </w:style>
  <w:style w:type="numbering" w:customStyle="1" w:styleId="Importovanstyl15">
    <w:name w:val="Importovaný styl 1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@softex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pora@softex.cz" TargetMode="External"/><Relationship Id="rId12" Type="http://schemas.openxmlformats.org/officeDocument/2006/relationships/hyperlink" Target="mailto:dedkova@softex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orepova@zuslitvinov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vcikova@zuslitvin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l@zuslitvinov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1901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Skořepová</cp:lastModifiedBy>
  <cp:revision>2</cp:revision>
  <dcterms:created xsi:type="dcterms:W3CDTF">2023-01-20T09:02:00Z</dcterms:created>
  <dcterms:modified xsi:type="dcterms:W3CDTF">2023-01-20T09:02:00Z</dcterms:modified>
</cp:coreProperties>
</file>