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160D052" w:rsidR="00ED0E69" w:rsidRPr="00E43DC6" w:rsidRDefault="000B40D0" w:rsidP="00833C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 xml:space="preserve">Smlouva o </w:t>
      </w:r>
      <w:r w:rsidR="00833C11"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 xml:space="preserve">dílo </w:t>
      </w:r>
    </w:p>
    <w:p w14:paraId="798758C5" w14:textId="77777777" w:rsidR="00303CBD" w:rsidRPr="00E43DC6" w:rsidRDefault="00303CB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Theme="minorHAnsi" w:eastAsia="Verdana" w:hAnsiTheme="minorHAnsi" w:cs="Verdana"/>
          <w:b/>
          <w:color w:val="000000"/>
          <w:sz w:val="22"/>
          <w:szCs w:val="22"/>
        </w:rPr>
      </w:pPr>
    </w:p>
    <w:p w14:paraId="00000006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(1) </w:t>
      </w: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Česká agentura pro standardizaci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, </w:t>
      </w:r>
      <w:r w:rsidRPr="00E43DC6">
        <w:rPr>
          <w:rFonts w:asciiTheme="minorHAnsi" w:eastAsia="Verdana" w:hAnsiTheme="minorHAnsi" w:cs="Verdana"/>
          <w:b/>
          <w:bCs/>
          <w:color w:val="000000"/>
          <w:sz w:val="22"/>
          <w:szCs w:val="22"/>
        </w:rPr>
        <w:t>státní příspěvková organizace</w:t>
      </w:r>
    </w:p>
    <w:p w14:paraId="00000007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sídlo: 110 00 Praha 1, Biskupský dvůr 1148/5</w:t>
      </w:r>
    </w:p>
    <w:p w14:paraId="00000008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přechodné sídlo (adresa pro doručování): 180 00 Praha 8, Na Žertvách 132/24</w:t>
      </w:r>
    </w:p>
    <w:p w14:paraId="00000009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zastoupená: Mgr. Zdeňkem Veselým, generálním ředitelem</w:t>
      </w:r>
    </w:p>
    <w:p w14:paraId="0000000A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datová schránka: 4htvpem</w:t>
      </w:r>
    </w:p>
    <w:p w14:paraId="0000000B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IČO: 06578705</w:t>
      </w:r>
    </w:p>
    <w:p w14:paraId="0000000C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DIČ: CZ06578705</w:t>
      </w:r>
    </w:p>
    <w:p w14:paraId="0000000D" w14:textId="57C93BF2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bankovní spojení: </w:t>
      </w:r>
    </w:p>
    <w:p w14:paraId="0000000E" w14:textId="22E46C43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číslo účtu: </w:t>
      </w:r>
    </w:p>
    <w:p w14:paraId="4F76BFEA" w14:textId="046C0C04" w:rsidR="00833C11" w:rsidRPr="00E43DC6" w:rsidRDefault="00833C11" w:rsidP="003824C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2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zastoupena: Mgr. Zdeněk Veselý, generální ředitel </w:t>
      </w:r>
    </w:p>
    <w:p w14:paraId="0000000F" w14:textId="03A8E010" w:rsidR="00ED0E69" w:rsidRPr="00E43DC6" w:rsidRDefault="000B40D0" w:rsidP="003824C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2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kontaktní osoba: </w:t>
      </w:r>
      <w:r w:rsidR="003824CD"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Mgr. </w:t>
      </w:r>
      <w:r w:rsidR="00833C11" w:rsidRPr="00E43DC6">
        <w:rPr>
          <w:rFonts w:asciiTheme="minorHAnsi" w:eastAsia="Verdana" w:hAnsiTheme="minorHAnsi" w:cs="Verdana"/>
          <w:color w:val="000000"/>
          <w:sz w:val="22"/>
          <w:szCs w:val="22"/>
        </w:rPr>
        <w:t>Eva Kaiserová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, </w:t>
      </w:r>
    </w:p>
    <w:p w14:paraId="00000010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(dále jen "</w:t>
      </w: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Agentura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")</w:t>
      </w:r>
    </w:p>
    <w:p w14:paraId="00000011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a</w:t>
      </w:r>
    </w:p>
    <w:p w14:paraId="2F5721AB" w14:textId="77777777" w:rsidR="007A6E3D" w:rsidRPr="00E43DC6" w:rsidRDefault="000B40D0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 w:cs="Verdana"/>
          <w:b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(2) </w:t>
      </w:r>
      <w:r w:rsidR="007A6E3D"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 xml:space="preserve">Svaz podnikatelů ve stavebnictví </w:t>
      </w:r>
    </w:p>
    <w:p w14:paraId="3CB37397" w14:textId="428E7F45" w:rsidR="007A6E3D" w:rsidRPr="00E43DC6" w:rsidRDefault="007A6E3D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Cs/>
          <w:color w:val="000000"/>
          <w:sz w:val="22"/>
          <w:szCs w:val="22"/>
        </w:rPr>
        <w:t>sídlo</w:t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 xml:space="preserve">: 110 00 Praha – Nové Město, Revoluční 1082/8 </w:t>
      </w:r>
    </w:p>
    <w:p w14:paraId="4B6632DC" w14:textId="77777777" w:rsidR="007A6E3D" w:rsidRPr="00E43DC6" w:rsidRDefault="007A6E3D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 xml:space="preserve">zapsaný: ve spolkovém rejstříku vedeném Městským soudem v Praze pod </w:t>
      </w:r>
      <w:proofErr w:type="spellStart"/>
      <w:r w:rsidRPr="00E43DC6">
        <w:rPr>
          <w:rFonts w:asciiTheme="minorHAnsi" w:eastAsia="Verdana" w:hAnsiTheme="minorHAnsi"/>
          <w:color w:val="000000"/>
          <w:sz w:val="22"/>
          <w:szCs w:val="22"/>
        </w:rPr>
        <w:t>sp.zn</w:t>
      </w:r>
      <w:proofErr w:type="spellEnd"/>
      <w:r w:rsidRPr="00E43DC6">
        <w:rPr>
          <w:rFonts w:asciiTheme="minorHAnsi" w:eastAsia="Verdana" w:hAnsiTheme="minorHAnsi"/>
          <w:color w:val="000000"/>
          <w:sz w:val="22"/>
          <w:szCs w:val="22"/>
        </w:rPr>
        <w:t xml:space="preserve">.: L 11068 </w:t>
      </w:r>
    </w:p>
    <w:p w14:paraId="2AB9F4F2" w14:textId="77777777" w:rsidR="007A6E3D" w:rsidRPr="00E43DC6" w:rsidRDefault="007A6E3D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 xml:space="preserve">datová schránka: tq6cnah </w:t>
      </w:r>
    </w:p>
    <w:p w14:paraId="3AF6A548" w14:textId="77777777" w:rsidR="007A6E3D" w:rsidRPr="00E43DC6" w:rsidRDefault="007A6E3D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 xml:space="preserve">IČO: 01541641 </w:t>
      </w:r>
    </w:p>
    <w:p w14:paraId="232F8BEE" w14:textId="77777777" w:rsidR="007A6E3D" w:rsidRPr="00E43DC6" w:rsidRDefault="007A6E3D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 xml:space="preserve">DIČ: CZ01541641 </w:t>
      </w:r>
    </w:p>
    <w:p w14:paraId="7217FBF4" w14:textId="13DEF9DD" w:rsidR="007A6E3D" w:rsidRPr="00E43DC6" w:rsidRDefault="007A6E3D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 xml:space="preserve">bankovní spojení: </w:t>
      </w:r>
    </w:p>
    <w:p w14:paraId="1D29BF52" w14:textId="5A296A34" w:rsidR="007A6E3D" w:rsidRPr="00E43DC6" w:rsidRDefault="007A6E3D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 xml:space="preserve">číslo účtu:  </w:t>
      </w:r>
    </w:p>
    <w:p w14:paraId="1BA7F0FF" w14:textId="0BF7E444" w:rsidR="00833C11" w:rsidRPr="00E43DC6" w:rsidRDefault="00833C11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zastoupen: Ing. Jiří Nouza, prezident svazu</w:t>
      </w:r>
    </w:p>
    <w:p w14:paraId="659D740B" w14:textId="4E1E0B6F" w:rsidR="007A6E3D" w:rsidRPr="00E43DC6" w:rsidRDefault="007A6E3D" w:rsidP="007A6E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textDirection w:val="lrTb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>kontaktní osoba: Ing. Jiří Nouz</w:t>
      </w:r>
      <w:r w:rsidR="006F326B">
        <w:rPr>
          <w:rFonts w:asciiTheme="minorHAnsi" w:eastAsia="Verdana" w:hAnsiTheme="minorHAnsi"/>
          <w:color w:val="000000"/>
          <w:sz w:val="22"/>
          <w:szCs w:val="22"/>
        </w:rPr>
        <w:t>a</w:t>
      </w:r>
    </w:p>
    <w:p w14:paraId="0A13BE5D" w14:textId="0BC30861" w:rsidR="003367B3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číslo účtu: </w:t>
      </w:r>
    </w:p>
    <w:p w14:paraId="0000001C" w14:textId="6DEAE164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(dále jen "</w:t>
      </w:r>
      <w:r w:rsidR="007A6E3D"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SPS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")</w:t>
      </w:r>
    </w:p>
    <w:p w14:paraId="0000001D" w14:textId="53690CFE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(Agentura a </w:t>
      </w:r>
      <w:r w:rsidR="007A6E3D" w:rsidRPr="00E43DC6">
        <w:rPr>
          <w:rFonts w:asciiTheme="minorHAnsi" w:eastAsia="Verdana" w:hAnsiTheme="minorHAnsi" w:cs="Verdana"/>
          <w:color w:val="000000"/>
          <w:sz w:val="22"/>
          <w:szCs w:val="22"/>
        </w:rPr>
        <w:t>SPS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dále též jen samostatně jako „</w:t>
      </w: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Smluvní strana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“ nebo společně a nerozdílně jako „</w:t>
      </w: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Smluvní strany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“)</w:t>
      </w:r>
    </w:p>
    <w:p w14:paraId="6629B454" w14:textId="77777777" w:rsidR="00833C11" w:rsidRPr="00E43DC6" w:rsidRDefault="00833C11" w:rsidP="00833C11">
      <w:pPr>
        <w:spacing w:line="276" w:lineRule="auto"/>
        <w:ind w:left="0" w:hanging="2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uzavírají, ve smyslu ustanovení § 2586 a násl. zákona č. 89/2012 Sb., občanský zákoník, ve znění pozdějších předpisů, tuto</w:t>
      </w:r>
    </w:p>
    <w:p w14:paraId="0BB09E26" w14:textId="77777777" w:rsidR="00833C11" w:rsidRPr="00E43DC6" w:rsidRDefault="00833C11" w:rsidP="00833C11">
      <w:pPr>
        <w:spacing w:line="276" w:lineRule="auto"/>
        <w:ind w:left="0" w:hanging="2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E43DC6">
        <w:rPr>
          <w:rFonts w:ascii="Cambria" w:hAnsi="Cambria" w:cstheme="minorHAnsi"/>
          <w:b/>
          <w:bCs/>
          <w:sz w:val="22"/>
          <w:szCs w:val="22"/>
        </w:rPr>
        <w:t>smlouvu o dílo</w:t>
      </w:r>
    </w:p>
    <w:p w14:paraId="11AFD7CC" w14:textId="77777777" w:rsidR="00833C11" w:rsidRPr="00E43DC6" w:rsidRDefault="00833C11" w:rsidP="00833C11">
      <w:pPr>
        <w:spacing w:line="276" w:lineRule="auto"/>
        <w:ind w:left="0" w:hanging="2"/>
        <w:jc w:val="center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(dále jen „</w:t>
      </w:r>
      <w:r w:rsidRPr="00E43DC6">
        <w:rPr>
          <w:rFonts w:ascii="Cambria" w:hAnsi="Cambria" w:cstheme="minorHAnsi"/>
          <w:b/>
          <w:sz w:val="22"/>
          <w:szCs w:val="22"/>
        </w:rPr>
        <w:t>Smlouva</w:t>
      </w:r>
      <w:r w:rsidRPr="00E43DC6">
        <w:rPr>
          <w:rFonts w:ascii="Cambria" w:hAnsi="Cambria" w:cstheme="minorHAnsi"/>
          <w:sz w:val="22"/>
          <w:szCs w:val="22"/>
        </w:rPr>
        <w:t>“)</w:t>
      </w:r>
    </w:p>
    <w:p w14:paraId="47073237" w14:textId="77777777" w:rsidR="00303CBD" w:rsidRPr="00E43DC6" w:rsidRDefault="00303CB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</w:p>
    <w:p w14:paraId="00000020" w14:textId="3BCC05BF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lastRenderedPageBreak/>
        <w:t>I.</w:t>
      </w:r>
    </w:p>
    <w:p w14:paraId="00000021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Předmět Smlouvy</w:t>
      </w:r>
    </w:p>
    <w:p w14:paraId="00000029" w14:textId="3565D6D2" w:rsidR="00ED0E69" w:rsidRPr="00E43DC6" w:rsidRDefault="007A6E3D" w:rsidP="00B74E41">
      <w:pPr>
        <w:pStyle w:val="Odstavecseseznamem"/>
        <w:numPr>
          <w:ilvl w:val="1"/>
          <w:numId w:val="3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SPS</w:t>
      </w:r>
      <w:r w:rsidR="000B40D0"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se zavazuje na vlastní náklady a nebezpečí </w:t>
      </w:r>
      <w:r w:rsidR="00833C11" w:rsidRPr="00E43DC6">
        <w:rPr>
          <w:rFonts w:asciiTheme="minorHAnsi" w:eastAsia="Verdana" w:hAnsiTheme="minorHAnsi" w:cs="Verdana"/>
          <w:color w:val="000000"/>
          <w:sz w:val="22"/>
          <w:szCs w:val="22"/>
        </w:rPr>
        <w:t>zpracovat 1. etapu Metodiky zavádění metody BIM pro malé a střední podniky (</w:t>
      </w:r>
      <w:r w:rsidR="000B40D0" w:rsidRPr="00E43DC6">
        <w:rPr>
          <w:rFonts w:asciiTheme="minorHAnsi" w:eastAsia="Verdana" w:hAnsiTheme="minorHAnsi" w:cs="Verdana"/>
          <w:color w:val="000000"/>
          <w:sz w:val="22"/>
          <w:szCs w:val="22"/>
        </w:rPr>
        <w:t>dále jen „</w:t>
      </w:r>
      <w:r w:rsidR="00833C11" w:rsidRPr="00E43DC6">
        <w:rPr>
          <w:rFonts w:asciiTheme="minorHAnsi" w:eastAsia="Verdana" w:hAnsiTheme="minorHAnsi" w:cs="Verdana"/>
          <w:color w:val="000000"/>
          <w:sz w:val="22"/>
          <w:szCs w:val="22"/>
        </w:rPr>
        <w:t>Dílo</w:t>
      </w:r>
      <w:r w:rsidR="000B40D0"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“). </w:t>
      </w:r>
    </w:p>
    <w:p w14:paraId="0000002B" w14:textId="29EBD5E0" w:rsidR="00ED0E69" w:rsidRPr="00E43DC6" w:rsidRDefault="000B40D0" w:rsidP="00B74E41">
      <w:pPr>
        <w:pStyle w:val="Odstavecseseznamem"/>
        <w:numPr>
          <w:ilvl w:val="1"/>
          <w:numId w:val="3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Agentura se zavazuje předat </w:t>
      </w:r>
      <w:r w:rsidR="007A6E3D" w:rsidRPr="00E43DC6">
        <w:rPr>
          <w:rFonts w:asciiTheme="minorHAnsi" w:eastAsia="Verdana" w:hAnsiTheme="minorHAnsi" w:cs="Verdana"/>
          <w:color w:val="000000"/>
          <w:sz w:val="22"/>
          <w:szCs w:val="22"/>
        </w:rPr>
        <w:t>SPS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veškeré podklady potřebné k naplnění smluvních </w:t>
      </w:r>
      <w:r w:rsidR="00B74E41" w:rsidRPr="00E43DC6">
        <w:rPr>
          <w:rFonts w:asciiTheme="minorHAnsi" w:eastAsia="Verdana" w:hAnsiTheme="minorHAnsi" w:cs="Verdana"/>
          <w:color w:val="000000"/>
          <w:sz w:val="22"/>
          <w:szCs w:val="22"/>
        </w:rPr>
        <w:t>p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odmínek uvedených v odst. 1 tohoto článku.</w:t>
      </w:r>
    </w:p>
    <w:p w14:paraId="0000002C" w14:textId="2DB89F96" w:rsidR="00ED0E69" w:rsidRPr="00E43DC6" w:rsidRDefault="000B40D0" w:rsidP="00B74E41">
      <w:pPr>
        <w:pStyle w:val="Odstavecseseznamem"/>
        <w:numPr>
          <w:ilvl w:val="1"/>
          <w:numId w:val="3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Agentura se zavazuje </w:t>
      </w:r>
      <w:r w:rsidR="007A6E3D" w:rsidRPr="00E43DC6">
        <w:rPr>
          <w:rFonts w:asciiTheme="minorHAnsi" w:eastAsia="Verdana" w:hAnsiTheme="minorHAnsi" w:cs="Verdana"/>
          <w:color w:val="000000"/>
          <w:sz w:val="22"/>
          <w:szCs w:val="22"/>
        </w:rPr>
        <w:t>SPS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za </w:t>
      </w:r>
      <w:r w:rsidR="00833C11" w:rsidRPr="00E43DC6">
        <w:rPr>
          <w:rFonts w:asciiTheme="minorHAnsi" w:eastAsia="Verdana" w:hAnsiTheme="minorHAnsi" w:cs="Verdana"/>
          <w:color w:val="000000"/>
          <w:sz w:val="22"/>
          <w:szCs w:val="22"/>
        </w:rPr>
        <w:t>Dílo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podle této Smlouvy zaplatit dohodnutou cenu podle článku II této Smlouvy.</w:t>
      </w:r>
    </w:p>
    <w:p w14:paraId="0000002E" w14:textId="0B6FCA65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II.</w:t>
      </w:r>
    </w:p>
    <w:p w14:paraId="0000002F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Cena</w:t>
      </w:r>
    </w:p>
    <w:p w14:paraId="00000030" w14:textId="488F0712" w:rsidR="00ED0E69" w:rsidRPr="00E43DC6" w:rsidRDefault="000B40D0" w:rsidP="00B74E41">
      <w:pPr>
        <w:pStyle w:val="Odstavecseseznamem"/>
        <w:numPr>
          <w:ilvl w:val="1"/>
          <w:numId w:val="6"/>
        </w:numPr>
        <w:spacing w:after="120" w:line="276" w:lineRule="auto"/>
        <w:ind w:left="426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Smluvní strany se ve smyslu zákona č. 526/1990 Sb., o cenách, ve znění pozdějších předpisů, dohodly na tom, že cena za </w:t>
      </w:r>
      <w:r w:rsidR="00833C11" w:rsidRPr="00E43DC6">
        <w:rPr>
          <w:rFonts w:asciiTheme="minorHAnsi" w:eastAsia="Verdana" w:hAnsiTheme="minorHAnsi" w:cs="Verdana"/>
          <w:color w:val="000000"/>
          <w:sz w:val="22"/>
          <w:szCs w:val="22"/>
        </w:rPr>
        <w:t>Dílo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podle této Smlouvy činí 4</w:t>
      </w:r>
      <w:r w:rsidR="00833C11" w:rsidRPr="00E43DC6">
        <w:rPr>
          <w:rFonts w:asciiTheme="minorHAnsi" w:eastAsia="Verdana" w:hAnsiTheme="minorHAnsi" w:cs="Verdana"/>
          <w:color w:val="000000"/>
          <w:sz w:val="22"/>
          <w:szCs w:val="22"/>
        </w:rPr>
        <w:t>98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.000,- Kč bez DPH, k ceně bude připočteno DPH v zákonné výši, celková cena včetně DPH ve výši 21 % tak činí paušální částku </w:t>
      </w:r>
      <w:r w:rsidR="00833C11" w:rsidRPr="00E43DC6">
        <w:rPr>
          <w:rFonts w:asciiTheme="minorHAnsi" w:eastAsia="Verdana" w:hAnsiTheme="minorHAnsi" w:cs="Verdana"/>
          <w:color w:val="000000"/>
          <w:sz w:val="22"/>
          <w:szCs w:val="22"/>
        </w:rPr>
        <w:t>602 580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,- Kč.</w:t>
      </w:r>
    </w:p>
    <w:p w14:paraId="00000031" w14:textId="5340A87D" w:rsidR="00ED0E69" w:rsidRPr="00E43DC6" w:rsidRDefault="000B40D0" w:rsidP="00B74E41">
      <w:pPr>
        <w:pStyle w:val="Odstavecseseznamem"/>
        <w:numPr>
          <w:ilvl w:val="1"/>
          <w:numId w:val="6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Celková cena uvedená v odst. 1 tohoto článku je cenou nejvýše přípustnou a neměnnou a zahrnuje veškeré náklady </w:t>
      </w:r>
      <w:r w:rsidR="007A6E3D" w:rsidRPr="00E43DC6">
        <w:rPr>
          <w:rFonts w:asciiTheme="minorHAnsi" w:eastAsia="Verdana" w:hAnsiTheme="minorHAnsi" w:cs="Verdana"/>
          <w:color w:val="000000"/>
          <w:sz w:val="22"/>
          <w:szCs w:val="22"/>
        </w:rPr>
        <w:t>SPS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vzniklé v souvislosti s plněním povinností </w:t>
      </w:r>
      <w:r w:rsidR="007A6E3D" w:rsidRPr="00E43DC6">
        <w:rPr>
          <w:rFonts w:asciiTheme="minorHAnsi" w:eastAsia="Verdana" w:hAnsiTheme="minorHAnsi" w:cs="Verdana"/>
          <w:color w:val="000000"/>
          <w:sz w:val="22"/>
          <w:szCs w:val="22"/>
        </w:rPr>
        <w:t>SPS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podle této Smlouvy.</w:t>
      </w:r>
    </w:p>
    <w:p w14:paraId="00000032" w14:textId="6F8FB6BB" w:rsidR="00ED0E69" w:rsidRPr="00E43DC6" w:rsidRDefault="000B40D0" w:rsidP="00B74E41">
      <w:pPr>
        <w:pStyle w:val="Odstavecseseznamem"/>
        <w:numPr>
          <w:ilvl w:val="1"/>
          <w:numId w:val="6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Cena stanovená touto Smlouvou se může změnit pouze v případě úpravy výše zákonné sazby DPH. Účinností takové úpravy se cena včetně DPH upraví podle příslušné sazby DPH. V tomto případě nemusí být uzavírán dodatek k této Smlouvě.</w:t>
      </w:r>
    </w:p>
    <w:p w14:paraId="5000CE1A" w14:textId="71AB0432" w:rsidR="00833C11" w:rsidRPr="00E43DC6" w:rsidRDefault="00833C11" w:rsidP="00833C1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Theme="minorHAnsi" w:eastAsia="Verdana" w:hAnsiTheme="minorHAnsi" w:cs="Verdana"/>
          <w:b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III.</w:t>
      </w:r>
    </w:p>
    <w:p w14:paraId="48CCF417" w14:textId="56DCF3BD" w:rsidR="00833C11" w:rsidRPr="00E43DC6" w:rsidRDefault="00833C11" w:rsidP="00833C1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Theme="minorHAnsi" w:eastAsia="Verdana" w:hAnsiTheme="minorHAnsi" w:cs="Verdana"/>
          <w:b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 xml:space="preserve">Doba plnění </w:t>
      </w:r>
    </w:p>
    <w:p w14:paraId="0773D59A" w14:textId="6535D3BC" w:rsidR="00833C11" w:rsidRDefault="00833C11" w:rsidP="00B74E41">
      <w:pPr>
        <w:pStyle w:val="Odstavecseseznamem"/>
        <w:numPr>
          <w:ilvl w:val="1"/>
          <w:numId w:val="7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SPS se zavazuje předat zpracované Dílo nejpozději do 20. 12. 2022, a to na základě předávacího protokolu k rukám kontaktní osoby. </w:t>
      </w:r>
    </w:p>
    <w:p w14:paraId="5D08B9A6" w14:textId="77777777" w:rsidR="00E43DC6" w:rsidRPr="00E43DC6" w:rsidRDefault="00E43DC6" w:rsidP="00E43DC6">
      <w:pPr>
        <w:pStyle w:val="Odstavecseseznamem"/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</w:p>
    <w:p w14:paraId="11EEF73B" w14:textId="6CC44607" w:rsidR="001F29DE" w:rsidRPr="00E43DC6" w:rsidRDefault="001F29DE" w:rsidP="001F29D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inorHAnsi" w:eastAsia="Verdana" w:hAnsiTheme="minorHAnsi" w:cs="Verdana"/>
          <w:b/>
          <w:bCs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bCs/>
          <w:color w:val="000000"/>
          <w:sz w:val="22"/>
          <w:szCs w:val="22"/>
        </w:rPr>
        <w:t>IV.</w:t>
      </w:r>
    </w:p>
    <w:p w14:paraId="0000003A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Fakturační a platební podmínky</w:t>
      </w:r>
    </w:p>
    <w:p w14:paraId="0000003B" w14:textId="52088758" w:rsidR="00ED0E69" w:rsidRPr="00E43DC6" w:rsidRDefault="000B40D0" w:rsidP="00B74E41">
      <w:pPr>
        <w:pStyle w:val="Odstavecseseznamem"/>
        <w:numPr>
          <w:ilvl w:val="1"/>
          <w:numId w:val="8"/>
        </w:numPr>
        <w:spacing w:after="120" w:line="276" w:lineRule="auto"/>
        <w:ind w:left="426"/>
        <w:jc w:val="both"/>
        <w:textDirection w:val="btLr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 xml:space="preserve">Právo fakturovat vzniká </w:t>
      </w:r>
      <w:r w:rsidR="007A6E3D" w:rsidRPr="00E43DC6">
        <w:rPr>
          <w:rFonts w:ascii="Cambria" w:hAnsi="Cambria" w:cstheme="minorHAnsi"/>
          <w:sz w:val="22"/>
          <w:szCs w:val="22"/>
        </w:rPr>
        <w:t>SPS</w:t>
      </w:r>
      <w:r w:rsidRPr="00E43DC6">
        <w:rPr>
          <w:rFonts w:ascii="Cambria" w:hAnsi="Cambria" w:cstheme="minorHAnsi"/>
          <w:sz w:val="22"/>
          <w:szCs w:val="22"/>
        </w:rPr>
        <w:t xml:space="preserve"> nejdříve dnem </w:t>
      </w:r>
      <w:r w:rsidR="00833C11" w:rsidRPr="00E43DC6">
        <w:rPr>
          <w:rFonts w:ascii="Cambria" w:hAnsi="Cambria" w:cstheme="minorHAnsi"/>
          <w:sz w:val="22"/>
          <w:szCs w:val="22"/>
        </w:rPr>
        <w:t>následujícím po předání a převzetí Díla kontaktní osobou Agentury</w:t>
      </w:r>
      <w:r w:rsidRPr="00E43DC6">
        <w:rPr>
          <w:rFonts w:ascii="Cambria" w:hAnsi="Cambria" w:cstheme="minorHAnsi"/>
          <w:sz w:val="22"/>
          <w:szCs w:val="22"/>
        </w:rPr>
        <w:t>.</w:t>
      </w:r>
    </w:p>
    <w:p w14:paraId="0000003C" w14:textId="7AFFC3A9" w:rsidR="00ED0E69" w:rsidRPr="00E43DC6" w:rsidRDefault="007A6E3D" w:rsidP="00B74E41">
      <w:pPr>
        <w:pStyle w:val="Odstavecseseznamem"/>
        <w:numPr>
          <w:ilvl w:val="1"/>
          <w:numId w:val="8"/>
        </w:numPr>
        <w:spacing w:after="120" w:line="276" w:lineRule="auto"/>
        <w:ind w:left="426"/>
        <w:jc w:val="both"/>
        <w:textDirection w:val="btLr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SPS</w:t>
      </w:r>
      <w:r w:rsidR="000B40D0" w:rsidRPr="00E43DC6">
        <w:rPr>
          <w:rFonts w:ascii="Cambria" w:hAnsi="Cambria" w:cstheme="minorHAnsi"/>
          <w:sz w:val="22"/>
          <w:szCs w:val="22"/>
        </w:rPr>
        <w:t xml:space="preserve"> je povinen po vzniku práva fakturovat, vystavit Agentuře řádný daňový doklad (dále jen „faktura“). Agentura souhlasí s použitím faktury v elektronické podobě. Bude-li faktura vystavena v listinné podobě, </w:t>
      </w:r>
      <w:proofErr w:type="gramStart"/>
      <w:r w:rsidR="000B40D0" w:rsidRPr="00E43DC6">
        <w:rPr>
          <w:rFonts w:ascii="Cambria" w:hAnsi="Cambria" w:cstheme="minorHAnsi"/>
          <w:sz w:val="22"/>
          <w:szCs w:val="22"/>
        </w:rPr>
        <w:t>doručí</w:t>
      </w:r>
      <w:proofErr w:type="gramEnd"/>
      <w:r w:rsidR="000B40D0" w:rsidRPr="00E43DC6">
        <w:rPr>
          <w:rFonts w:ascii="Cambria" w:hAnsi="Cambria" w:cstheme="minorHAnsi"/>
          <w:sz w:val="22"/>
          <w:szCs w:val="22"/>
        </w:rPr>
        <w:t xml:space="preserve"> ji </w:t>
      </w:r>
      <w:r w:rsidRPr="00E43DC6">
        <w:rPr>
          <w:rFonts w:ascii="Cambria" w:hAnsi="Cambria" w:cstheme="minorHAnsi"/>
          <w:sz w:val="22"/>
          <w:szCs w:val="22"/>
        </w:rPr>
        <w:t>SPS</w:t>
      </w:r>
      <w:r w:rsidR="000B40D0" w:rsidRPr="00E43DC6">
        <w:rPr>
          <w:rFonts w:ascii="Cambria" w:hAnsi="Cambria" w:cstheme="minorHAnsi"/>
          <w:sz w:val="22"/>
          <w:szCs w:val="22"/>
        </w:rPr>
        <w:t xml:space="preserve"> Agentuře v jednom vyhotovení. Splatnost faktury činí </w:t>
      </w:r>
      <w:r w:rsidR="00833C11" w:rsidRPr="00E43DC6">
        <w:rPr>
          <w:rFonts w:ascii="Cambria" w:hAnsi="Cambria" w:cstheme="minorHAnsi"/>
          <w:sz w:val="22"/>
          <w:szCs w:val="22"/>
        </w:rPr>
        <w:t>3</w:t>
      </w:r>
      <w:r w:rsidR="000B40D0" w:rsidRPr="00E43DC6">
        <w:rPr>
          <w:rFonts w:ascii="Cambria" w:hAnsi="Cambria" w:cstheme="minorHAnsi"/>
          <w:sz w:val="22"/>
          <w:szCs w:val="22"/>
        </w:rPr>
        <w:t xml:space="preserve">0 kalendářních dnů ode dne jejího doručení Agentuře. </w:t>
      </w:r>
    </w:p>
    <w:p w14:paraId="0000003D" w14:textId="05A264EC" w:rsidR="00ED0E69" w:rsidRPr="00E43DC6" w:rsidRDefault="000B40D0" w:rsidP="00B74E41">
      <w:pPr>
        <w:pStyle w:val="Odstavecseseznamem"/>
        <w:numPr>
          <w:ilvl w:val="1"/>
          <w:numId w:val="8"/>
        </w:numPr>
        <w:spacing w:after="120" w:line="276" w:lineRule="auto"/>
        <w:ind w:left="426"/>
        <w:jc w:val="both"/>
        <w:textDirection w:val="btLr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 xml:space="preserve">V případě, že faktura bude obsahovat nesprávné nebo neúplné údaje, je Agentura oprávněna vrátit fakturu </w:t>
      </w:r>
      <w:r w:rsidR="007A6E3D" w:rsidRPr="00E43DC6">
        <w:rPr>
          <w:rFonts w:ascii="Cambria" w:hAnsi="Cambria" w:cstheme="minorHAnsi"/>
          <w:sz w:val="22"/>
          <w:szCs w:val="22"/>
        </w:rPr>
        <w:t>SPS</w:t>
      </w:r>
      <w:r w:rsidRPr="00E43DC6">
        <w:rPr>
          <w:rFonts w:ascii="Cambria" w:hAnsi="Cambria" w:cstheme="minorHAnsi"/>
          <w:sz w:val="22"/>
          <w:szCs w:val="22"/>
        </w:rPr>
        <w:t xml:space="preserve"> do data její splatnosti. </w:t>
      </w:r>
      <w:r w:rsidR="007A6E3D" w:rsidRPr="00E43DC6">
        <w:rPr>
          <w:rFonts w:ascii="Cambria" w:hAnsi="Cambria" w:cstheme="minorHAnsi"/>
          <w:sz w:val="22"/>
          <w:szCs w:val="22"/>
        </w:rPr>
        <w:t>SPS</w:t>
      </w:r>
      <w:r w:rsidRPr="00E43DC6">
        <w:rPr>
          <w:rFonts w:ascii="Cambria" w:hAnsi="Cambria" w:cstheme="minorHAnsi"/>
          <w:sz w:val="22"/>
          <w:szCs w:val="22"/>
        </w:rPr>
        <w:t xml:space="preserve"> vrácenou fakturu opraví, eventuálně vyhotoví novou, bezvadnou do 10 pracovních dnů ode dne doručení vrácené faktury. V takovém případě je stanovena Agentuře nová lhůta splatnosti podle odst. 2 in fine tohoto článku ode dne doručení opravené nebo nové faktury.</w:t>
      </w:r>
    </w:p>
    <w:p w14:paraId="0000003E" w14:textId="7B3D22A0" w:rsidR="00ED0E69" w:rsidRPr="00E43DC6" w:rsidRDefault="000B40D0" w:rsidP="00B74E41">
      <w:pPr>
        <w:pStyle w:val="Odstavecseseznamem"/>
        <w:numPr>
          <w:ilvl w:val="1"/>
          <w:numId w:val="8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lastRenderedPageBreak/>
        <w:t xml:space="preserve">Pokud budou u </w:t>
      </w:r>
      <w:r w:rsidR="007A6E3D" w:rsidRPr="00E43DC6">
        <w:rPr>
          <w:rFonts w:ascii="Cambria" w:hAnsi="Cambria" w:cstheme="minorHAnsi"/>
          <w:sz w:val="22"/>
          <w:szCs w:val="22"/>
        </w:rPr>
        <w:t>SPS</w:t>
      </w:r>
      <w:r w:rsidRPr="00E43DC6">
        <w:rPr>
          <w:rFonts w:ascii="Cambria" w:hAnsi="Cambria" w:cstheme="minorHAnsi"/>
          <w:sz w:val="22"/>
          <w:szCs w:val="22"/>
        </w:rPr>
        <w:t xml:space="preserve"> zdanitelného plnění shledány důvody k naplnění institutu ručení příjemce zdanitelného plnění podle § 109 zákona č. 235/2004 Sb., o dani z přidané hodnoty, ve znění pozdějších předpisů, bude Agentura při zaslání úplaty vždy postupovat zvláštním způsobem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zajištění daně podle § 109a citovaného zákona.</w:t>
      </w:r>
    </w:p>
    <w:p w14:paraId="0000003F" w14:textId="660E8FFB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V.</w:t>
      </w:r>
    </w:p>
    <w:p w14:paraId="00000040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Vlastnictví a odpovědnost za škodu</w:t>
      </w:r>
    </w:p>
    <w:p w14:paraId="00000041" w14:textId="45FC918C" w:rsidR="00ED0E69" w:rsidRPr="00E43DC6" w:rsidRDefault="000B40D0" w:rsidP="00B74E41">
      <w:pPr>
        <w:pStyle w:val="Odstavecseseznamem"/>
        <w:numPr>
          <w:ilvl w:val="1"/>
          <w:numId w:val="9"/>
        </w:numPr>
        <w:spacing w:after="120" w:line="276" w:lineRule="auto"/>
        <w:ind w:left="426"/>
        <w:jc w:val="both"/>
        <w:textDirection w:val="btLr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 xml:space="preserve">Vlastníkem veškerých podkladů, které budou </w:t>
      </w:r>
      <w:r w:rsidR="007A6E3D" w:rsidRPr="00E43DC6">
        <w:rPr>
          <w:rFonts w:ascii="Cambria" w:hAnsi="Cambria" w:cstheme="minorHAnsi"/>
          <w:sz w:val="22"/>
          <w:szCs w:val="22"/>
        </w:rPr>
        <w:t>SPS</w:t>
      </w:r>
      <w:r w:rsidRPr="00E43DC6">
        <w:rPr>
          <w:rFonts w:ascii="Cambria" w:hAnsi="Cambria" w:cstheme="minorHAnsi"/>
          <w:sz w:val="22"/>
          <w:szCs w:val="22"/>
        </w:rPr>
        <w:t xml:space="preserve"> předány za účelem </w:t>
      </w:r>
      <w:r w:rsidR="00B74E41" w:rsidRPr="00E43DC6">
        <w:rPr>
          <w:rFonts w:ascii="Cambria" w:hAnsi="Cambria" w:cstheme="minorHAnsi"/>
          <w:sz w:val="22"/>
          <w:szCs w:val="22"/>
        </w:rPr>
        <w:t>realizace Díla</w:t>
      </w:r>
      <w:r w:rsidRPr="00E43DC6">
        <w:rPr>
          <w:rFonts w:ascii="Cambria" w:hAnsi="Cambria" w:cstheme="minorHAnsi"/>
          <w:sz w:val="22"/>
          <w:szCs w:val="22"/>
        </w:rPr>
        <w:t>, je po celou dobu plnění předmětu Smlouvy Agentura.</w:t>
      </w:r>
    </w:p>
    <w:p w14:paraId="00000042" w14:textId="59105336" w:rsidR="00ED0E69" w:rsidRPr="00E43DC6" w:rsidRDefault="000B40D0" w:rsidP="00B74E41">
      <w:pPr>
        <w:pStyle w:val="Odstavecseseznamem"/>
        <w:numPr>
          <w:ilvl w:val="1"/>
          <w:numId w:val="9"/>
        </w:numPr>
        <w:spacing w:after="120" w:line="276" w:lineRule="auto"/>
        <w:ind w:left="426"/>
        <w:jc w:val="both"/>
        <w:textDirection w:val="btLr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Smluvní strany se dohodly, že v případě náhrady škody se bude hradit pouze skutečná prokazatelně vzniklá škoda.</w:t>
      </w:r>
    </w:p>
    <w:p w14:paraId="748120D7" w14:textId="77777777" w:rsidR="00E43DC6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Theme="minorHAnsi" w:eastAsia="Verdana" w:hAnsiTheme="minorHAnsi" w:cs="Verdana"/>
          <w:b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VI.</w:t>
      </w:r>
      <w:r w:rsidR="00B74E41"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 xml:space="preserve"> </w:t>
      </w:r>
    </w:p>
    <w:p w14:paraId="00000045" w14:textId="044C0C51" w:rsidR="00ED0E69" w:rsidRPr="00E43DC6" w:rsidRDefault="00B74E4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Theme="minorHAnsi" w:eastAsia="Verdana" w:hAnsiTheme="minorHAnsi" w:cs="Verdana"/>
          <w:b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 xml:space="preserve">Oprávnění k užití Díla </w:t>
      </w:r>
    </w:p>
    <w:p w14:paraId="630F14C0" w14:textId="7627CBF2" w:rsidR="00B74E41" w:rsidRPr="00E43DC6" w:rsidRDefault="00B74E41" w:rsidP="00B74E41">
      <w:pPr>
        <w:pStyle w:val="Odstavecseseznamem"/>
        <w:numPr>
          <w:ilvl w:val="1"/>
          <w:numId w:val="10"/>
        </w:numPr>
        <w:spacing w:after="120"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SPS prohlašuje, že vlastnické právo a nebezpečí škody na věci ke všem hmotným součástem Díla předaným SPS Agentu</w:t>
      </w:r>
      <w:r w:rsidR="002A52A1" w:rsidRPr="00E43DC6">
        <w:rPr>
          <w:rFonts w:ascii="Cambria" w:hAnsi="Cambria" w:cstheme="minorHAnsi"/>
          <w:sz w:val="22"/>
          <w:szCs w:val="22"/>
        </w:rPr>
        <w:t>ře</w:t>
      </w:r>
      <w:r w:rsidRPr="00E43DC6">
        <w:rPr>
          <w:rFonts w:ascii="Cambria" w:hAnsi="Cambria" w:cstheme="minorHAnsi"/>
          <w:sz w:val="22"/>
          <w:szCs w:val="22"/>
        </w:rPr>
        <w:t xml:space="preserve"> v souvislosti s plněním Smlouvy přechází na Agentur</w:t>
      </w:r>
      <w:r w:rsidR="002A52A1" w:rsidRPr="00E43DC6">
        <w:rPr>
          <w:rFonts w:ascii="Cambria" w:hAnsi="Cambria" w:cstheme="minorHAnsi"/>
          <w:sz w:val="22"/>
          <w:szCs w:val="22"/>
        </w:rPr>
        <w:t>u</w:t>
      </w:r>
      <w:r w:rsidRPr="00E43DC6">
        <w:rPr>
          <w:rFonts w:ascii="Cambria" w:hAnsi="Cambria" w:cstheme="minorHAnsi"/>
          <w:sz w:val="22"/>
          <w:szCs w:val="22"/>
        </w:rPr>
        <w:t xml:space="preserve"> dnem jejich protokolárního předání Agentu</w:t>
      </w:r>
      <w:r w:rsidR="002A52A1" w:rsidRPr="00E43DC6">
        <w:rPr>
          <w:rFonts w:ascii="Cambria" w:hAnsi="Cambria" w:cstheme="minorHAnsi"/>
          <w:sz w:val="22"/>
          <w:szCs w:val="22"/>
        </w:rPr>
        <w:t>ře</w:t>
      </w:r>
      <w:r w:rsidRPr="00E43DC6">
        <w:rPr>
          <w:rFonts w:ascii="Cambria" w:hAnsi="Cambria" w:cstheme="minorHAnsi"/>
          <w:sz w:val="22"/>
          <w:szCs w:val="22"/>
        </w:rPr>
        <w:t xml:space="preserve">. </w:t>
      </w:r>
      <w:bookmarkStart w:id="0" w:name="_Ref303870662"/>
      <w:bookmarkStart w:id="1" w:name="_Ref414451082"/>
    </w:p>
    <w:bookmarkEnd w:id="0"/>
    <w:bookmarkEnd w:id="1"/>
    <w:p w14:paraId="549BF74B" w14:textId="4974C6E2" w:rsidR="00B74E41" w:rsidRPr="00E43DC6" w:rsidRDefault="00B74E41" w:rsidP="00B74E41">
      <w:pPr>
        <w:pStyle w:val="Odstavecseseznamem"/>
        <w:numPr>
          <w:ilvl w:val="1"/>
          <w:numId w:val="10"/>
        </w:numPr>
        <w:spacing w:after="120"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Vzhledem k tomu, že v rámci plnění Díla může vzniknout i plnění, které může naplňovat znaky autorského díla ve smyslu zákona č. 121/2000 Sb., o právu autorském, o právech souvisejících s právem autorským a o změně některých zákonů (autorský zákon), ve znění pozdějších předpisů, je Agentura oprávněn veškeré součásti Díla, které naplňují znaky autorského díla (dále jen „</w:t>
      </w:r>
      <w:r w:rsidRPr="00E43DC6">
        <w:rPr>
          <w:rFonts w:ascii="Cambria" w:hAnsi="Cambria" w:cstheme="minorHAnsi"/>
          <w:b/>
          <w:bCs/>
          <w:sz w:val="22"/>
          <w:szCs w:val="22"/>
        </w:rPr>
        <w:t>autorské dílo</w:t>
      </w:r>
      <w:r w:rsidRPr="00E43DC6">
        <w:rPr>
          <w:rFonts w:ascii="Cambria" w:hAnsi="Cambria" w:cstheme="minorHAnsi"/>
          <w:sz w:val="22"/>
          <w:szCs w:val="22"/>
        </w:rPr>
        <w:t>“), užívat za podmínek sjednaných dále v tomto článku Smlouvy.</w:t>
      </w:r>
    </w:p>
    <w:p w14:paraId="7E6AE783" w14:textId="28463375" w:rsidR="00B74E41" w:rsidRPr="00E43DC6" w:rsidRDefault="00B74E41" w:rsidP="00B74E41">
      <w:pPr>
        <w:pStyle w:val="Odstavecseseznamem"/>
        <w:numPr>
          <w:ilvl w:val="1"/>
          <w:numId w:val="10"/>
        </w:numPr>
        <w:spacing w:after="120"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bookmarkStart w:id="2" w:name="_Ref414451184"/>
      <w:r w:rsidRPr="00E43DC6">
        <w:rPr>
          <w:rFonts w:ascii="Cambria" w:hAnsi="Cambria" w:cstheme="minorHAnsi"/>
          <w:sz w:val="22"/>
          <w:szCs w:val="22"/>
        </w:rPr>
        <w:t>SPS ve smyslu § 58 odst. 1 autorského zákona ve spojení s § 58 odst. 4 autorského zákona postupuje Agentu</w:t>
      </w:r>
      <w:r w:rsidR="002A52A1" w:rsidRPr="00E43DC6">
        <w:rPr>
          <w:rFonts w:ascii="Cambria" w:hAnsi="Cambria" w:cstheme="minorHAnsi"/>
          <w:sz w:val="22"/>
          <w:szCs w:val="22"/>
        </w:rPr>
        <w:t>ře</w:t>
      </w:r>
      <w:r w:rsidRPr="00E43DC6">
        <w:rPr>
          <w:rFonts w:ascii="Cambria" w:hAnsi="Cambria" w:cstheme="minorHAnsi"/>
          <w:sz w:val="22"/>
          <w:szCs w:val="22"/>
        </w:rPr>
        <w:t xml:space="preserve"> oprávnění k výkonu majetkových práv autorských k takovému autorskému dílu, které je dle autorského zákona zaměstnaneckým dílem dle této Smlouvy (nebo se za něj považuje), a to od okamžiku účinnosti tohoto postoupení, přičemž SPS postupuje Agentu</w:t>
      </w:r>
      <w:r w:rsidR="002A52A1" w:rsidRPr="00E43DC6">
        <w:rPr>
          <w:rFonts w:ascii="Cambria" w:hAnsi="Cambria" w:cstheme="minorHAnsi"/>
          <w:sz w:val="22"/>
          <w:szCs w:val="22"/>
        </w:rPr>
        <w:t>ře</w:t>
      </w:r>
      <w:r w:rsidRPr="00E43DC6">
        <w:rPr>
          <w:rFonts w:ascii="Cambria" w:hAnsi="Cambria" w:cstheme="minorHAnsi"/>
          <w:sz w:val="22"/>
          <w:szCs w:val="22"/>
        </w:rPr>
        <w:t xml:space="preserve"> toto oprávnění s účinností, která nastává okamžikem předání Díla. SPS se zavazuje, že k postoupení dle tohoto ustanovení má souhlas autora, resp. autorů, autorského díla. S postoupením dle tohoto ustanovení se poskytuje i svolení autora k úpravám a dalším zásahům do autorského díla uvedeným v § 58 odst. 4 autorského zákona.</w:t>
      </w:r>
    </w:p>
    <w:p w14:paraId="664082AD" w14:textId="46384374" w:rsidR="00B74E41" w:rsidRPr="00E43DC6" w:rsidRDefault="00B74E41" w:rsidP="00B74E41">
      <w:pPr>
        <w:pStyle w:val="Odstavecseseznamem"/>
        <w:numPr>
          <w:ilvl w:val="1"/>
          <w:numId w:val="10"/>
        </w:numPr>
        <w:spacing w:after="120"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V případě, že by z jakéhokoli důvodu vyšlo najevo, že autorské dílo není zaměstnaneckým dílem poskytuje SPS Agentu</w:t>
      </w:r>
      <w:r w:rsidR="002A52A1" w:rsidRPr="00E43DC6">
        <w:rPr>
          <w:rFonts w:ascii="Cambria" w:hAnsi="Cambria" w:cstheme="minorHAnsi"/>
          <w:sz w:val="22"/>
          <w:szCs w:val="22"/>
        </w:rPr>
        <w:t>ře</w:t>
      </w:r>
      <w:r w:rsidRPr="00E43DC6">
        <w:rPr>
          <w:rFonts w:ascii="Cambria" w:hAnsi="Cambria" w:cstheme="minorHAnsi"/>
          <w:sz w:val="22"/>
          <w:szCs w:val="22"/>
        </w:rPr>
        <w:t xml:space="preserve"> oprávnění k užití autorského díla v následujícím rozsahu (dále jen „</w:t>
      </w:r>
      <w:r w:rsidRPr="00E43DC6">
        <w:rPr>
          <w:rFonts w:ascii="Cambria" w:hAnsi="Cambria" w:cstheme="minorHAnsi"/>
          <w:b/>
          <w:bCs/>
          <w:sz w:val="22"/>
          <w:szCs w:val="22"/>
        </w:rPr>
        <w:t>Licence</w:t>
      </w:r>
      <w:r w:rsidRPr="00E43DC6">
        <w:rPr>
          <w:rFonts w:ascii="Cambria" w:hAnsi="Cambria" w:cstheme="minorHAnsi"/>
          <w:sz w:val="22"/>
          <w:szCs w:val="22"/>
        </w:rPr>
        <w:t>“)</w:t>
      </w:r>
      <w:bookmarkEnd w:id="2"/>
      <w:r w:rsidRPr="00E43DC6">
        <w:rPr>
          <w:rFonts w:ascii="Cambria" w:hAnsi="Cambria" w:cstheme="minorHAnsi"/>
          <w:sz w:val="22"/>
          <w:szCs w:val="22"/>
        </w:rPr>
        <w:t>. Licence je udělena jako výhradní k užití autorského díla Agentu</w:t>
      </w:r>
      <w:r w:rsidR="002A52A1" w:rsidRPr="00E43DC6">
        <w:rPr>
          <w:rFonts w:ascii="Cambria" w:hAnsi="Cambria" w:cstheme="minorHAnsi"/>
          <w:sz w:val="22"/>
          <w:szCs w:val="22"/>
        </w:rPr>
        <w:t>ře</w:t>
      </w:r>
      <w:r w:rsidRPr="00E43DC6">
        <w:rPr>
          <w:rFonts w:ascii="Cambria" w:hAnsi="Cambria" w:cstheme="minorHAnsi"/>
          <w:sz w:val="22"/>
          <w:szCs w:val="22"/>
        </w:rPr>
        <w:t xml:space="preserve"> k jakémukoliv účelu a v rozsahu, v jakém uzná za nezbytné, vhodné či přiměřené. Pro vyloučení všech pochybností to znamená, že:</w:t>
      </w:r>
    </w:p>
    <w:p w14:paraId="53E20AE0" w14:textId="0C55DEEC" w:rsidR="00B74E41" w:rsidRPr="00E43DC6" w:rsidRDefault="00B74E41" w:rsidP="00B74E4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21C82006" w14:textId="77777777" w:rsidR="00B74E41" w:rsidRPr="00E43DC6" w:rsidRDefault="00B74E41" w:rsidP="00B74E4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Licence je udělena jako neodvolatelná, neomezená množstevním rozsahem a rovněž tak neomezená způsobem nebo rozsahem užití;</w:t>
      </w:r>
    </w:p>
    <w:p w14:paraId="15814832" w14:textId="77777777" w:rsidR="00B74E41" w:rsidRPr="00E43DC6" w:rsidRDefault="00B74E41" w:rsidP="00B74E4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lastRenderedPageBreak/>
        <w:t xml:space="preserve">Licence je dále udělena na dobu určitou, a to po celou dobu trvání majetkových práv autorských k autorskému dílu; </w:t>
      </w:r>
    </w:p>
    <w:p w14:paraId="1BBB5A9E" w14:textId="1A4D1EE5" w:rsidR="00B74E41" w:rsidRPr="00E43DC6" w:rsidRDefault="00B74E41" w:rsidP="00B74E4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součástí Licence je neomezené oprávnění Agentu</w:t>
      </w:r>
      <w:r w:rsidR="002A52A1" w:rsidRPr="00E43DC6">
        <w:rPr>
          <w:rFonts w:ascii="Cambria" w:hAnsi="Cambria" w:cstheme="minorHAnsi"/>
          <w:sz w:val="22"/>
          <w:szCs w:val="22"/>
        </w:rPr>
        <w:t>ře</w:t>
      </w:r>
      <w:r w:rsidRPr="00E43DC6">
        <w:rPr>
          <w:rFonts w:ascii="Cambria" w:hAnsi="Cambria" w:cstheme="minorHAnsi"/>
          <w:sz w:val="22"/>
          <w:szCs w:val="22"/>
        </w:rPr>
        <w:t xml:space="preserve"> provádět jakékoliv modifikace, úpravy, změny autorského díla a dle svého uvážení do něj zasahovat, zapracovávat ho do dalších autorských děl, zařazovat ho do děl souborných či do databází apod., a to i prostřednictvím třetích osob;</w:t>
      </w:r>
    </w:p>
    <w:p w14:paraId="7D901891" w14:textId="1BA6F2D6" w:rsidR="00B74E41" w:rsidRPr="00E43DC6" w:rsidRDefault="00B74E41" w:rsidP="00B74E4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Agentura je bez potřeby jakéhokoliv dalšího svolení SPS oprávněn udělit třetí osobě podlicenci k užití autorského díla nebo svoje oprávnění k užití autorského díla třetí osobě postoupit;</w:t>
      </w:r>
    </w:p>
    <w:p w14:paraId="1C0B6338" w14:textId="6D252EFD" w:rsidR="00B74E41" w:rsidRPr="00E43DC6" w:rsidRDefault="00B74E41" w:rsidP="00B74E4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Licenci není Agentura povinen využít, a to ani zčásti;</w:t>
      </w:r>
    </w:p>
    <w:p w14:paraId="7BEA2E96" w14:textId="77777777" w:rsidR="00B74E41" w:rsidRPr="00E43DC6" w:rsidRDefault="00B74E41" w:rsidP="00B74E4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Licence není územně omezena;</w:t>
      </w:r>
    </w:p>
    <w:p w14:paraId="620A2920" w14:textId="1E348F32" w:rsidR="00B74E41" w:rsidRPr="00E43DC6" w:rsidRDefault="00B74E41" w:rsidP="00B74E41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SPS nemá právo od Licence odstoupit pro nečinnost Agentu</w:t>
      </w:r>
      <w:r w:rsidR="002A52A1" w:rsidRPr="00E43DC6">
        <w:rPr>
          <w:rFonts w:ascii="Cambria" w:hAnsi="Cambria" w:cstheme="minorHAnsi"/>
          <w:sz w:val="22"/>
          <w:szCs w:val="22"/>
        </w:rPr>
        <w:t>ř</w:t>
      </w:r>
      <w:r w:rsidRPr="00E43DC6">
        <w:rPr>
          <w:rFonts w:ascii="Cambria" w:hAnsi="Cambria" w:cstheme="minorHAnsi"/>
          <w:sz w:val="22"/>
          <w:szCs w:val="22"/>
        </w:rPr>
        <w:t>e ani pro změnu přesvědčení autora.</w:t>
      </w:r>
    </w:p>
    <w:p w14:paraId="7539B3EE" w14:textId="62D1FFBE" w:rsidR="00B74E41" w:rsidRPr="00E43DC6" w:rsidRDefault="00B74E41" w:rsidP="00B74E41">
      <w:pPr>
        <w:pStyle w:val="Odstavecseseznamem"/>
        <w:numPr>
          <w:ilvl w:val="0"/>
          <w:numId w:val="11"/>
        </w:numPr>
        <w:spacing w:after="120" w:line="276" w:lineRule="auto"/>
        <w:jc w:val="both"/>
        <w:textDirection w:val="btLr"/>
        <w:rPr>
          <w:rFonts w:asciiTheme="minorHAnsi" w:eastAsia="Verdana" w:hAnsiTheme="minorHAnsi" w:cs="Verdana"/>
          <w:b/>
          <w:color w:val="000000"/>
          <w:sz w:val="22"/>
          <w:szCs w:val="22"/>
        </w:rPr>
      </w:pPr>
      <w:r w:rsidRPr="00E43DC6">
        <w:rPr>
          <w:rFonts w:ascii="Cambria" w:hAnsi="Cambria" w:cstheme="minorHAnsi"/>
          <w:sz w:val="22"/>
          <w:szCs w:val="22"/>
        </w:rPr>
        <w:t>Poskytuje-li SPS Licenci k autorskému dílu Agentu</w:t>
      </w:r>
      <w:r w:rsidR="002A52A1" w:rsidRPr="00E43DC6">
        <w:rPr>
          <w:rFonts w:ascii="Cambria" w:hAnsi="Cambria" w:cstheme="minorHAnsi"/>
          <w:sz w:val="22"/>
          <w:szCs w:val="22"/>
        </w:rPr>
        <w:t>ře</w:t>
      </w:r>
      <w:r w:rsidRPr="00E43DC6">
        <w:rPr>
          <w:rFonts w:ascii="Cambria" w:hAnsi="Cambria" w:cstheme="minorHAnsi"/>
          <w:sz w:val="22"/>
          <w:szCs w:val="22"/>
        </w:rPr>
        <w:t xml:space="preserve">, pak je odměna </w:t>
      </w:r>
      <w:r w:rsidRPr="00E43DC6">
        <w:rPr>
          <w:rFonts w:ascii="Cambria" w:hAnsi="Cambria" w:cstheme="minorHAnsi"/>
          <w:sz w:val="22"/>
          <w:szCs w:val="22"/>
        </w:rPr>
        <w:br/>
        <w:t>za poskytnutí Licence zahrnuta v Ceně.</w:t>
      </w:r>
    </w:p>
    <w:p w14:paraId="663BE462" w14:textId="77777777" w:rsidR="00B74E41" w:rsidRPr="00E43DC6" w:rsidRDefault="00B74E41" w:rsidP="00B74E41">
      <w:pPr>
        <w:pStyle w:val="Odstavecseseznamem"/>
        <w:spacing w:after="120" w:line="276" w:lineRule="auto"/>
        <w:ind w:left="1080"/>
        <w:jc w:val="both"/>
        <w:textDirection w:val="btLr"/>
        <w:rPr>
          <w:rFonts w:asciiTheme="minorHAnsi" w:eastAsia="Verdana" w:hAnsiTheme="minorHAnsi" w:cs="Verdana"/>
          <w:b/>
          <w:color w:val="000000"/>
          <w:sz w:val="22"/>
          <w:szCs w:val="22"/>
        </w:rPr>
      </w:pPr>
    </w:p>
    <w:p w14:paraId="77C3BD9F" w14:textId="05F95ACF" w:rsidR="00B74E41" w:rsidRPr="00E43DC6" w:rsidRDefault="00B74E4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inorHAnsi" w:eastAsia="Verdana" w:hAnsiTheme="minorHAnsi" w:cs="Verdana"/>
          <w:b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VII.</w:t>
      </w:r>
    </w:p>
    <w:p w14:paraId="00000046" w14:textId="004F2825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Další práva a povinnosti</w:t>
      </w:r>
    </w:p>
    <w:p w14:paraId="0000004C" w14:textId="754E70D9" w:rsidR="00ED0E69" w:rsidRPr="00E43DC6" w:rsidRDefault="002A52A1" w:rsidP="002A52A1">
      <w:pPr>
        <w:pStyle w:val="Odstavecseseznamem"/>
        <w:numPr>
          <w:ilvl w:val="1"/>
          <w:numId w:val="12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S</w:t>
      </w:r>
      <w:r w:rsidR="007A6E3D" w:rsidRPr="00E43DC6">
        <w:rPr>
          <w:rFonts w:asciiTheme="minorHAnsi" w:eastAsia="Verdana" w:hAnsiTheme="minorHAnsi" w:cs="Verdana"/>
          <w:color w:val="000000"/>
          <w:sz w:val="22"/>
          <w:szCs w:val="22"/>
        </w:rPr>
        <w:t>PS</w:t>
      </w:r>
      <w:r w:rsidR="000B40D0"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není oprávněn zcela ani zčásti postoupit na třetí osobu žádné ze svých práv, ani žádný ze svých závazků plynoucích z této Smlouvy ani tuto Smlouvu jako celek bez předchozího písemného souhlasu Agentury.</w:t>
      </w:r>
    </w:p>
    <w:p w14:paraId="0000004D" w14:textId="18F492A9" w:rsidR="00ED0E69" w:rsidRPr="00E43DC6" w:rsidRDefault="007A6E3D" w:rsidP="002A52A1">
      <w:pPr>
        <w:pStyle w:val="Odstavecseseznamem"/>
        <w:numPr>
          <w:ilvl w:val="1"/>
          <w:numId w:val="12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SPS</w:t>
      </w:r>
      <w:r w:rsidR="000B40D0"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se zavazuje, že v souvislosti s propagací Agentury nedojde k poškození Agentury nebo její dobré pověsti.</w:t>
      </w:r>
    </w:p>
    <w:p w14:paraId="0000004E" w14:textId="38F5C1EE" w:rsidR="00ED0E69" w:rsidRPr="00E43DC6" w:rsidRDefault="007A6E3D" w:rsidP="002A52A1">
      <w:pPr>
        <w:pStyle w:val="Odstavecseseznamem"/>
        <w:numPr>
          <w:ilvl w:val="1"/>
          <w:numId w:val="12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SPS</w:t>
      </w:r>
      <w:r w:rsidR="000B40D0"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podpisem této Smlouvy uděluje podle zákona č. 101/2000 Sb., o ochraně osobních údajů a o změně některých zákonů, ve znění pozdějších předpisů a dle nařízení Evropského parlamentu a rady (EU) 2016/679, o ochraně fyzických osob v souvislosti se zpracováním osobních údajů a volném pohybu těchto údajů a o zrušení směrnice 95/46/ES (obecné nařízení o ochraně osobních údajů) souhlas Agentuře, jako správci údajů, se zpracováním jeho osobních a dalších údajů ve smlouvě uvedených pro účely naplnění práv a povinností vyplývajících ze Smlouvy, a to po dobu její platnosti a dobu stanovenou pro archivaci.</w:t>
      </w:r>
    </w:p>
    <w:p w14:paraId="0000004F" w14:textId="2EAD62D6" w:rsidR="00ED0E69" w:rsidRPr="00E43DC6" w:rsidRDefault="000B40D0" w:rsidP="002A52A1">
      <w:pPr>
        <w:pStyle w:val="Odstavecseseznamem"/>
        <w:numPr>
          <w:ilvl w:val="1"/>
          <w:numId w:val="12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Agentura je povinna do třiceti [30] dnů ode dne podpisu této Smlouvy poslední Smluvní stranou uveřejnit tuto Smlouvu v registru smluv podle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00000052" w14:textId="2703FFE2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VI</w:t>
      </w:r>
      <w:r w:rsidR="002A52A1"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I</w:t>
      </w: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>I.</w:t>
      </w:r>
    </w:p>
    <w:p w14:paraId="00000053" w14:textId="77777777" w:rsidR="00ED0E69" w:rsidRPr="00E43DC6" w:rsidRDefault="000B40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b/>
          <w:color w:val="000000"/>
          <w:sz w:val="22"/>
          <w:szCs w:val="22"/>
        </w:rPr>
        <w:t xml:space="preserve">Závěrečná ustanovení </w:t>
      </w:r>
    </w:p>
    <w:p w14:paraId="00000054" w14:textId="4A30F152" w:rsidR="00ED0E69" w:rsidRPr="00E43DC6" w:rsidRDefault="000B40D0" w:rsidP="002A52A1">
      <w:pPr>
        <w:pStyle w:val="Odstavecseseznamem"/>
        <w:numPr>
          <w:ilvl w:val="1"/>
          <w:numId w:val="13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Smlouva nabývá platnosti dnem podpisu poslední Smluvní stranou a účinnosti dnem zveřejnění v registru smluv v souladu s podmínkami stanovenými v zákoně o registru smluv. V případě, že Smlouva nesplňuje podmínky pro zveřejnění podle zákona o registru smluv, pak Smlouva nabývá účinnosti dnem podpisu poslední Smluvní stranou.</w:t>
      </w:r>
    </w:p>
    <w:p w14:paraId="00000055" w14:textId="229B2077" w:rsidR="00ED0E69" w:rsidRPr="00E43DC6" w:rsidRDefault="000B40D0" w:rsidP="002A52A1">
      <w:pPr>
        <w:pStyle w:val="Odstavecseseznamem"/>
        <w:numPr>
          <w:ilvl w:val="1"/>
          <w:numId w:val="13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lastRenderedPageBreak/>
        <w:t>Zánik závazků z této Smlouvy se řídí příslušnými ustanoveními občanského zákoníku. Smluvní vztah lze ukončit písemnou dohodou Smluvních stran, odstoupením či výpovědí.</w:t>
      </w:r>
    </w:p>
    <w:p w14:paraId="00000056" w14:textId="1FE617B1" w:rsidR="00ED0E69" w:rsidRPr="00E43DC6" w:rsidRDefault="000B40D0" w:rsidP="002A52A1">
      <w:pPr>
        <w:pStyle w:val="Odstavecseseznamem"/>
        <w:numPr>
          <w:ilvl w:val="1"/>
          <w:numId w:val="13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Je-li nebo stane-li se některé ustanovení Smlouvy neplatné či neúčinné, nedotýká se to ostatních ustanovení, která zůstávají platná a účinná. Smluvní strany se v tomto případě zavazují dohodou nahradit ustanovení neplatné nebo neúčinné novým ustanovením platným či účinným, které nejlépe odpovídá původně zamýšlenému účelu ustanovení neplatného či neúčinného.</w:t>
      </w:r>
    </w:p>
    <w:p w14:paraId="00000057" w14:textId="41EF77E0" w:rsidR="00ED0E69" w:rsidRPr="00E43DC6" w:rsidRDefault="000B40D0" w:rsidP="002A52A1">
      <w:pPr>
        <w:pStyle w:val="Odstavecseseznamem"/>
        <w:numPr>
          <w:ilvl w:val="1"/>
          <w:numId w:val="13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Smlouva je vyhotovena v listinné podobě ve dvou [2] stejnopisech. Každý stejnopis má platnost originálu. Jeden stejnopis </w:t>
      </w:r>
      <w:proofErr w:type="gramStart"/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obdrží</w:t>
      </w:r>
      <w:proofErr w:type="gramEnd"/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</w:t>
      </w:r>
      <w:r w:rsidR="007A6E3D" w:rsidRPr="00E43DC6">
        <w:rPr>
          <w:rFonts w:asciiTheme="minorHAnsi" w:eastAsia="Verdana" w:hAnsiTheme="minorHAnsi" w:cs="Verdana"/>
          <w:color w:val="000000"/>
          <w:sz w:val="22"/>
          <w:szCs w:val="22"/>
        </w:rPr>
        <w:t>SPS</w:t>
      </w: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 xml:space="preserve"> a jeden stejnopis obdrží Agentura.</w:t>
      </w:r>
    </w:p>
    <w:p w14:paraId="00000058" w14:textId="302B5BF7" w:rsidR="00ED0E69" w:rsidRPr="00E43DC6" w:rsidRDefault="000B40D0" w:rsidP="002A52A1">
      <w:pPr>
        <w:pStyle w:val="Odstavecseseznamem"/>
        <w:numPr>
          <w:ilvl w:val="1"/>
          <w:numId w:val="13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Smlouva může být měněna či doplňována pouze písemnými, podepsanými, oboustranně dohodnutými, vzestupně číslovanými dodatky, které se stávají její nedílnou součástí.</w:t>
      </w:r>
    </w:p>
    <w:p w14:paraId="00000059" w14:textId="5E7B2187" w:rsidR="00ED0E69" w:rsidRPr="00E43DC6" w:rsidRDefault="000B40D0" w:rsidP="002A52A1">
      <w:pPr>
        <w:pStyle w:val="Odstavecseseznamem"/>
        <w:numPr>
          <w:ilvl w:val="1"/>
          <w:numId w:val="13"/>
        </w:numPr>
        <w:spacing w:after="120" w:line="276" w:lineRule="auto"/>
        <w:ind w:left="426"/>
        <w:jc w:val="both"/>
        <w:textDirection w:val="btLr"/>
        <w:rPr>
          <w:rFonts w:asciiTheme="minorHAnsi" w:eastAsia="Verdana" w:hAnsiTheme="minorHAnsi" w:cs="Verdana"/>
          <w:color w:val="000000"/>
          <w:sz w:val="22"/>
          <w:szCs w:val="22"/>
        </w:rPr>
      </w:pPr>
      <w:r w:rsidRPr="00E43DC6">
        <w:rPr>
          <w:rFonts w:asciiTheme="minorHAnsi" w:eastAsia="Verdana" w:hAnsiTheme="minorHAnsi" w:cs="Verdana"/>
          <w:color w:val="000000"/>
          <w:sz w:val="22"/>
          <w:szCs w:val="22"/>
        </w:rPr>
        <w:t>Smluvní strany prohlašují, že jim nejsou známy žádné skutečnosti, které by uzavření Smlouvy vylučovaly a berou na vědomí, že v plném rozsahu nesou veškeré právní důsledky plynoucí z vědomě jimi udaných nepravdivých údajů. Na důkaz svého souhlasu s obsahem Smlouvy připojují pod ni své podpisy.</w:t>
      </w:r>
    </w:p>
    <w:p w14:paraId="7914FBB5" w14:textId="77777777" w:rsidR="002A52A1" w:rsidRPr="00E43DC6" w:rsidRDefault="002A52A1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/>
          <w:color w:val="000000"/>
          <w:sz w:val="22"/>
          <w:szCs w:val="22"/>
        </w:rPr>
      </w:pPr>
    </w:p>
    <w:p w14:paraId="7E824573" w14:textId="7364B231" w:rsidR="00A54650" w:rsidRPr="00E43DC6" w:rsidRDefault="00A54650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>V Praze dne</w:t>
      </w:r>
      <w:r w:rsidR="001F29DE" w:rsidRPr="00E43DC6">
        <w:rPr>
          <w:rFonts w:asciiTheme="minorHAnsi" w:eastAsia="Verdana" w:hAnsiTheme="minorHAnsi"/>
          <w:color w:val="000000"/>
          <w:sz w:val="22"/>
          <w:szCs w:val="22"/>
        </w:rPr>
        <w:t xml:space="preserve"> </w:t>
      </w:r>
      <w:r w:rsidR="002A52A1" w:rsidRPr="00E43DC6">
        <w:rPr>
          <w:rFonts w:asciiTheme="minorHAnsi" w:eastAsia="Verdana" w:hAnsiTheme="minorHAnsi"/>
          <w:color w:val="000000"/>
          <w:sz w:val="22"/>
          <w:szCs w:val="22"/>
        </w:rPr>
        <w:t>03. 10</w:t>
      </w:r>
      <w:r w:rsidR="001F29DE" w:rsidRPr="00E43DC6">
        <w:rPr>
          <w:rFonts w:asciiTheme="minorHAnsi" w:eastAsia="Verdana" w:hAnsiTheme="minorHAnsi"/>
          <w:color w:val="000000"/>
          <w:sz w:val="22"/>
          <w:szCs w:val="22"/>
        </w:rPr>
        <w:t>. 2022</w:t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  <w:t xml:space="preserve">V Praze dne </w:t>
      </w:r>
      <w:r w:rsidR="002A52A1" w:rsidRPr="00E43DC6">
        <w:rPr>
          <w:rFonts w:asciiTheme="minorHAnsi" w:eastAsia="Verdana" w:hAnsiTheme="minorHAnsi"/>
          <w:color w:val="000000"/>
          <w:sz w:val="22"/>
          <w:szCs w:val="22"/>
        </w:rPr>
        <w:t>03. 10</w:t>
      </w:r>
      <w:r w:rsidR="001F29DE" w:rsidRPr="00E43DC6">
        <w:rPr>
          <w:rFonts w:asciiTheme="minorHAnsi" w:eastAsia="Verdana" w:hAnsiTheme="minorHAnsi"/>
          <w:color w:val="000000"/>
          <w:sz w:val="22"/>
          <w:szCs w:val="22"/>
        </w:rPr>
        <w:t>. 2022</w:t>
      </w:r>
    </w:p>
    <w:p w14:paraId="66AF536C" w14:textId="77777777" w:rsidR="00A54650" w:rsidRPr="00E43DC6" w:rsidRDefault="00A54650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</w:p>
    <w:p w14:paraId="6F203FCE" w14:textId="77777777" w:rsidR="00A54650" w:rsidRPr="00E43DC6" w:rsidRDefault="00A54650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>Agentura:</w:t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  <w:t>SPS:</w:t>
      </w:r>
    </w:p>
    <w:p w14:paraId="433CBF6A" w14:textId="32C6F3CA" w:rsidR="00A54650" w:rsidRDefault="00A54650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</w:p>
    <w:p w14:paraId="15836819" w14:textId="6D3D4725" w:rsidR="00E43DC6" w:rsidRDefault="00E43DC6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</w:p>
    <w:p w14:paraId="62DF3BE4" w14:textId="77777777" w:rsidR="00E43DC6" w:rsidRPr="00E43DC6" w:rsidRDefault="00E43DC6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</w:p>
    <w:p w14:paraId="0C882FD6" w14:textId="136CEB0E" w:rsidR="00A54650" w:rsidRPr="00E43DC6" w:rsidRDefault="00A54650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>___________________________</w:t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="001F29DE"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="001F29DE"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>___________________________</w:t>
      </w:r>
    </w:p>
    <w:p w14:paraId="5F9FCE8D" w14:textId="3E74FDCA" w:rsidR="00A54650" w:rsidRPr="00E43DC6" w:rsidRDefault="00A54650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>Česká agentura pro standardizaci</w:t>
      </w:r>
      <w:r w:rsidR="002A52A1" w:rsidRPr="00E43DC6">
        <w:rPr>
          <w:rFonts w:asciiTheme="minorHAnsi" w:eastAsia="Verdana" w:hAnsiTheme="minorHAnsi"/>
          <w:color w:val="000000"/>
          <w:sz w:val="22"/>
          <w:szCs w:val="22"/>
        </w:rPr>
        <w:t>,</w:t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="001F29DE"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>Svaz podnikatelů ve stavebnictví</w:t>
      </w:r>
    </w:p>
    <w:p w14:paraId="2939065A" w14:textId="6EF42388" w:rsidR="002A52A1" w:rsidRPr="00E43DC6" w:rsidRDefault="002A52A1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>státní příspěvková organizace</w:t>
      </w:r>
    </w:p>
    <w:p w14:paraId="10C3DEB4" w14:textId="290997EF" w:rsidR="00A54650" w:rsidRPr="00E43DC6" w:rsidRDefault="00A54650" w:rsidP="00A546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>zastoupená Mgr. Zdeňkem Veselým</w:t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>zastoupený Ing. Jiřím Nouzou</w:t>
      </w:r>
    </w:p>
    <w:p w14:paraId="45434CF2" w14:textId="70167A32" w:rsidR="00A54650" w:rsidRPr="00E43DC6" w:rsidRDefault="00A54650" w:rsidP="00A5465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inorHAnsi" w:eastAsia="Verdana" w:hAnsiTheme="minorHAnsi"/>
          <w:color w:val="000000"/>
          <w:sz w:val="22"/>
          <w:szCs w:val="22"/>
        </w:rPr>
      </w:pPr>
      <w:r w:rsidRPr="00E43DC6">
        <w:rPr>
          <w:rFonts w:asciiTheme="minorHAnsi" w:eastAsia="Verdana" w:hAnsiTheme="minorHAnsi"/>
          <w:color w:val="000000"/>
          <w:sz w:val="22"/>
          <w:szCs w:val="22"/>
        </w:rPr>
        <w:t>generálním ředitelem</w:t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="00E43DC6">
        <w:rPr>
          <w:rFonts w:asciiTheme="minorHAnsi" w:eastAsia="Verdana" w:hAnsiTheme="minorHAnsi"/>
          <w:color w:val="000000"/>
          <w:sz w:val="22"/>
          <w:szCs w:val="22"/>
        </w:rPr>
        <w:tab/>
      </w:r>
      <w:r w:rsidRPr="00E43DC6">
        <w:rPr>
          <w:rFonts w:asciiTheme="minorHAnsi" w:eastAsia="Verdana" w:hAnsiTheme="minorHAnsi"/>
          <w:sz w:val="22"/>
          <w:szCs w:val="22"/>
        </w:rPr>
        <w:t>prezidentem</w:t>
      </w:r>
    </w:p>
    <w:p w14:paraId="1B229C06" w14:textId="77777777" w:rsidR="00C03C92" w:rsidRPr="00E43DC6" w:rsidRDefault="00C03C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inorHAnsi" w:eastAsia="Verdana" w:hAnsiTheme="minorHAnsi" w:cs="Verdana"/>
          <w:color w:val="000000"/>
          <w:sz w:val="22"/>
          <w:szCs w:val="22"/>
        </w:rPr>
      </w:pPr>
    </w:p>
    <w:sectPr w:rsidR="00C03C92" w:rsidRPr="00E43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1331" w14:textId="77777777" w:rsidR="00256991" w:rsidRDefault="00256991">
      <w:pPr>
        <w:spacing w:line="240" w:lineRule="auto"/>
        <w:ind w:left="0" w:hanging="2"/>
      </w:pPr>
      <w:r>
        <w:separator/>
      </w:r>
    </w:p>
  </w:endnote>
  <w:endnote w:type="continuationSeparator" w:id="0">
    <w:p w14:paraId="1C3B86D7" w14:textId="77777777" w:rsidR="00256991" w:rsidRDefault="002569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CF09" w14:textId="77777777" w:rsidR="007A6E3D" w:rsidRDefault="007A6E3D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ED0E69" w:rsidRDefault="00ED0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Verdana" w:cs="Verdana"/>
        <w:color w:val="000000"/>
        <w:sz w:val="20"/>
        <w:szCs w:val="20"/>
      </w:rPr>
    </w:pPr>
  </w:p>
  <w:p w14:paraId="00000066" w14:textId="6F789843" w:rsidR="00ED0E69" w:rsidRDefault="000B40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Verdana" w:cs="Verdana"/>
        <w:color w:val="000000"/>
        <w:sz w:val="20"/>
        <w:szCs w:val="20"/>
      </w:rPr>
    </w:pPr>
    <w:r>
      <w:rPr>
        <w:rFonts w:eastAsia="Verdana" w:cs="Verdana"/>
        <w:color w:val="000000"/>
        <w:sz w:val="20"/>
        <w:szCs w:val="20"/>
      </w:rPr>
      <w:t xml:space="preserve">Stránka </w:t>
    </w:r>
    <w:r>
      <w:rPr>
        <w:rFonts w:eastAsia="Verdana" w:cs="Verdana"/>
        <w:color w:val="000000"/>
        <w:sz w:val="20"/>
        <w:szCs w:val="20"/>
      </w:rPr>
      <w:fldChar w:fldCharType="begin"/>
    </w:r>
    <w:r>
      <w:rPr>
        <w:rFonts w:eastAsia="Verdana" w:cs="Verdana"/>
        <w:color w:val="000000"/>
        <w:sz w:val="20"/>
        <w:szCs w:val="20"/>
      </w:rPr>
      <w:instrText>PAGE</w:instrText>
    </w:r>
    <w:r>
      <w:rPr>
        <w:rFonts w:eastAsia="Verdana" w:cs="Verdana"/>
        <w:color w:val="000000"/>
        <w:sz w:val="20"/>
        <w:szCs w:val="20"/>
      </w:rPr>
      <w:fldChar w:fldCharType="separate"/>
    </w:r>
    <w:r w:rsidR="003824CD">
      <w:rPr>
        <w:rFonts w:eastAsia="Verdana" w:cs="Verdana"/>
        <w:noProof/>
        <w:color w:val="000000"/>
        <w:sz w:val="20"/>
        <w:szCs w:val="20"/>
      </w:rPr>
      <w:t>1</w:t>
    </w:r>
    <w:r>
      <w:rPr>
        <w:rFonts w:eastAsia="Verdana" w:cs="Verdana"/>
        <w:color w:val="000000"/>
        <w:sz w:val="20"/>
        <w:szCs w:val="20"/>
      </w:rPr>
      <w:fldChar w:fldCharType="end"/>
    </w:r>
    <w:r>
      <w:rPr>
        <w:rFonts w:eastAsia="Verdana" w:cs="Verdana"/>
        <w:color w:val="000000"/>
        <w:sz w:val="20"/>
        <w:szCs w:val="20"/>
      </w:rPr>
      <w:t xml:space="preserve"> z </w:t>
    </w:r>
    <w:r>
      <w:rPr>
        <w:rFonts w:eastAsia="Verdana" w:cs="Verdana"/>
        <w:color w:val="000000"/>
        <w:sz w:val="20"/>
        <w:szCs w:val="20"/>
      </w:rPr>
      <w:fldChar w:fldCharType="begin"/>
    </w:r>
    <w:r>
      <w:rPr>
        <w:rFonts w:eastAsia="Verdana" w:cs="Verdana"/>
        <w:color w:val="000000"/>
        <w:sz w:val="20"/>
        <w:szCs w:val="20"/>
      </w:rPr>
      <w:instrText>NUMPAGES</w:instrText>
    </w:r>
    <w:r>
      <w:rPr>
        <w:rFonts w:eastAsia="Verdana" w:cs="Verdana"/>
        <w:color w:val="000000"/>
        <w:sz w:val="20"/>
        <w:szCs w:val="20"/>
      </w:rPr>
      <w:fldChar w:fldCharType="separate"/>
    </w:r>
    <w:r w:rsidR="003824CD">
      <w:rPr>
        <w:rFonts w:eastAsia="Verdana" w:cs="Verdana"/>
        <w:noProof/>
        <w:color w:val="000000"/>
        <w:sz w:val="20"/>
        <w:szCs w:val="20"/>
      </w:rPr>
      <w:t>2</w:t>
    </w:r>
    <w:r>
      <w:rPr>
        <w:rFonts w:eastAsia="Verdana" w:cs="Verdana"/>
        <w:color w:val="000000"/>
        <w:sz w:val="20"/>
        <w:szCs w:val="20"/>
      </w:rPr>
      <w:fldChar w:fldCharType="end"/>
    </w:r>
  </w:p>
  <w:p w14:paraId="00000067" w14:textId="77777777" w:rsidR="00ED0E69" w:rsidRDefault="00ED0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Verdana" w:cs="Verdan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2639" w14:textId="77777777" w:rsidR="007A6E3D" w:rsidRDefault="007A6E3D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BB75" w14:textId="77777777" w:rsidR="00256991" w:rsidRDefault="00256991">
      <w:pPr>
        <w:spacing w:line="240" w:lineRule="auto"/>
        <w:ind w:left="0" w:hanging="2"/>
      </w:pPr>
      <w:r>
        <w:separator/>
      </w:r>
    </w:p>
  </w:footnote>
  <w:footnote w:type="continuationSeparator" w:id="0">
    <w:p w14:paraId="76948134" w14:textId="77777777" w:rsidR="00256991" w:rsidRDefault="002569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9A3F" w14:textId="77777777" w:rsidR="007A6E3D" w:rsidRDefault="007A6E3D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09D81AF3" w:rsidR="00ED0E69" w:rsidRPr="007A6E3D" w:rsidRDefault="00ED0E69" w:rsidP="007A6E3D">
    <w:pPr>
      <w:pStyle w:val="Zhlav"/>
      <w:ind w:left="0" w:hanging="2"/>
      <w:rPr>
        <w:rFonts w:eastAsia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1D2B" w14:textId="77777777" w:rsidR="007A6E3D" w:rsidRDefault="007A6E3D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20E6611B"/>
    <w:multiLevelType w:val="multilevel"/>
    <w:tmpl w:val="8BC0BAF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Theme="minorHAnsi" w:eastAsia="Verdana" w:hAnsiTheme="minorHAnsi" w:cs="Verdana"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DD5FC8"/>
    <w:multiLevelType w:val="multilevel"/>
    <w:tmpl w:val="8BC0BAF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Theme="minorHAnsi" w:eastAsia="Verdana" w:hAnsiTheme="minorHAnsi" w:cs="Verdana"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D26C7E"/>
    <w:multiLevelType w:val="multilevel"/>
    <w:tmpl w:val="8BC0BAF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Theme="minorHAnsi" w:eastAsia="Verdana" w:hAnsiTheme="minorHAnsi" w:cs="Verdana"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594ECF"/>
    <w:multiLevelType w:val="multilevel"/>
    <w:tmpl w:val="8BC0BAF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Theme="minorHAnsi" w:eastAsia="Verdana" w:hAnsiTheme="minorHAnsi" w:cs="Verdana"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D30E3E"/>
    <w:multiLevelType w:val="multilevel"/>
    <w:tmpl w:val="17D6DAA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7B4320"/>
    <w:multiLevelType w:val="multilevel"/>
    <w:tmpl w:val="8BC0BAF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Theme="minorHAnsi" w:eastAsia="Verdana" w:hAnsiTheme="minorHAnsi" w:cs="Verdana"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BB2A65"/>
    <w:multiLevelType w:val="multilevel"/>
    <w:tmpl w:val="8BC0BAF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Theme="minorHAnsi" w:eastAsia="Verdana" w:hAnsiTheme="minorHAnsi" w:cs="Verdana"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B8258DC"/>
    <w:multiLevelType w:val="multilevel"/>
    <w:tmpl w:val="17D6DAA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1">
      <w:start w:val="1"/>
      <w:numFmt w:val="decimal"/>
      <w:lvlText w:val="(%2)"/>
      <w:lvlJc w:val="left"/>
      <w:pPr>
        <w:ind w:left="716" w:hanging="432"/>
      </w:pPr>
      <w:rPr>
        <w:rFonts w:ascii="Cambria" w:eastAsia="Times New Roman" w:hAnsi="Cambria" w:cstheme="minorHAnsi"/>
        <w:b w:val="0"/>
        <w:bCs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6B4165"/>
    <w:multiLevelType w:val="multilevel"/>
    <w:tmpl w:val="1264E6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1FD3EC5"/>
    <w:multiLevelType w:val="hybridMultilevel"/>
    <w:tmpl w:val="C7B649A2"/>
    <w:lvl w:ilvl="0" w:tplc="30EE81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513BD9"/>
    <w:multiLevelType w:val="multilevel"/>
    <w:tmpl w:val="8BC0BAF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Theme="minorHAnsi" w:eastAsia="Verdana" w:hAnsiTheme="minorHAnsi" w:cs="Verdana"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6553159">
    <w:abstractNumId w:val="10"/>
  </w:num>
  <w:num w:numId="2" w16cid:durableId="1956516467">
    <w:abstractNumId w:val="2"/>
  </w:num>
  <w:num w:numId="3" w16cid:durableId="136355934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716" w:hanging="432"/>
        </w:pPr>
        <w:rPr>
          <w:rFonts w:ascii="Cambria" w:eastAsia="Times New Roman" w:hAnsi="Cambria" w:cstheme="minorHAnsi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4" w16cid:durableId="1405644335">
    <w:abstractNumId w:val="9"/>
  </w:num>
  <w:num w:numId="5" w16cid:durableId="160783167">
    <w:abstractNumId w:val="6"/>
  </w:num>
  <w:num w:numId="6" w16cid:durableId="776759049">
    <w:abstractNumId w:val="12"/>
  </w:num>
  <w:num w:numId="7" w16cid:durableId="1410928836">
    <w:abstractNumId w:val="7"/>
  </w:num>
  <w:num w:numId="8" w16cid:durableId="1264797377">
    <w:abstractNumId w:val="3"/>
  </w:num>
  <w:num w:numId="9" w16cid:durableId="384451743">
    <w:abstractNumId w:val="1"/>
  </w:num>
  <w:num w:numId="10" w16cid:durableId="1951206951">
    <w:abstractNumId w:val="4"/>
  </w:num>
  <w:num w:numId="11" w16cid:durableId="538476448">
    <w:abstractNumId w:val="11"/>
  </w:num>
  <w:num w:numId="12" w16cid:durableId="832794544">
    <w:abstractNumId w:val="8"/>
  </w:num>
  <w:num w:numId="13" w16cid:durableId="53222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69"/>
    <w:rsid w:val="000B40D0"/>
    <w:rsid w:val="001F29DE"/>
    <w:rsid w:val="001F37D0"/>
    <w:rsid w:val="00256991"/>
    <w:rsid w:val="002A52A1"/>
    <w:rsid w:val="00303CBD"/>
    <w:rsid w:val="003367B3"/>
    <w:rsid w:val="003824CD"/>
    <w:rsid w:val="004A0F6E"/>
    <w:rsid w:val="005743F7"/>
    <w:rsid w:val="00632D54"/>
    <w:rsid w:val="006F326B"/>
    <w:rsid w:val="007A6E3D"/>
    <w:rsid w:val="007F59D6"/>
    <w:rsid w:val="00833C11"/>
    <w:rsid w:val="00A54650"/>
    <w:rsid w:val="00B26495"/>
    <w:rsid w:val="00B74E41"/>
    <w:rsid w:val="00C03C92"/>
    <w:rsid w:val="00CC01AE"/>
    <w:rsid w:val="00D27F17"/>
    <w:rsid w:val="00E34D9F"/>
    <w:rsid w:val="00E43DC6"/>
    <w:rsid w:val="00E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D19D"/>
  <w15:docId w15:val="{D82FC35F-869C-49CC-8C59-5029E597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/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3367B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</w:rPr>
  </w:style>
  <w:style w:type="paragraph" w:customStyle="1" w:styleId="Default">
    <w:name w:val="Default"/>
    <w:rsid w:val="007A6E3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IELSENsmlouva">
    <w:name w:val="NIELSEN smlouva"/>
    <w:rsid w:val="00833C11"/>
    <w:pPr>
      <w:numPr>
        <w:numId w:val="2"/>
      </w:numPr>
    </w:p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B74E41"/>
    <w:pPr>
      <w:suppressAutoHyphens w:val="0"/>
      <w:spacing w:line="240" w:lineRule="auto"/>
      <w:ind w:leftChars="0" w:left="708" w:firstLineChars="0" w:firstLine="0"/>
      <w:textDirection w:val="lrTb"/>
      <w:textAlignment w:val="auto"/>
      <w:outlineLvl w:val="9"/>
    </w:pPr>
    <w:rPr>
      <w:rFonts w:ascii="Times New Roman" w:hAnsi="Times New Roman"/>
      <w:position w:val="0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B74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UE78Tkb8+62vmFvBkqMVLuzLA==">AMUW2mU3eJNHb5ktzdNFTg3qZDEB/muA8QaCE+H30/ZdpliTyx/NY6ZoVc/Yd8/PcW+B2/MVG3TewGK2lVosti6MkhN8rPkcYHw6jKU3KdYEYMbZjd22uXc=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Frk</dc:creator>
  <cp:lastModifiedBy>Helena Kvasnicková</cp:lastModifiedBy>
  <cp:revision>2</cp:revision>
  <cp:lastPrinted>2021-11-25T13:25:00Z</cp:lastPrinted>
  <dcterms:created xsi:type="dcterms:W3CDTF">2023-01-19T14:05:00Z</dcterms:created>
  <dcterms:modified xsi:type="dcterms:W3CDTF">2023-01-19T14:05:00Z</dcterms:modified>
</cp:coreProperties>
</file>