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595CC8">
        <w:rPr>
          <w:rFonts w:ascii="Arial" w:hAnsi="Arial" w:cs="Arial"/>
          <w:sz w:val="20"/>
          <w:szCs w:val="20"/>
        </w:rPr>
        <w:t>850000054</w:t>
      </w:r>
      <w:r w:rsidR="0082532E">
        <w:rPr>
          <w:rFonts w:ascii="Arial" w:hAnsi="Arial" w:cs="Arial"/>
          <w:sz w:val="20"/>
          <w:szCs w:val="20"/>
        </w:rPr>
        <w:t>8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82532E">
        <w:rPr>
          <w:rFonts w:ascii="Arial" w:eastAsia="Arial" w:hAnsi="Arial" w:cs="Arial"/>
          <w:bCs/>
        </w:rPr>
        <w:t>9 000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9E0BD3">
        <w:rPr>
          <w:rFonts w:ascii="Arial" w:eastAsia="Arial" w:hAnsi="Arial" w:cs="Arial"/>
          <w:bCs/>
          <w:sz w:val="20"/>
          <w:szCs w:val="20"/>
        </w:rPr>
        <w:t>22,35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9E0BD3">
        <w:rPr>
          <w:rFonts w:ascii="Arial" w:eastAsia="Arial" w:hAnsi="Arial" w:cs="Arial"/>
          <w:bCs/>
          <w:sz w:val="20"/>
          <w:szCs w:val="20"/>
        </w:rPr>
        <w:t>9 000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9E0BD3">
        <w:rPr>
          <w:rFonts w:ascii="Arial" w:eastAsia="Arial" w:hAnsi="Arial" w:cs="Arial"/>
          <w:bCs/>
          <w:sz w:val="20"/>
          <w:szCs w:val="20"/>
        </w:rPr>
        <w:t>201 150,00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82532E" w:rsidP="0082532E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82532E">
        <w:rPr>
          <w:rFonts w:ascii="Arial" w:hAnsi="Arial" w:cs="Arial"/>
          <w:i/>
          <w:color w:val="000000"/>
          <w:sz w:val="20"/>
          <w:szCs w:val="20"/>
        </w:rPr>
        <w:t>Stříbro okr.Tachov, Soběslavova 1264</w:t>
      </w:r>
      <w:r>
        <w:rPr>
          <w:rFonts w:ascii="Arial" w:hAnsi="Arial" w:cs="Arial"/>
          <w:i/>
          <w:color w:val="000000"/>
          <w:sz w:val="20"/>
          <w:szCs w:val="20"/>
        </w:rPr>
        <w:t>, GPS:</w:t>
      </w:r>
      <w:r w:rsidRPr="0082532E">
        <w:t xml:space="preserve"> </w:t>
      </w:r>
      <w:r w:rsidRPr="0082532E">
        <w:rPr>
          <w:rFonts w:ascii="Arial" w:hAnsi="Arial" w:cs="Arial"/>
          <w:i/>
          <w:color w:val="000000"/>
          <w:sz w:val="20"/>
          <w:szCs w:val="20"/>
        </w:rPr>
        <w:t>49°45'41.627"N, 12°59'56.801"E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Default="001E120E" w:rsidP="00CF365E">
      <w:pPr>
        <w:numPr>
          <w:ilvl w:val="0"/>
          <w:numId w:val="33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Jitka Chválová</w:t>
      </w:r>
      <w:r w:rsidR="00CF365E" w:rsidRPr="00F30FCD">
        <w:rPr>
          <w:rFonts w:ascii="Arial" w:hAnsi="Arial" w:cs="Arial"/>
          <w:sz w:val="20"/>
          <w:szCs w:val="20"/>
        </w:rPr>
        <w:t>, tel.</w:t>
      </w:r>
      <w:r>
        <w:rPr>
          <w:rFonts w:ascii="Arial" w:hAnsi="Arial" w:cs="Arial"/>
          <w:sz w:val="20"/>
          <w:szCs w:val="20"/>
        </w:rPr>
        <w:t>:</w:t>
      </w:r>
      <w:r w:rsidR="00CF365E" w:rsidRPr="00F30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377 172 707 nebo 607 182 597</w:t>
      </w:r>
      <w:r w:rsidR="00CF365E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</w:rPr>
          <w:t>jitka.chvalova</w:t>
        </w:r>
        <w:r w:rsidRPr="00C55FC6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AC7488">
        <w:rPr>
          <w:rFonts w:ascii="Arial" w:hAnsi="Arial" w:cs="Arial"/>
          <w:sz w:val="20"/>
          <w:szCs w:val="20"/>
        </w:rPr>
        <w:t>15. 05. 2017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5A25FC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A25FC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0BD3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itka.chvalova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8F94-319B-461B-9011-883E586E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9EEB305C.dotm</Template>
  <TotalTime>0</TotalTime>
  <Pages>2</Pages>
  <Words>479</Words>
  <Characters>2831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3304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2017-05-15T08:11:00Z</cp:lastPrinted>
  <dcterms:created xsi:type="dcterms:W3CDTF">2017-05-15T08:11:00Z</dcterms:created>
  <dcterms:modified xsi:type="dcterms:W3CDTF">2017-05-15T08:11:00Z</dcterms:modified>
</cp:coreProperties>
</file>