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FC" w:rsidRDefault="009905FC" w:rsidP="009905FC">
      <w:pPr>
        <w:pStyle w:val="Nzev"/>
        <w:spacing w:line="276" w:lineRule="auto"/>
        <w:ind w:left="2127" w:firstLine="709"/>
        <w:jc w:val="both"/>
      </w:pPr>
      <w:r>
        <w:t>PŘÍKAZNÍ</w:t>
      </w:r>
      <w:r w:rsidRPr="00A75C61">
        <w:t xml:space="preserve"> SMLOUVA</w:t>
      </w:r>
    </w:p>
    <w:p w:rsidR="009905FC" w:rsidRPr="0048303D" w:rsidRDefault="009905FC" w:rsidP="009905FC">
      <w:pPr>
        <w:spacing w:after="240" w:line="276" w:lineRule="auto"/>
        <w:ind w:left="288"/>
        <w:jc w:val="center"/>
        <w:rPr>
          <w:sz w:val="24"/>
        </w:rPr>
      </w:pPr>
      <w:r>
        <w:t xml:space="preserve">uzavřená podle § 2430 a násl. zákona </w:t>
      </w:r>
      <w:r w:rsidRPr="000C6C51">
        <w:t>č. 89/2012 Sb.</w:t>
      </w:r>
      <w:r>
        <w:t xml:space="preserve">, </w:t>
      </w:r>
      <w:r w:rsidRPr="000C6C51">
        <w:t>občanského zákoníku</w:t>
      </w:r>
      <w:r>
        <w:t>, ve znění pozdějších předpisů</w:t>
      </w:r>
    </w:p>
    <w:p w:rsidR="009905FC" w:rsidRPr="00A75C61" w:rsidRDefault="009905FC" w:rsidP="009905FC">
      <w:pPr>
        <w:pStyle w:val="Nadpis1"/>
        <w:spacing w:before="0" w:line="276" w:lineRule="auto"/>
        <w:ind w:left="0"/>
      </w:pPr>
      <w:r>
        <w:br/>
        <w:t>Smluvní strany</w:t>
      </w:r>
    </w:p>
    <w:p w:rsidR="009905FC" w:rsidRPr="00DD6161" w:rsidRDefault="009905FC" w:rsidP="009905FC">
      <w:pPr>
        <w:pStyle w:val="Nadpis2"/>
        <w:numPr>
          <w:ilvl w:val="0"/>
          <w:numId w:val="0"/>
        </w:numPr>
        <w:spacing w:before="0" w:line="276" w:lineRule="auto"/>
        <w:ind w:left="397" w:hanging="397"/>
      </w:pPr>
      <w:r>
        <w:t>Příkazce:</w:t>
      </w:r>
      <w:r>
        <w:tab/>
      </w:r>
      <w:r>
        <w:tab/>
      </w:r>
      <w:r w:rsidRPr="00DD6161">
        <w:t>Česk</w:t>
      </w:r>
      <w:r>
        <w:t>á</w:t>
      </w:r>
      <w:r w:rsidRPr="00DD6161">
        <w:t xml:space="preserve"> republika – Katastrální úřad pro Zlínský kraj</w:t>
      </w:r>
    </w:p>
    <w:p w:rsidR="009905FC" w:rsidRPr="00DD6161" w:rsidRDefault="009905FC" w:rsidP="009905FC">
      <w:pPr>
        <w:spacing w:before="0" w:line="276" w:lineRule="auto"/>
      </w:pPr>
      <w:r w:rsidRPr="00DD6161">
        <w:t xml:space="preserve">se sídlem: </w:t>
      </w:r>
      <w:r>
        <w:tab/>
      </w:r>
      <w:r>
        <w:tab/>
      </w:r>
      <w:r w:rsidRPr="00DD6161">
        <w:t>třída Tomáše Bati 1565, 760 90 Zlín</w:t>
      </w:r>
      <w:r>
        <w:t>,</w:t>
      </w:r>
    </w:p>
    <w:p w:rsidR="009905FC" w:rsidRPr="00DD6161" w:rsidRDefault="009905FC" w:rsidP="009905FC">
      <w:pPr>
        <w:spacing w:before="0" w:line="276" w:lineRule="auto"/>
      </w:pPr>
      <w:r>
        <w:t>za kterou jedná:</w:t>
      </w:r>
      <w:r>
        <w:tab/>
        <w:t>Ing</w:t>
      </w:r>
      <w:r w:rsidRPr="00DD6161">
        <w:t>. Štěpán Forman, ředitel</w:t>
      </w:r>
    </w:p>
    <w:p w:rsidR="009905FC" w:rsidRDefault="009905FC" w:rsidP="009905FC">
      <w:pPr>
        <w:spacing w:before="0" w:line="276" w:lineRule="auto"/>
      </w:pPr>
      <w:r>
        <w:t xml:space="preserve">IČ: </w:t>
      </w:r>
      <w:r>
        <w:tab/>
      </w:r>
      <w:r>
        <w:tab/>
      </w:r>
      <w:r>
        <w:tab/>
        <w:t xml:space="preserve">71185216 </w:t>
      </w:r>
    </w:p>
    <w:p w:rsidR="009905FC" w:rsidRDefault="009905FC" w:rsidP="009905FC">
      <w:pPr>
        <w:spacing w:before="0" w:line="276" w:lineRule="auto"/>
      </w:pPr>
      <w:r>
        <w:t xml:space="preserve">DIČ: </w:t>
      </w:r>
      <w:r>
        <w:tab/>
      </w:r>
      <w:r>
        <w:tab/>
      </w:r>
      <w:r>
        <w:tab/>
        <w:t>není plátce DPH</w:t>
      </w:r>
    </w:p>
    <w:p w:rsidR="009905FC" w:rsidRPr="00DD6161" w:rsidRDefault="009905FC" w:rsidP="009905FC">
      <w:pPr>
        <w:spacing w:before="0" w:line="276" w:lineRule="auto"/>
      </w:pPr>
      <w:r>
        <w:t>Bankovní spojení:</w:t>
      </w:r>
      <w:r>
        <w:tab/>
        <w:t>32023661/0710</w:t>
      </w:r>
    </w:p>
    <w:p w:rsidR="009905FC" w:rsidRPr="00B61D31" w:rsidRDefault="009905FC" w:rsidP="009905FC">
      <w:pPr>
        <w:spacing w:line="276" w:lineRule="auto"/>
      </w:pPr>
      <w:r w:rsidRPr="00DD6161">
        <w:t>(</w:t>
      </w:r>
      <w:r w:rsidRPr="00B61D31">
        <w:t xml:space="preserve">dále </w:t>
      </w:r>
      <w:r>
        <w:rPr>
          <w:bCs/>
        </w:rPr>
        <w:t>též</w:t>
      </w:r>
      <w:r w:rsidRPr="00B61D31">
        <w:rPr>
          <w:bCs/>
        </w:rPr>
        <w:t xml:space="preserve"> </w:t>
      </w:r>
      <w:r w:rsidRPr="00B61D31">
        <w:t>„příkazce“)</w:t>
      </w:r>
    </w:p>
    <w:p w:rsidR="009905FC" w:rsidRPr="00B61D31" w:rsidRDefault="009905FC" w:rsidP="009905FC">
      <w:pPr>
        <w:spacing w:line="276" w:lineRule="auto"/>
      </w:pPr>
    </w:p>
    <w:p w:rsidR="009905FC" w:rsidRPr="00547ECC" w:rsidRDefault="009905FC" w:rsidP="009905FC">
      <w:pPr>
        <w:pStyle w:val="Nadpis2"/>
        <w:numPr>
          <w:ilvl w:val="0"/>
          <w:numId w:val="0"/>
        </w:numPr>
        <w:spacing w:before="0" w:line="276" w:lineRule="auto"/>
        <w:ind w:left="397" w:hanging="397"/>
        <w:rPr>
          <w:szCs w:val="22"/>
        </w:rPr>
      </w:pPr>
      <w:r>
        <w:t>Příkazník:</w:t>
      </w:r>
      <w:r>
        <w:tab/>
      </w:r>
      <w:r>
        <w:tab/>
      </w:r>
      <w:r w:rsidR="00D93B5B">
        <w:rPr>
          <w:szCs w:val="22"/>
          <w:lang w:val="en-US"/>
        </w:rPr>
        <w:t>SAFETY PRO s.r.o.</w:t>
      </w:r>
    </w:p>
    <w:p w:rsidR="009905FC" w:rsidRPr="00547ECC" w:rsidRDefault="009905FC" w:rsidP="009905FC">
      <w:pPr>
        <w:spacing w:before="0" w:line="276" w:lineRule="auto"/>
        <w:rPr>
          <w:szCs w:val="22"/>
        </w:rPr>
      </w:pPr>
      <w:r w:rsidRPr="00547ECC">
        <w:rPr>
          <w:szCs w:val="22"/>
        </w:rPr>
        <w:t xml:space="preserve">se sídlem: </w:t>
      </w:r>
      <w:r w:rsidRPr="00547ECC">
        <w:rPr>
          <w:szCs w:val="22"/>
        </w:rPr>
        <w:tab/>
      </w:r>
      <w:r w:rsidRPr="00547ECC">
        <w:rPr>
          <w:szCs w:val="22"/>
        </w:rPr>
        <w:tab/>
      </w:r>
      <w:r w:rsidR="00D93B5B">
        <w:rPr>
          <w:rFonts w:cs="Arial"/>
          <w:szCs w:val="22"/>
          <w:lang w:val="en-US"/>
        </w:rPr>
        <w:t xml:space="preserve">Přerovská 434/60, 779 00 Olomouc </w:t>
      </w:r>
    </w:p>
    <w:p w:rsidR="009905FC" w:rsidRPr="00547ECC" w:rsidRDefault="009905FC" w:rsidP="009905FC">
      <w:pPr>
        <w:spacing w:before="0" w:line="276" w:lineRule="auto"/>
        <w:rPr>
          <w:szCs w:val="22"/>
        </w:rPr>
      </w:pPr>
      <w:r w:rsidRPr="00547ECC">
        <w:rPr>
          <w:szCs w:val="22"/>
        </w:rPr>
        <w:t>zastoupený:</w:t>
      </w:r>
      <w:r w:rsidRPr="00547ECC">
        <w:rPr>
          <w:szCs w:val="22"/>
        </w:rPr>
        <w:tab/>
      </w:r>
      <w:r w:rsidRPr="00547ECC">
        <w:rPr>
          <w:szCs w:val="22"/>
        </w:rPr>
        <w:tab/>
      </w:r>
      <w:r w:rsidR="00D93B5B">
        <w:rPr>
          <w:rFonts w:cs="Arial"/>
          <w:szCs w:val="22"/>
          <w:lang w:val="en-US"/>
        </w:rPr>
        <w:t>Ing. Jiřím Smékalem, MBA, jednatelem</w:t>
      </w:r>
    </w:p>
    <w:p w:rsidR="009905FC" w:rsidRPr="00547ECC" w:rsidRDefault="009905FC" w:rsidP="009905FC">
      <w:pPr>
        <w:spacing w:before="0" w:line="276" w:lineRule="auto"/>
        <w:rPr>
          <w:szCs w:val="22"/>
        </w:rPr>
      </w:pPr>
      <w:r w:rsidRPr="00547ECC">
        <w:rPr>
          <w:szCs w:val="22"/>
        </w:rPr>
        <w:t xml:space="preserve">IČ: </w:t>
      </w:r>
      <w:r w:rsidRPr="00547ECC">
        <w:rPr>
          <w:szCs w:val="22"/>
        </w:rPr>
        <w:tab/>
      </w:r>
      <w:r w:rsidRPr="00547ECC">
        <w:rPr>
          <w:szCs w:val="22"/>
        </w:rPr>
        <w:tab/>
      </w:r>
      <w:r w:rsidRPr="00547ECC">
        <w:rPr>
          <w:szCs w:val="22"/>
        </w:rPr>
        <w:tab/>
      </w:r>
      <w:r w:rsidR="00D93B5B">
        <w:rPr>
          <w:rFonts w:cs="Arial"/>
          <w:szCs w:val="22"/>
          <w:lang w:val="en-US"/>
        </w:rPr>
        <w:t>28571690</w:t>
      </w:r>
    </w:p>
    <w:p w:rsidR="009905FC" w:rsidRPr="00D04D23" w:rsidRDefault="009905FC" w:rsidP="009905FC">
      <w:pPr>
        <w:spacing w:before="0" w:line="276" w:lineRule="auto"/>
        <w:rPr>
          <w:rFonts w:cs="Arial"/>
          <w:szCs w:val="22"/>
          <w:lang w:val="en-US"/>
        </w:rPr>
      </w:pPr>
      <w:r w:rsidRPr="00547ECC">
        <w:rPr>
          <w:szCs w:val="22"/>
        </w:rPr>
        <w:t xml:space="preserve">DIČ: </w:t>
      </w:r>
      <w:r w:rsidRPr="00547ECC">
        <w:rPr>
          <w:szCs w:val="22"/>
        </w:rPr>
        <w:tab/>
      </w:r>
      <w:r w:rsidRPr="00547ECC">
        <w:rPr>
          <w:szCs w:val="22"/>
        </w:rPr>
        <w:tab/>
      </w:r>
      <w:r w:rsidRPr="00547ECC">
        <w:rPr>
          <w:szCs w:val="22"/>
        </w:rPr>
        <w:tab/>
      </w:r>
      <w:r w:rsidR="00D93B5B">
        <w:rPr>
          <w:rFonts w:cs="Arial"/>
          <w:szCs w:val="22"/>
          <w:lang w:val="en-US"/>
        </w:rPr>
        <w:t>CZ28571690</w:t>
      </w:r>
    </w:p>
    <w:p w:rsidR="009905FC" w:rsidRPr="00D04D23" w:rsidRDefault="009905FC" w:rsidP="009905FC">
      <w:pPr>
        <w:spacing w:before="0" w:line="276" w:lineRule="auto"/>
        <w:rPr>
          <w:rFonts w:cs="Arial"/>
          <w:szCs w:val="22"/>
          <w:lang w:val="en-US"/>
        </w:rPr>
      </w:pPr>
      <w:r w:rsidRPr="00547ECC">
        <w:rPr>
          <w:szCs w:val="22"/>
        </w:rPr>
        <w:t>Bankovní spojení:</w:t>
      </w:r>
      <w:r w:rsidRPr="00547ECC">
        <w:rPr>
          <w:szCs w:val="22"/>
        </w:rPr>
        <w:tab/>
      </w:r>
      <w:r w:rsidR="00D93B5B" w:rsidRPr="00D93B5B">
        <w:rPr>
          <w:rFonts w:cs="Arial"/>
          <w:szCs w:val="22"/>
          <w:lang w:val="en-US"/>
        </w:rPr>
        <w:t>Raiffeisenbank a.s.</w:t>
      </w:r>
      <w:r w:rsidR="00D93B5B">
        <w:rPr>
          <w:rFonts w:cs="Arial"/>
          <w:szCs w:val="22"/>
          <w:lang w:val="en-US"/>
        </w:rPr>
        <w:t xml:space="preserve">, </w:t>
      </w:r>
      <w:r w:rsidR="00D93B5B" w:rsidRPr="00D93B5B">
        <w:rPr>
          <w:rFonts w:cs="Arial"/>
          <w:szCs w:val="22"/>
          <w:lang w:val="en-US"/>
        </w:rPr>
        <w:t>číslo účtu: 3882364001/5500</w:t>
      </w:r>
      <w:r w:rsidR="00D93B5B">
        <w:rPr>
          <w:rFonts w:cs="Arial"/>
          <w:szCs w:val="22"/>
          <w:lang w:val="en-US"/>
        </w:rPr>
        <w:t xml:space="preserve"> </w:t>
      </w:r>
    </w:p>
    <w:p w:rsidR="009905FC" w:rsidRPr="00927ABF" w:rsidRDefault="009905FC" w:rsidP="009905FC">
      <w:pPr>
        <w:spacing w:before="0" w:line="276" w:lineRule="auto"/>
        <w:rPr>
          <w:szCs w:val="22"/>
        </w:rPr>
      </w:pPr>
      <w:r w:rsidRPr="00927ABF">
        <w:rPr>
          <w:szCs w:val="22"/>
        </w:rPr>
        <w:t xml:space="preserve">Zapsán v obchodním rejstříku vedeném </w:t>
      </w:r>
      <w:r w:rsidR="00D93B5B">
        <w:rPr>
          <w:szCs w:val="22"/>
        </w:rPr>
        <w:t>Krajským soudem</w:t>
      </w:r>
      <w:r w:rsidRPr="00927ABF">
        <w:rPr>
          <w:rFonts w:cs="Arial"/>
          <w:szCs w:val="22"/>
          <w:lang w:val="en-US"/>
        </w:rPr>
        <w:t xml:space="preserve"> v </w:t>
      </w:r>
      <w:r w:rsidR="00D93B5B">
        <w:rPr>
          <w:rFonts w:cs="Arial"/>
          <w:szCs w:val="22"/>
          <w:lang w:val="en-US"/>
        </w:rPr>
        <w:t>Ostravě</w:t>
      </w:r>
      <w:r w:rsidRPr="00927ABF">
        <w:rPr>
          <w:rFonts w:cs="Arial"/>
          <w:szCs w:val="22"/>
          <w:lang w:val="en-US"/>
        </w:rPr>
        <w:t xml:space="preserve">, oddíl </w:t>
      </w:r>
      <w:r w:rsidR="00D93B5B">
        <w:rPr>
          <w:rFonts w:cs="Arial"/>
          <w:szCs w:val="22"/>
          <w:lang w:val="en-US"/>
        </w:rPr>
        <w:t>C</w:t>
      </w:r>
      <w:r w:rsidRPr="00927ABF">
        <w:rPr>
          <w:rFonts w:cs="Arial"/>
          <w:szCs w:val="22"/>
          <w:lang w:val="en-US"/>
        </w:rPr>
        <w:t xml:space="preserve">, vložka </w:t>
      </w:r>
      <w:r w:rsidR="00D93B5B" w:rsidRPr="00D93B5B">
        <w:rPr>
          <w:rFonts w:cs="Arial"/>
          <w:szCs w:val="22"/>
          <w:lang w:val="en-US"/>
        </w:rPr>
        <w:t>43822</w:t>
      </w:r>
    </w:p>
    <w:p w:rsidR="009905FC" w:rsidRDefault="009905FC" w:rsidP="009905FC">
      <w:pPr>
        <w:spacing w:line="276" w:lineRule="auto"/>
      </w:pPr>
      <w:r w:rsidRPr="00A75C61">
        <w:t xml:space="preserve">(dále jen </w:t>
      </w:r>
      <w:r w:rsidRPr="00B61D31">
        <w:rPr>
          <w:bCs/>
        </w:rPr>
        <w:t>„příkazník”</w:t>
      </w:r>
      <w:r w:rsidRPr="00B61D31">
        <w:t>)</w:t>
      </w:r>
    </w:p>
    <w:p w:rsidR="00D85BC4" w:rsidRPr="00D85BC4" w:rsidRDefault="00D85BC4" w:rsidP="00D85BC4">
      <w:pPr>
        <w:spacing w:line="276" w:lineRule="auto"/>
      </w:pPr>
      <w:r w:rsidRPr="00D85BC4">
        <w:t>(příka</w:t>
      </w:r>
      <w:r>
        <w:t>zce a příkazník společně dále také</w:t>
      </w:r>
      <w:r w:rsidRPr="00D85BC4">
        <w:t xml:space="preserve"> jako „smluvní strany“)</w:t>
      </w:r>
    </w:p>
    <w:p w:rsidR="009905FC" w:rsidRPr="00B61D31" w:rsidRDefault="009905FC" w:rsidP="009905FC">
      <w:pPr>
        <w:spacing w:line="276" w:lineRule="auto"/>
      </w:pPr>
    </w:p>
    <w:p w:rsidR="009905FC" w:rsidRDefault="009905FC" w:rsidP="009905FC">
      <w:pPr>
        <w:pStyle w:val="Nadpis1"/>
        <w:spacing w:before="0" w:line="276" w:lineRule="auto"/>
        <w:ind w:left="0"/>
      </w:pPr>
      <w:r>
        <w:br/>
        <w:t>Úvodní ustanovení</w:t>
      </w:r>
    </w:p>
    <w:p w:rsidR="009905FC" w:rsidRDefault="009905FC" w:rsidP="009905FC">
      <w:pPr>
        <w:pStyle w:val="Nadpis2"/>
        <w:spacing w:line="276" w:lineRule="auto"/>
      </w:pPr>
      <w:r>
        <w:t>Statutární orgány (příp. osoby oprávněné k podpisu smlouvy) uvedené v záhlaví smlouvy prohlašují, že jsou oprávněny v souladu s obecně závaznými předpisy a vnitřními předpisy příslušné smluvní strany podepsat bez dalšího tuto příkazní smlouvu.</w:t>
      </w:r>
    </w:p>
    <w:p w:rsidR="009905FC" w:rsidRPr="00972DB8" w:rsidRDefault="009905FC" w:rsidP="009905FC">
      <w:pPr>
        <w:pStyle w:val="Nadpis2"/>
        <w:spacing w:line="276" w:lineRule="auto"/>
      </w:pPr>
      <w:r>
        <w:t>Příkazník prohlašuje, že má všechna podnikatelská oprávnění potřebná k realizaci této smlouvy. Příkazník dále prohlašuje, že má rozsáhlé odborné zkušenosti potřebné k realizaci této smlouvy a že disponuje všemi potřebn</w:t>
      </w:r>
      <w:r w:rsidR="00C2356E">
        <w:t>ými personálními, technickými i </w:t>
      </w:r>
      <w:r>
        <w:t>ekonomickými zdroji pro činnost dle této smlouvy.</w:t>
      </w:r>
    </w:p>
    <w:p w:rsidR="0064554A" w:rsidRPr="00233045" w:rsidRDefault="009905FC" w:rsidP="0064554A">
      <w:pPr>
        <w:pStyle w:val="Nadpis2"/>
        <w:spacing w:after="240" w:line="276" w:lineRule="auto"/>
      </w:pPr>
      <w:r w:rsidRPr="00D04D23">
        <w:t>Účelem této smlouvy je</w:t>
      </w:r>
      <w:r w:rsidR="00FF0653" w:rsidRPr="00D04D23">
        <w:t xml:space="preserve"> zajištění technického dozoru stavby příkazníkem pro příkazce při realizování smlouvy o energetických službách se zaručeným výsledkem č.</w:t>
      </w:r>
      <w:r w:rsidR="0082386F">
        <w:t xml:space="preserve"> </w:t>
      </w:r>
      <w:r w:rsidR="00FF0653" w:rsidRPr="00D04D23">
        <w:t>j. KÚ-15893/2021-770-01001-48 (dále</w:t>
      </w:r>
      <w:r w:rsidR="00CD7872" w:rsidRPr="00D04D23">
        <w:t xml:space="preserve"> také</w:t>
      </w:r>
      <w:r w:rsidR="00FF0653" w:rsidRPr="00D04D23">
        <w:t xml:space="preserve"> jen „smlouva o energetických službách“), realizované pro </w:t>
      </w:r>
      <w:r w:rsidR="00F3007D" w:rsidRPr="00D04D23">
        <w:t xml:space="preserve">Katastrální úřad pro Zlínský kraj </w:t>
      </w:r>
      <w:r w:rsidR="00FF0653" w:rsidRPr="00D04D23">
        <w:t xml:space="preserve">vybraným zhotovitelem, aby stavba byla dokončena řádně a včas, v souladu se smlouvou o energetických službách a v souladu s projektovou dokumentací, která bude ke stavbě zpracována, přičemž dokumentace obsahující parametry a podmínky stavby je dále ve smlouvě označena jako dokumentace </w:t>
      </w:r>
      <w:r w:rsidR="00FF0653" w:rsidRPr="00D04D23">
        <w:lastRenderedPageBreak/>
        <w:t>pro provedení stavby (dále také jen „DPS“), a dále je účelem této smlouvy zajištění koordinace bezpečnosti a ochrany zdraví při práci v souvislosti s realizací stavby.</w:t>
      </w:r>
      <w:r w:rsidR="009F7FDA" w:rsidRPr="0082386F">
        <w:t xml:space="preserve">    </w:t>
      </w:r>
    </w:p>
    <w:p w:rsidR="0064554A" w:rsidRPr="0064554A" w:rsidRDefault="0064554A" w:rsidP="00546656">
      <w:pPr>
        <w:pStyle w:val="Nadpis2"/>
      </w:pPr>
      <w:r w:rsidRPr="00233045">
        <w:t>Smluvní strany uzavírají tuto smlouvu na základě výsledku výběrového řízení na veřejnou zakázku malého rozsahu s názvem „</w:t>
      </w:r>
      <w:r w:rsidRPr="00D04D23">
        <w:t>Technický dozor stavebníka a koordinátora BOZP –</w:t>
      </w:r>
      <w:r w:rsidR="002764DC" w:rsidRPr="00D04D23">
        <w:rPr>
          <w:szCs w:val="22"/>
        </w:rPr>
        <w:t xml:space="preserve"> </w:t>
      </w:r>
      <w:r w:rsidR="00F3007D" w:rsidRPr="0082386F">
        <w:rPr>
          <w:szCs w:val="22"/>
        </w:rPr>
        <w:t>Energeticky úsporný projekt renovace administrativní budovy Katastrálního úřadu pro Zlínský kraj ve Zlíně</w:t>
      </w:r>
      <w:r w:rsidR="00F3007D" w:rsidRPr="00D04D23" w:rsidDel="00F3007D">
        <w:rPr>
          <w:szCs w:val="22"/>
        </w:rPr>
        <w:t xml:space="preserve"> </w:t>
      </w:r>
      <w:r w:rsidRPr="0082386F">
        <w:t>“</w:t>
      </w:r>
      <w:r w:rsidRPr="00233045">
        <w:t>, zadávanou příkazcem jako veřejným zadavatelem ve smyslu ust</w:t>
      </w:r>
      <w:r w:rsidR="006D0619" w:rsidRPr="00670E7C">
        <w:t>. § 4 zákona č. 134/2016 Sb., o </w:t>
      </w:r>
      <w:r w:rsidRPr="00670E7C">
        <w:t>zadávání</w:t>
      </w:r>
      <w:r w:rsidRPr="0064554A">
        <w:t xml:space="preserve"> veřejných zakázek (dále jen „zákon o</w:t>
      </w:r>
      <w:r>
        <w:t> </w:t>
      </w:r>
      <w:r w:rsidRPr="0064554A">
        <w:t>veřejných zakázkách“)</w:t>
      </w:r>
      <w:r w:rsidR="00F3007D" w:rsidRPr="00F3007D">
        <w:rPr>
          <w:szCs w:val="24"/>
        </w:rPr>
        <w:t>, a to v souladu s ust. § 31 zákona o veřejných zakázkách mimo režim zadávacího řízení podle zákona o veřejných zakázkách</w:t>
      </w:r>
      <w:r w:rsidR="008366EE">
        <w:rPr>
          <w:szCs w:val="24"/>
        </w:rPr>
        <w:t>, systémové číslo NEN:</w:t>
      </w:r>
      <w:r w:rsidR="00F3007D" w:rsidRPr="00F3007D">
        <w:rPr>
          <w:szCs w:val="24"/>
        </w:rPr>
        <w:t xml:space="preserve"> </w:t>
      </w:r>
      <w:r w:rsidR="00546656" w:rsidRPr="00546656">
        <w:rPr>
          <w:szCs w:val="24"/>
        </w:rPr>
        <w:t>N006/22/V00028678</w:t>
      </w:r>
      <w:r w:rsidR="00546656">
        <w:rPr>
          <w:szCs w:val="24"/>
        </w:rPr>
        <w:t xml:space="preserve"> </w:t>
      </w:r>
      <w:r w:rsidR="00F3007D" w:rsidRPr="00F3007D">
        <w:rPr>
          <w:szCs w:val="24"/>
        </w:rPr>
        <w:t>(dále jen „veřejná zakázka“), v němž byla nabídka příkazníka vybrána jako nejvýhodnější</w:t>
      </w:r>
      <w:r>
        <w:t>.</w:t>
      </w:r>
    </w:p>
    <w:p w:rsidR="00DA01AF" w:rsidRDefault="00DA01AF" w:rsidP="00DA01AF">
      <w:pPr>
        <w:pStyle w:val="Nadpis2"/>
        <w:spacing w:after="240" w:line="276" w:lineRule="auto"/>
        <w:rPr>
          <w:szCs w:val="24"/>
        </w:rPr>
      </w:pPr>
      <w:r w:rsidRPr="00DA01AF">
        <w:rPr>
          <w:szCs w:val="24"/>
        </w:rPr>
        <w:t xml:space="preserve">Pro plnění předmětu této smlouvy jsou závazné rovněž všechny dokumenty vztahující </w:t>
      </w:r>
      <w:r w:rsidRPr="00DA01AF">
        <w:rPr>
          <w:szCs w:val="24"/>
        </w:rPr>
        <w:br/>
        <w:t xml:space="preserve">se k veřejné zakázce, a to </w:t>
      </w:r>
      <w:r w:rsidR="00F3007D">
        <w:rPr>
          <w:szCs w:val="24"/>
        </w:rPr>
        <w:t>V</w:t>
      </w:r>
      <w:r w:rsidRPr="00DA01AF">
        <w:rPr>
          <w:szCs w:val="24"/>
        </w:rPr>
        <w:t>ýzva a zadávací podmínky včetně všech příloh vztahujících se k předmětu této smlouvy, nabídka příkazníka a ostatní související dokumentace veřejné zakázky.</w:t>
      </w:r>
    </w:p>
    <w:p w:rsidR="0082386F" w:rsidRDefault="00DA01AF" w:rsidP="00DA01AF">
      <w:pPr>
        <w:pStyle w:val="Nadpis2"/>
        <w:spacing w:after="240" w:line="276" w:lineRule="auto"/>
        <w:rPr>
          <w:szCs w:val="24"/>
        </w:rPr>
      </w:pPr>
      <w:r w:rsidRPr="00DA01AF">
        <w:rPr>
          <w:szCs w:val="24"/>
        </w:rPr>
        <w:t>Příkazník prohlašuje, že se detailně seznámil s rozsahem a povahou předmětu a místa plnění dle této smlouvy a dle smlouvy o energetických službách, že jsou mu známy podmínky nezbytné pro realizaci této smlouvy, a že disponuje takovými kapacitami a</w:t>
      </w:r>
      <w:r>
        <w:rPr>
          <w:szCs w:val="24"/>
        </w:rPr>
        <w:t> </w:t>
      </w:r>
      <w:r w:rsidRPr="00DA01AF">
        <w:rPr>
          <w:szCs w:val="24"/>
        </w:rPr>
        <w:t>odbornými znalostmi, včetně technického a personálního zázemí, které jsou nezbytné pro realizaci této smlouvy za dohodnutou maximální smluvní cenu uvedenou ve smlouvě, a to rovněž ve vazbě na jím prokázanou kvalifikaci pro plnění veřejné zakázky. Příkazník prohlašuje, že disponuje příslušnými oprávněními k výkonu technického dozoru stavby a</w:t>
      </w:r>
      <w:r>
        <w:rPr>
          <w:szCs w:val="24"/>
        </w:rPr>
        <w:t> </w:t>
      </w:r>
      <w:r w:rsidRPr="00DA01AF">
        <w:rPr>
          <w:szCs w:val="24"/>
        </w:rPr>
        <w:t>k výkonu koordinátora bezpečnosti a ochrany zdraví při práci pro účely této smlouvy.</w:t>
      </w:r>
      <w:r>
        <w:rPr>
          <w:szCs w:val="24"/>
        </w:rPr>
        <w:t xml:space="preserve"> </w:t>
      </w:r>
    </w:p>
    <w:p w:rsidR="00DA01AF" w:rsidRPr="00DA01AF" w:rsidRDefault="00DA01AF" w:rsidP="00DA01AF">
      <w:pPr>
        <w:pStyle w:val="Nadpis2"/>
        <w:spacing w:after="240" w:line="276" w:lineRule="auto"/>
        <w:rPr>
          <w:szCs w:val="24"/>
        </w:rPr>
      </w:pPr>
      <w:r w:rsidRPr="00DA01AF">
        <w:rPr>
          <w:szCs w:val="24"/>
        </w:rPr>
        <w:t>Příkazník prohlašuje, že jím poskytované plnění odpovídá všem požadavkům vyplývajícím z platných právních předpisů, které se na plnění vztahují</w:t>
      </w:r>
      <w:r>
        <w:rPr>
          <w:szCs w:val="24"/>
        </w:rPr>
        <w:t>.</w:t>
      </w:r>
    </w:p>
    <w:p w:rsidR="00DA01AF" w:rsidRPr="00DA01AF" w:rsidRDefault="00DA01AF" w:rsidP="00DA01AF">
      <w:pPr>
        <w:pStyle w:val="Nadpis2"/>
        <w:spacing w:after="240" w:line="276" w:lineRule="auto"/>
        <w:rPr>
          <w:szCs w:val="24"/>
        </w:rPr>
      </w:pPr>
      <w:r w:rsidRPr="00DA01AF">
        <w:rPr>
          <w:szCs w:val="24"/>
        </w:rPr>
        <w:t>Smluvní strany se dohodly, že jejich právní vztahy založené touto smlouvou se řídí právním řádem České republiky, zejména občanským zákoníkem, zákonem č. 183/2006 Sb., stavební zákon v platném znění (dále jen „stavební zákon“) a zákonem č. 309/2006 Sb., kterým se upravují další požadavky bezpečnosti a ochrany zdraví při práci v pracovněprávních vztazích a o zajištění bezpečnosti a ochrany zdraví při činnosti nebo poskytování služeb mimo pracovněprávní vztahy (dále jen „zákon o zajištění dalších podmínek bezpečnosti a ochrany zdraví při práci“), nařízením vlády č. 591/2006 Sb., o</w:t>
      </w:r>
      <w:r>
        <w:rPr>
          <w:szCs w:val="24"/>
        </w:rPr>
        <w:t> </w:t>
      </w:r>
      <w:r w:rsidRPr="00DA01AF">
        <w:rPr>
          <w:szCs w:val="24"/>
        </w:rPr>
        <w:t>bližších požadavcích na bezpečnost a ochranu zdraví při práci na staveništích, ve znění pozdějších předpisů (dále jen „nařízení o bližších požadavcích na bezpečnost a ochranu zdraví při práci na staveništích“), jakož i některými dalšími zvláštními právními předpisy upravujícími závazné podmínky ve vztahu k předmětu plnění této smlouvy.</w:t>
      </w:r>
    </w:p>
    <w:p w:rsidR="00DA01AF" w:rsidRPr="00DA01AF" w:rsidRDefault="00DA01AF" w:rsidP="00DA01AF">
      <w:pPr>
        <w:pStyle w:val="Nadpis2"/>
        <w:spacing w:after="240" w:line="276" w:lineRule="auto"/>
        <w:rPr>
          <w:szCs w:val="24"/>
        </w:rPr>
      </w:pPr>
      <w:r w:rsidRPr="00DA01AF">
        <w:rPr>
          <w:szCs w:val="24"/>
        </w:rPr>
        <w:t xml:space="preserve">Příkazník tímto bere na vědomí, že ke dni uzavření této smlouvy nemá příkazce k dispozici pravomocné stavební povolení ve vztahu ke stavbě (dále jen „stavební povolení“). </w:t>
      </w:r>
    </w:p>
    <w:p w:rsidR="00DA01AF" w:rsidRPr="00DA01AF" w:rsidRDefault="00DA01AF" w:rsidP="00DA01AF">
      <w:pPr>
        <w:pStyle w:val="Nadpis2"/>
        <w:spacing w:after="240" w:line="276" w:lineRule="auto"/>
        <w:rPr>
          <w:szCs w:val="24"/>
        </w:rPr>
      </w:pPr>
      <w:r w:rsidRPr="00DA01AF">
        <w:rPr>
          <w:szCs w:val="24"/>
        </w:rPr>
        <w:t>Příkazce příkazníkovi nejpozději do 3 pracovních dní od účinnosti této smlouvy poskytne text smlouvy o energetických službách.</w:t>
      </w:r>
    </w:p>
    <w:p w:rsidR="009905FC" w:rsidRPr="00B02943" w:rsidRDefault="009905FC" w:rsidP="009905FC">
      <w:pPr>
        <w:pStyle w:val="Nadpis1"/>
        <w:spacing w:before="0" w:line="276" w:lineRule="auto"/>
        <w:ind w:left="0"/>
      </w:pPr>
      <w:bookmarkStart w:id="0" w:name="_Ref174851352"/>
      <w:r>
        <w:lastRenderedPageBreak/>
        <w:br/>
      </w:r>
      <w:bookmarkStart w:id="1" w:name="_Ref175455533"/>
      <w:r w:rsidRPr="00B02943">
        <w:t>Předmět smlouvy</w:t>
      </w:r>
      <w:bookmarkEnd w:id="0"/>
      <w:bookmarkEnd w:id="1"/>
    </w:p>
    <w:p w:rsidR="00FE00FD" w:rsidRPr="00D04D23" w:rsidRDefault="00FE00FD" w:rsidP="00FE00FD">
      <w:pPr>
        <w:pStyle w:val="Nadpis2"/>
        <w:spacing w:after="240" w:line="276" w:lineRule="auto"/>
        <w:rPr>
          <w:bCs w:val="0"/>
          <w:iCs w:val="0"/>
        </w:rPr>
      </w:pPr>
      <w:r w:rsidRPr="00D04D23">
        <w:rPr>
          <w:bCs w:val="0"/>
          <w:iCs w:val="0"/>
        </w:rPr>
        <w:t>Předmětem této smlouvy je závazek příkazníka provádět v rámci stavby pro příkazce:</w:t>
      </w:r>
    </w:p>
    <w:p w:rsidR="00FE00FD" w:rsidRPr="00D04D23" w:rsidRDefault="00FE00FD" w:rsidP="00FE00FD">
      <w:pPr>
        <w:pStyle w:val="Odstavecseseznamem"/>
        <w:widowControl w:val="0"/>
        <w:numPr>
          <w:ilvl w:val="0"/>
          <w:numId w:val="9"/>
        </w:numPr>
        <w:spacing w:before="0" w:line="276" w:lineRule="auto"/>
        <w:rPr>
          <w:rFonts w:cs="Arial"/>
          <w:bCs/>
          <w:iCs/>
          <w:szCs w:val="28"/>
        </w:rPr>
      </w:pPr>
      <w:r w:rsidRPr="00D04D23">
        <w:rPr>
          <w:rFonts w:cs="Arial"/>
          <w:b/>
          <w:bCs/>
          <w:iCs/>
          <w:szCs w:val="28"/>
        </w:rPr>
        <w:t>činnosti technického dozoru stavby</w:t>
      </w:r>
      <w:r w:rsidRPr="00D04D23">
        <w:rPr>
          <w:rFonts w:cs="Arial"/>
          <w:bCs/>
          <w:iCs/>
          <w:szCs w:val="28"/>
        </w:rPr>
        <w:t xml:space="preserve"> podle stavebního zákona v rozsahu a za podmínek uvedených v této smlouvě (dále jen „TDS“) a</w:t>
      </w:r>
    </w:p>
    <w:p w:rsidR="00FE00FD" w:rsidRPr="00D04D23" w:rsidRDefault="00FE00FD" w:rsidP="00FE00FD">
      <w:pPr>
        <w:pStyle w:val="Odstavecseseznamem"/>
        <w:widowControl w:val="0"/>
        <w:numPr>
          <w:ilvl w:val="0"/>
          <w:numId w:val="9"/>
        </w:numPr>
        <w:spacing w:before="0" w:line="276" w:lineRule="auto"/>
        <w:rPr>
          <w:rFonts w:cs="Arial"/>
          <w:bCs/>
          <w:iCs/>
          <w:szCs w:val="28"/>
        </w:rPr>
      </w:pPr>
      <w:r w:rsidRPr="00D04D23">
        <w:rPr>
          <w:rFonts w:cs="Arial"/>
          <w:b/>
          <w:bCs/>
          <w:iCs/>
          <w:szCs w:val="28"/>
        </w:rPr>
        <w:t>činnosti koordinátora bezpečnosti a ochrany zdraví při práci</w:t>
      </w:r>
      <w:r w:rsidRPr="00D04D23">
        <w:rPr>
          <w:rFonts w:cs="Arial"/>
          <w:bCs/>
          <w:iCs/>
          <w:szCs w:val="28"/>
        </w:rPr>
        <w:t xml:space="preserve"> podle zákona o zajištění dalších podmínek bezpečnosti a ochrany zdraví při práci v rozsahu a za podmínek uvedených v této smlouvě (dále jen „BOZP“),</w:t>
      </w:r>
    </w:p>
    <w:p w:rsidR="00FE00FD" w:rsidRPr="00D04D23" w:rsidRDefault="00FE00FD" w:rsidP="00FE00FD">
      <w:pPr>
        <w:spacing w:line="276" w:lineRule="auto"/>
        <w:rPr>
          <w:rFonts w:cs="Arial"/>
          <w:bCs/>
          <w:iCs/>
          <w:szCs w:val="28"/>
        </w:rPr>
      </w:pPr>
      <w:r w:rsidRPr="00D04D23">
        <w:rPr>
          <w:rFonts w:cs="Arial"/>
          <w:bCs/>
          <w:iCs/>
          <w:szCs w:val="28"/>
        </w:rPr>
        <w:t>vše za účelem, aby byla stavba dokončena řádně a včas a v souladu s DPS,</w:t>
      </w:r>
    </w:p>
    <w:p w:rsidR="00FE00FD" w:rsidRPr="00D04D23" w:rsidRDefault="00FE00FD" w:rsidP="00FE00FD">
      <w:pPr>
        <w:spacing w:line="276" w:lineRule="auto"/>
        <w:rPr>
          <w:rFonts w:cs="Arial"/>
          <w:bCs/>
          <w:iCs/>
          <w:szCs w:val="28"/>
        </w:rPr>
      </w:pPr>
      <w:r w:rsidRPr="00D04D23">
        <w:rPr>
          <w:rFonts w:cs="Arial"/>
          <w:bCs/>
          <w:iCs/>
          <w:szCs w:val="28"/>
        </w:rPr>
        <w:t>a závazek příkazce zaplatit příkazníkovi za řádně provedené činnosti TDS a BOZP sjednanou odměnu.</w:t>
      </w:r>
    </w:p>
    <w:p w:rsidR="009905FC" w:rsidRPr="00A75C61" w:rsidRDefault="009905FC" w:rsidP="009905FC">
      <w:pPr>
        <w:pStyle w:val="Nadpis1"/>
        <w:spacing w:before="0" w:line="276" w:lineRule="auto"/>
        <w:ind w:left="0"/>
      </w:pPr>
      <w:r>
        <w:br/>
      </w:r>
      <w:r w:rsidR="007972D0">
        <w:t xml:space="preserve">Místo </w:t>
      </w:r>
      <w:r w:rsidR="009620E4">
        <w:t xml:space="preserve">a </w:t>
      </w:r>
      <w:r w:rsidR="007972D0">
        <w:t>doba</w:t>
      </w:r>
      <w:r>
        <w:t xml:space="preserve"> plnění</w:t>
      </w:r>
    </w:p>
    <w:p w:rsidR="007972D0" w:rsidRDefault="00DA01AF" w:rsidP="00670E7C">
      <w:pPr>
        <w:pStyle w:val="Nadpis2"/>
        <w:spacing w:after="240" w:line="276" w:lineRule="auto"/>
      </w:pPr>
      <w:r w:rsidRPr="00B65560">
        <w:t>Místem plnění je sídlo příkazce</w:t>
      </w:r>
      <w:r>
        <w:t>, tedy budova na ulici</w:t>
      </w:r>
      <w:r w:rsidRPr="00B65560">
        <w:t xml:space="preserve"> </w:t>
      </w:r>
      <w:r w:rsidRPr="00DD6161">
        <w:t>třída Tomáše Bati 1565, 760 9</w:t>
      </w:r>
      <w:r w:rsidR="0082386F">
        <w:t>6</w:t>
      </w:r>
      <w:r w:rsidRPr="00DD6161">
        <w:t xml:space="preserve"> Zlín</w:t>
      </w:r>
      <w:r>
        <w:t xml:space="preserve"> (dále jen </w:t>
      </w:r>
      <w:r w:rsidRPr="00077408">
        <w:t>„budova“ nebo „staveniště“)</w:t>
      </w:r>
      <w:r>
        <w:t>.</w:t>
      </w:r>
    </w:p>
    <w:p w:rsidR="007972D0" w:rsidRPr="00D04D23" w:rsidRDefault="007972D0" w:rsidP="007972D0">
      <w:pPr>
        <w:pStyle w:val="Nadpis2"/>
        <w:spacing w:after="240" w:line="276" w:lineRule="auto"/>
      </w:pPr>
      <w:r w:rsidRPr="00D04D23">
        <w:t>Smluvní strany sjednávají, že v období od účinnosti této smlouvy do dne převzetí dokončené poslední dílčí části stavby od zhotovitele příkazcem bez výhrad nebo s výhradami se příkazník zavazuje vykonávat všechny činnosti TDS a BOZP v plném rozsahu tak, jak je stanoveno v článku V</w:t>
      </w:r>
      <w:r w:rsidR="00670E7C" w:rsidRPr="00D04D23">
        <w:t>.</w:t>
      </w:r>
      <w:r w:rsidRPr="00D04D23">
        <w:t xml:space="preserve"> této smlouvy, aniž by jej příkazce musel k jednotlivým činnostem vyzývat.</w:t>
      </w:r>
    </w:p>
    <w:p w:rsidR="0092348C" w:rsidRDefault="0092348C" w:rsidP="0092348C">
      <w:pPr>
        <w:pStyle w:val="Nadpis1"/>
        <w:spacing w:before="0" w:line="276" w:lineRule="auto"/>
        <w:ind w:left="0"/>
      </w:pPr>
    </w:p>
    <w:p w:rsidR="0092348C" w:rsidRPr="0092348C" w:rsidRDefault="0092348C" w:rsidP="0092348C">
      <w:pPr>
        <w:pStyle w:val="Nadpis1"/>
        <w:numPr>
          <w:ilvl w:val="0"/>
          <w:numId w:val="0"/>
        </w:numPr>
        <w:spacing w:before="0" w:line="276" w:lineRule="auto"/>
      </w:pPr>
      <w:r w:rsidRPr="0092348C">
        <w:t>Povinnosti příkazníka</w:t>
      </w:r>
    </w:p>
    <w:p w:rsidR="00DA01AF" w:rsidRPr="00233045" w:rsidRDefault="00DA01AF" w:rsidP="00D04D23">
      <w:pPr>
        <w:pStyle w:val="Nadpis2"/>
        <w:spacing w:after="240" w:line="276" w:lineRule="auto"/>
      </w:pPr>
      <w:r w:rsidRPr="00233045">
        <w:t xml:space="preserve">Příkazník se touto smlouvou zavazuje provádět při realizaci stavby </w:t>
      </w:r>
      <w:r w:rsidRPr="00D04D23">
        <w:t>všechny činnosti TDS</w:t>
      </w:r>
      <w:r w:rsidRPr="00233045">
        <w:t>, a to v souladu se stavebním zákonem a dalšími souvisejícími právními a ostatními předpisy, zejména:</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podrobně se seznámit s podklady, podle kterých se realizuje stavba, tj. s DPS, podmínkami stavebního povolení a závaznými stanovisky dotčených správních orgánů;</w:t>
      </w:r>
    </w:p>
    <w:p w:rsid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provést kontrolu PD a kontrolu zapracování podmínek stavebního povolení a závazných stanovisek dotčených správních orgánů; v případě zjištění nedostatků povinnost neprodleně informovat příkazce.</w:t>
      </w:r>
    </w:p>
    <w:p w:rsidR="00A25C6F" w:rsidRPr="00A25C6F" w:rsidRDefault="00A25C6F" w:rsidP="00A25C6F">
      <w:pPr>
        <w:pStyle w:val="Bezmezer"/>
        <w:numPr>
          <w:ilvl w:val="0"/>
          <w:numId w:val="17"/>
        </w:numPr>
        <w:spacing w:line="276" w:lineRule="auto"/>
        <w:jc w:val="both"/>
        <w:rPr>
          <w:rFonts w:ascii="Arial" w:hAnsi="Arial" w:cs="Arial"/>
        </w:rPr>
      </w:pPr>
      <w:r w:rsidRPr="00A25C6F">
        <w:rPr>
          <w:rStyle w:val="CharStyle5"/>
          <w:rFonts w:ascii="Arial" w:hAnsi="Arial" w:cs="Arial"/>
        </w:rPr>
        <w:t>připravit podklady pro předání staveniště zhotoviteli a organizovat předání staveniště zhotoviteli,</w:t>
      </w:r>
      <w:r w:rsidRPr="00A25C6F">
        <w:rPr>
          <w:rFonts w:ascii="Arial" w:hAnsi="Arial" w:cs="Arial"/>
        </w:rPr>
        <w:t xml:space="preserve"> včetně zápisu předání do stavebního deníku a sepisu jednoduchého předávacího protokolu k předání staveniště;</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organizovat kontrolní dny na stavbě, účastnit se kontrolních dnů, pořizovat zápisy z nich a zajistit jejich rozeslání příkazci (kontaktním osobám ve věcech technických), zástupcům zhotovitele stavby a autorského dozoru, případně osobám dle pokynu příkazce;</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kontrolovat dodržení podmínek stavebního povolení, DPS a dodržení podmínek všech dalších dotčených orgánů a řešení případných změn;</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lastRenderedPageBreak/>
        <w:t xml:space="preserve">provádět průběžnou kontrolu provádění stavby a prověření těch částí stavby, které budou při dalším postupu stavby zakryty nebo se stanou nepřístupnými, zapsání výsledku tohoto prověření do stavebního deníku a zajištění potvrzení zápisu zhotovitelem stavby, </w:t>
      </w:r>
      <w:r w:rsidRPr="00A25C6F">
        <w:rPr>
          <w:rStyle w:val="CharStyle5"/>
          <w:rFonts w:ascii="Arial" w:hAnsi="Arial" w:cs="Arial"/>
        </w:rPr>
        <w:t>vedení fotodokumentace, popř. video záznamů nebo digitálních záznamů</w:t>
      </w:r>
      <w:r w:rsidRPr="00A25C6F">
        <w:rPr>
          <w:rFonts w:ascii="Arial" w:hAnsi="Arial" w:cs="Arial"/>
        </w:rPr>
        <w:t>;</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ve spolupráci s autorským dozorem projektanta provádět kontrolu souladu realizovaných dodávek a prací s DPS; v případě zjištění nesouladu návrh relevantních opatření;</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kontrolovat kvalitu prováděných prací a dodaného materiálu v souladu s právními předpisy, technickými normami a DPS;</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 xml:space="preserve">kontrolovat řádné vedení stavebního deníku </w:t>
      </w:r>
      <w:r w:rsidRPr="00A25C6F">
        <w:rPr>
          <w:rStyle w:val="CharStyle5"/>
          <w:rFonts w:ascii="Arial" w:hAnsi="Arial" w:cs="Arial"/>
        </w:rPr>
        <w:t>a montážního deníku včetně příslušných zápisů do nich,</w:t>
      </w:r>
      <w:r w:rsidRPr="00A25C6F">
        <w:rPr>
          <w:rFonts w:ascii="Arial" w:hAnsi="Arial" w:cs="Arial"/>
        </w:rPr>
        <w:t xml:space="preserve"> v souladu s podmínkami uvedenými ve smlouvě o energetických službách, zejména potvrzování zápisů ve stavebním deníku, včetně stanovisek k nim; provádění zápisů týkajících se kvality prováděných prací;</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zapisovat přítomnost příkazníka na stavbě do stavebního deníku, odsouhlasení případných nahlášených překážek v provedení díla vzniklých v důsledku vyšší moci nebo z důvodů na straně příkazce a informování příkazce o nahlášení takové překážky zhotovitelem stavby do stavebního deníku;</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 xml:space="preserve">kontrolovat postup prací podle časového harmonogramu stavby, </w:t>
      </w:r>
      <w:r w:rsidRPr="00A25C6F">
        <w:rPr>
          <w:rStyle w:val="CharStyle5"/>
          <w:rFonts w:ascii="Arial" w:hAnsi="Arial" w:cs="Arial"/>
        </w:rPr>
        <w:t xml:space="preserve">stanovených uzlových bodů, termínů stavební připravenosti, </w:t>
      </w:r>
      <w:r w:rsidRPr="00A25C6F">
        <w:rPr>
          <w:rFonts w:ascii="Arial" w:hAnsi="Arial" w:cs="Arial"/>
        </w:rPr>
        <w:t>a upozornit příkazce a zhotovitele stavby na nedodržení termínů, včetně přípravy podkladů k uplatnění a vymáhání sankcí;</w:t>
      </w:r>
      <w:r w:rsidRPr="00A25C6F">
        <w:rPr>
          <w:rStyle w:val="CharStyle5"/>
          <w:rFonts w:ascii="Arial" w:hAnsi="Arial" w:cs="Arial"/>
        </w:rPr>
        <w:t xml:space="preserve"> </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 xml:space="preserve">zpracovat a předávat hodnotící zprávy o časovém průběhu stavby a jednotlivých stavebních etap včetně jejich vyhodnocení příkazci (1 x za kalendářní měsíc), včetně </w:t>
      </w:r>
      <w:r w:rsidRPr="00A25C6F">
        <w:rPr>
          <w:rStyle w:val="CharStyle5"/>
          <w:rFonts w:ascii="Arial" w:hAnsi="Arial" w:cs="Arial"/>
        </w:rPr>
        <w:t>informace o stavu rozestavěnosti stavby</w:t>
      </w:r>
      <w:r w:rsidRPr="00A25C6F">
        <w:rPr>
          <w:rFonts w:ascii="Arial" w:hAnsi="Arial" w:cs="Arial"/>
        </w:rPr>
        <w:t>;</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účastnit se na předem hlášených jednáních (kontrolách) vyvolaných kontrolními orgány v souvislosti s realizací stavby a činností zhotovitele stavby (např. příslušný stavební úřad);</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 xml:space="preserve">účastnit se kontrolních prohlídek na základě výzvy příkazce; </w:t>
      </w:r>
    </w:p>
    <w:p w:rsidR="00A25C6F" w:rsidRPr="00A25C6F" w:rsidRDefault="00A25C6F" w:rsidP="00A25C6F">
      <w:pPr>
        <w:pStyle w:val="Bezmezer"/>
        <w:numPr>
          <w:ilvl w:val="0"/>
          <w:numId w:val="17"/>
        </w:numPr>
        <w:spacing w:line="276" w:lineRule="auto"/>
        <w:jc w:val="both"/>
        <w:rPr>
          <w:rFonts w:ascii="Arial" w:hAnsi="Arial" w:cs="Arial"/>
        </w:rPr>
      </w:pPr>
      <w:r w:rsidRPr="00A25C6F">
        <w:rPr>
          <w:rStyle w:val="CharStyle5"/>
          <w:rFonts w:ascii="Arial" w:hAnsi="Arial" w:cs="Arial"/>
        </w:rPr>
        <w:t>provádět dozor nad technickou kvalitou prováděných prací, kontrolu souladu prováděných prací s platnou projektovou dokumentací, vč. kontroly provádění zkoušek na stavbě, zkoušek technologických zařízení prováděných zhotovitelem stavby, dohled nad dodržováním předepsaných postupů a platných právních předpisů, kontroly výsledků zkoušek;</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vyžadovat provedení předepsaných zkoušek materiálů, výrobků, konstrukcí, instalací a dalších prací, vyžadování předložení dokladů prokazujících kvalitu prací a výrobků před jejich zabudováním od zhotovitele stavby (atesty, certifikáty, zkoušky, osvědčení o jakosti výrobků); při nekvalitním provádění prací zhotovitelem stavby uplatňuje bezprostředně po zjištění nápravná opatření;</w:t>
      </w:r>
    </w:p>
    <w:p w:rsidR="00A25C6F" w:rsidRPr="00A25C6F" w:rsidRDefault="00A25C6F" w:rsidP="00A25C6F">
      <w:pPr>
        <w:pStyle w:val="Bezmezer"/>
        <w:numPr>
          <w:ilvl w:val="0"/>
          <w:numId w:val="17"/>
        </w:numPr>
        <w:spacing w:line="276" w:lineRule="auto"/>
        <w:jc w:val="both"/>
        <w:rPr>
          <w:rFonts w:ascii="Arial" w:hAnsi="Arial" w:cs="Arial"/>
        </w:rPr>
      </w:pPr>
      <w:r w:rsidRPr="00A25C6F">
        <w:rPr>
          <w:rFonts w:ascii="Arial" w:hAnsi="Arial" w:cs="Arial"/>
        </w:rPr>
        <w:t>vyžádat si účast stavbyvedoucího při probíhajících stavebních pracích v případě potřeby;</w:t>
      </w:r>
    </w:p>
    <w:p w:rsidR="00A25C6F" w:rsidRPr="00A25C6F" w:rsidRDefault="00A25C6F" w:rsidP="00A25C6F">
      <w:pPr>
        <w:pStyle w:val="Bezmezer"/>
        <w:numPr>
          <w:ilvl w:val="0"/>
          <w:numId w:val="17"/>
        </w:numPr>
        <w:spacing w:line="276" w:lineRule="auto"/>
        <w:jc w:val="both"/>
        <w:rPr>
          <w:rFonts w:ascii="Arial" w:hAnsi="Arial" w:cs="Arial"/>
        </w:rPr>
      </w:pPr>
      <w:r w:rsidRPr="00A25C6F">
        <w:rPr>
          <w:rStyle w:val="CharStyle5"/>
          <w:rFonts w:ascii="Arial" w:hAnsi="Arial" w:cs="Arial"/>
        </w:rPr>
        <w:t>projednávat případné změny v DPS s autorským dozorem (AD) a zhotovitelem stavby;</w:t>
      </w:r>
    </w:p>
    <w:p w:rsidR="00A25C6F" w:rsidRPr="00A25C6F" w:rsidRDefault="00A25C6F" w:rsidP="00A25C6F">
      <w:pPr>
        <w:pStyle w:val="Bezmezer"/>
        <w:numPr>
          <w:ilvl w:val="0"/>
          <w:numId w:val="17"/>
        </w:numPr>
        <w:spacing w:line="276" w:lineRule="auto"/>
        <w:jc w:val="both"/>
        <w:rPr>
          <w:rFonts w:ascii="Arial" w:hAnsi="Arial" w:cs="Arial"/>
        </w:rPr>
      </w:pPr>
      <w:r w:rsidRPr="00A25C6F">
        <w:rPr>
          <w:rStyle w:val="CharStyle5"/>
          <w:rFonts w:ascii="Arial" w:hAnsi="Arial" w:cs="Arial"/>
        </w:rPr>
        <w:t>okamžitě informovat příkazce při zpoždění provádění stavby oproti harmonogramu;</w:t>
      </w:r>
    </w:p>
    <w:p w:rsidR="00A25C6F" w:rsidRPr="00A25C6F" w:rsidRDefault="00A25C6F" w:rsidP="00A25C6F">
      <w:pPr>
        <w:pStyle w:val="Bezmezer"/>
        <w:numPr>
          <w:ilvl w:val="0"/>
          <w:numId w:val="17"/>
        </w:numPr>
        <w:spacing w:line="276" w:lineRule="auto"/>
        <w:jc w:val="both"/>
        <w:rPr>
          <w:rFonts w:ascii="Arial" w:hAnsi="Arial" w:cs="Arial"/>
        </w:rPr>
      </w:pPr>
      <w:r w:rsidRPr="00A25C6F">
        <w:rPr>
          <w:rStyle w:val="CharStyle5"/>
          <w:rFonts w:ascii="Arial" w:hAnsi="Arial" w:cs="Arial"/>
        </w:rPr>
        <w:t>spolupracovat s pracovníky zhotovitele při vykonávání opatření na odvrácení nebo omezení škod při ohrožení stavby živelnou pohromou;</w:t>
      </w:r>
    </w:p>
    <w:p w:rsidR="00A25C6F" w:rsidRPr="00A25C6F" w:rsidRDefault="00A25C6F" w:rsidP="00A25C6F">
      <w:pPr>
        <w:pStyle w:val="Bezmezer"/>
        <w:numPr>
          <w:ilvl w:val="0"/>
          <w:numId w:val="17"/>
        </w:numPr>
        <w:spacing w:line="276" w:lineRule="auto"/>
        <w:jc w:val="both"/>
        <w:rPr>
          <w:rFonts w:ascii="Arial" w:hAnsi="Arial" w:cs="Arial"/>
        </w:rPr>
      </w:pPr>
      <w:r w:rsidRPr="00A25C6F">
        <w:rPr>
          <w:rStyle w:val="CharStyle5"/>
          <w:rFonts w:ascii="Arial" w:hAnsi="Arial" w:cs="Arial"/>
        </w:rPr>
        <w:t xml:space="preserve">upozorňovat zhotovitele stavby na zjištěné nedostatky v prováděných pracích, požadovat sjednání nápravy a v případě ohrožení zdraví nebo majetku je oprávněn </w:t>
      </w:r>
      <w:r w:rsidRPr="00A25C6F">
        <w:rPr>
          <w:rStyle w:val="CharStyle5"/>
          <w:rFonts w:ascii="Arial" w:hAnsi="Arial" w:cs="Arial"/>
        </w:rPr>
        <w:lastRenderedPageBreak/>
        <w:t xml:space="preserve">nařídit zhotoviteli stavby zastavení prací, </w:t>
      </w:r>
      <w:r w:rsidRPr="00A25C6F">
        <w:rPr>
          <w:rFonts w:ascii="Arial" w:hAnsi="Arial" w:cs="Arial"/>
        </w:rPr>
        <w:t>kontrolovat odstraňování vad a nedodělků zjištěných průběžnou kontrolou stavby nebo při předání a převzetí stavby, resp. dílčí části stavby, popř. v dohodnutých termínech;</w:t>
      </w:r>
    </w:p>
    <w:p w:rsidR="00A25C6F" w:rsidRPr="00A25C6F" w:rsidRDefault="00A25C6F" w:rsidP="00A25C6F">
      <w:pPr>
        <w:pStyle w:val="Bezmezer"/>
        <w:numPr>
          <w:ilvl w:val="0"/>
          <w:numId w:val="17"/>
        </w:numPr>
        <w:spacing w:line="276" w:lineRule="auto"/>
        <w:jc w:val="both"/>
        <w:rPr>
          <w:rStyle w:val="CharStyle5"/>
          <w:rFonts w:ascii="Arial" w:hAnsi="Arial" w:cs="Arial"/>
        </w:rPr>
      </w:pPr>
      <w:r w:rsidRPr="00A25C6F">
        <w:rPr>
          <w:rFonts w:ascii="Arial" w:hAnsi="Arial" w:cs="Arial"/>
        </w:rPr>
        <w:t xml:space="preserve">provádět </w:t>
      </w:r>
      <w:r w:rsidRPr="00A25C6F">
        <w:rPr>
          <w:rStyle w:val="CharStyle5"/>
          <w:rFonts w:ascii="Arial" w:hAnsi="Arial" w:cs="Arial"/>
        </w:rPr>
        <w:t>kontrolu řádného uskladnění materiálů, strojů a konstrukcí;</w:t>
      </w:r>
    </w:p>
    <w:p w:rsidR="00A25C6F" w:rsidRPr="00A25C6F" w:rsidRDefault="00A25C6F" w:rsidP="00A25C6F">
      <w:pPr>
        <w:pStyle w:val="Bezmezer"/>
        <w:numPr>
          <w:ilvl w:val="0"/>
          <w:numId w:val="17"/>
        </w:numPr>
        <w:tabs>
          <w:tab w:val="left" w:pos="851"/>
        </w:tabs>
        <w:spacing w:line="276" w:lineRule="auto"/>
        <w:jc w:val="both"/>
        <w:rPr>
          <w:rFonts w:ascii="Arial" w:hAnsi="Arial" w:cs="Arial"/>
        </w:rPr>
      </w:pPr>
      <w:r w:rsidRPr="00A25C6F">
        <w:rPr>
          <w:rStyle w:val="CharStyle5"/>
          <w:rFonts w:ascii="Arial" w:hAnsi="Arial" w:cs="Arial"/>
        </w:rPr>
        <w:t>organizovat a účastnit se na přejímacím řízení dokončené stavby příkazci včetně účasti na případných dílčích přejímkách a závěrečném zápisu o přejímce stavby; shromáždit a kontrolovat všechny doklady, revizní zprávy, atesty zařízení, komplexní zkoušky a</w:t>
      </w:r>
      <w:r w:rsidR="00E37CA7">
        <w:rPr>
          <w:rStyle w:val="CharStyle5"/>
          <w:rFonts w:ascii="Arial" w:hAnsi="Arial" w:cs="Arial"/>
        </w:rPr>
        <w:t> </w:t>
      </w:r>
      <w:r w:rsidRPr="00A25C6F">
        <w:rPr>
          <w:rStyle w:val="CharStyle5"/>
          <w:rFonts w:ascii="Arial" w:hAnsi="Arial" w:cs="Arial"/>
        </w:rPr>
        <w:t xml:space="preserve">další doklady stanovené ve smlouvě </w:t>
      </w:r>
      <w:r w:rsidRPr="00A25C6F">
        <w:rPr>
          <w:rFonts w:ascii="Arial" w:hAnsi="Arial" w:cs="Arial"/>
        </w:rPr>
        <w:t>o energetických službách</w:t>
      </w:r>
      <w:r w:rsidR="00E37CA7">
        <w:rPr>
          <w:rStyle w:val="CharStyle5"/>
          <w:rFonts w:ascii="Arial" w:hAnsi="Arial" w:cs="Arial"/>
        </w:rPr>
        <w:t xml:space="preserve"> mezi příkazcem a </w:t>
      </w:r>
      <w:r w:rsidRPr="00A25C6F">
        <w:rPr>
          <w:rStyle w:val="CharStyle5"/>
          <w:rFonts w:ascii="Arial" w:hAnsi="Arial" w:cs="Arial"/>
        </w:rPr>
        <w:t xml:space="preserve">zhotovitelem a stavebním povolení (pokud je vystaveno) a dokumenty nutné pro převzetí stavby a následnou kolaudaci (pokud je vyžadována), </w:t>
      </w:r>
      <w:r w:rsidRPr="00A25C6F">
        <w:rPr>
          <w:rFonts w:ascii="Arial" w:hAnsi="Arial" w:cs="Arial"/>
        </w:rPr>
        <w:t>zajistit podpis předávacího protokolu při předání a převzetí stavby, resp. dílčí části stavby, zhotovit soupis vad a nedodělků, a to včetně soupisu skutečně provedených dodávek a prací; účastnit se na závěrečné kontrolní prohlídce včetně poskytnutí veškeré součinnosti příkazci pro vydání kolaudačního rozhodnutí a provést kontrolu dokladů, které doloží zhotovitel stavby k předání dokončené stavby, resp. dílčí části stavby;</w:t>
      </w:r>
    </w:p>
    <w:p w:rsidR="00A25C6F" w:rsidRPr="00A25C6F" w:rsidRDefault="00A25C6F" w:rsidP="00A25C6F">
      <w:pPr>
        <w:pStyle w:val="Bezmezer"/>
        <w:numPr>
          <w:ilvl w:val="0"/>
          <w:numId w:val="17"/>
        </w:numPr>
        <w:spacing w:line="276" w:lineRule="auto"/>
        <w:jc w:val="both"/>
        <w:rPr>
          <w:rFonts w:ascii="Arial" w:hAnsi="Arial" w:cs="Arial"/>
        </w:rPr>
      </w:pPr>
      <w:r w:rsidRPr="00A25C6F">
        <w:rPr>
          <w:rStyle w:val="CharStyle5"/>
          <w:rFonts w:ascii="Arial" w:hAnsi="Arial" w:cs="Arial"/>
        </w:rPr>
        <w:t>kontrolovat odstraňování případných vad a nedo</w:t>
      </w:r>
      <w:r w:rsidR="00E37CA7">
        <w:rPr>
          <w:rStyle w:val="CharStyle5"/>
          <w:rFonts w:ascii="Arial" w:hAnsi="Arial" w:cs="Arial"/>
        </w:rPr>
        <w:t>dělků zjištěných při přejímce v </w:t>
      </w:r>
      <w:r w:rsidRPr="00A25C6F">
        <w:rPr>
          <w:rStyle w:val="CharStyle5"/>
          <w:rFonts w:ascii="Arial" w:hAnsi="Arial" w:cs="Arial"/>
        </w:rPr>
        <w:t>dohodnutých termínech;</w:t>
      </w:r>
    </w:p>
    <w:p w:rsidR="00A25C6F" w:rsidRPr="00A25C6F" w:rsidRDefault="00A25C6F" w:rsidP="00A25C6F">
      <w:pPr>
        <w:pStyle w:val="Bezmezer"/>
        <w:numPr>
          <w:ilvl w:val="0"/>
          <w:numId w:val="17"/>
        </w:numPr>
        <w:spacing w:line="276" w:lineRule="auto"/>
        <w:jc w:val="both"/>
        <w:rPr>
          <w:rStyle w:val="CharStyle5"/>
          <w:rFonts w:ascii="Arial" w:hAnsi="Arial" w:cs="Arial"/>
        </w:rPr>
      </w:pPr>
      <w:r w:rsidRPr="00A25C6F">
        <w:rPr>
          <w:rStyle w:val="CharStyle5"/>
          <w:rFonts w:ascii="Arial" w:hAnsi="Arial" w:cs="Arial"/>
        </w:rPr>
        <w:t xml:space="preserve">účastnit se na kolaudačním řízení a spolupracovat při obstarání příslušných dokladů pro kolaudační řízení (pokud </w:t>
      </w:r>
      <w:r w:rsidR="00026A42">
        <w:rPr>
          <w:rStyle w:val="CharStyle5"/>
          <w:rFonts w:ascii="Arial" w:hAnsi="Arial" w:cs="Arial"/>
        </w:rPr>
        <w:t>si tuto činnost příkazce vyžádá</w:t>
      </w:r>
      <w:r w:rsidRPr="00A25C6F">
        <w:rPr>
          <w:rStyle w:val="CharStyle5"/>
          <w:rFonts w:ascii="Arial" w:hAnsi="Arial" w:cs="Arial"/>
        </w:rPr>
        <w:t>);</w:t>
      </w:r>
    </w:p>
    <w:p w:rsidR="00A25C6F" w:rsidRPr="00233045" w:rsidRDefault="00A25C6F" w:rsidP="00D04D23">
      <w:pPr>
        <w:pStyle w:val="Bezmezer"/>
        <w:numPr>
          <w:ilvl w:val="0"/>
          <w:numId w:val="17"/>
        </w:numPr>
        <w:tabs>
          <w:tab w:val="left" w:pos="851"/>
        </w:tabs>
        <w:spacing w:line="276" w:lineRule="auto"/>
        <w:jc w:val="both"/>
        <w:rPr>
          <w:rFonts w:ascii="Arial" w:hAnsi="Arial" w:cs="Arial"/>
        </w:rPr>
      </w:pPr>
      <w:r w:rsidRPr="00233045">
        <w:rPr>
          <w:rFonts w:ascii="Arial" w:hAnsi="Arial" w:cs="Arial"/>
        </w:rPr>
        <w:t>další činnosti vedoucí k zabezpečení plynulého a co nejhospodárnějšího postupu vedoucímu ke zdárnému dokončení stavby,</w:t>
      </w:r>
      <w:r w:rsidR="0049337D" w:rsidRPr="00233045">
        <w:rPr>
          <w:rFonts w:ascii="Arial" w:hAnsi="Arial" w:cs="Arial"/>
        </w:rPr>
        <w:t xml:space="preserve"> </w:t>
      </w:r>
      <w:r w:rsidRPr="00233045">
        <w:rPr>
          <w:rFonts w:ascii="Arial" w:hAnsi="Arial" w:cs="Arial"/>
        </w:rPr>
        <w:t>s tím, že fyzické kontroly stavby ve vztahu k činnostem TDS je příkazník povinen provádět v rozsahu alespoň 2x týdně.</w:t>
      </w:r>
    </w:p>
    <w:p w:rsidR="00DA01AF" w:rsidRPr="00DA01AF" w:rsidRDefault="00DA01AF" w:rsidP="00DA01AF">
      <w:pPr>
        <w:pStyle w:val="Nadpis2"/>
        <w:spacing w:line="276" w:lineRule="auto"/>
      </w:pPr>
      <w:r w:rsidRPr="00D04D23">
        <w:t>Příkazník se touto smlouvou zavazuje provádět při realizaci stavby všechny činnosti koordinátora BOZP,</w:t>
      </w:r>
      <w:r w:rsidRPr="00DA01AF">
        <w:t xml:space="preserve"> a to v souladu se zákonem o zajištění dalších podmínek bezpečnosti a ochrany zdraví při práci, nařízením o bližších požadavcích na bezpečnost a ochranu zdraví při práci na staveništích a dalšími souvisejícími právními a ostatními předpisy, zejména:</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 xml:space="preserve">provést v den předání staveniště proškolení osob pracujících na stavbě z oblasti bezpečnosti a ochrany zdraví při práci a zajistit prohlášení těchto osob o tom, že byly proškoleny; </w:t>
      </w:r>
    </w:p>
    <w:p w:rsidR="001C1E2A" w:rsidRPr="001C1E2A" w:rsidRDefault="001C1E2A" w:rsidP="001C1E2A">
      <w:pPr>
        <w:pStyle w:val="Bezmezer"/>
        <w:numPr>
          <w:ilvl w:val="0"/>
          <w:numId w:val="16"/>
        </w:numPr>
        <w:spacing w:line="276" w:lineRule="auto"/>
        <w:jc w:val="both"/>
        <w:rPr>
          <w:rFonts w:ascii="Arial" w:hAnsi="Arial" w:cs="Arial"/>
        </w:rPr>
      </w:pPr>
      <w:r w:rsidRPr="001C1E2A">
        <w:rPr>
          <w:rStyle w:val="CharStyle5"/>
          <w:rFonts w:ascii="Arial" w:hAnsi="Arial" w:cs="Arial"/>
        </w:rPr>
        <w:t>zabezpečit zápisy o skutečnostech vztahujících se k BOZP do stavebního deníku;</w:t>
      </w:r>
    </w:p>
    <w:p w:rsidR="001C1E2A" w:rsidRPr="001C1E2A" w:rsidRDefault="001C1E2A" w:rsidP="001C1E2A">
      <w:pPr>
        <w:pStyle w:val="Bezmezer"/>
        <w:numPr>
          <w:ilvl w:val="0"/>
          <w:numId w:val="16"/>
        </w:numPr>
        <w:spacing w:line="276" w:lineRule="auto"/>
        <w:jc w:val="both"/>
        <w:rPr>
          <w:rFonts w:ascii="Arial" w:hAnsi="Arial" w:cs="Arial"/>
        </w:rPr>
      </w:pPr>
      <w:r w:rsidRPr="001C1E2A">
        <w:rPr>
          <w:rFonts w:ascii="Arial" w:hAnsi="Arial" w:cs="Arial"/>
        </w:rPr>
        <w:t xml:space="preserve">vypracovat plán bezpečnosti a ochrany zdraví při práci na staveništi </w:t>
      </w:r>
      <w:r w:rsidRPr="001C1E2A">
        <w:rPr>
          <w:rStyle w:val="CharStyle5"/>
          <w:rFonts w:ascii="Arial" w:hAnsi="Arial" w:cs="Arial"/>
        </w:rPr>
        <w:t>respektující znění DPS a ostatní související podmínky</w:t>
      </w:r>
      <w:r w:rsidRPr="001C1E2A">
        <w:rPr>
          <w:rFonts w:ascii="Arial" w:hAnsi="Arial" w:cs="Arial"/>
        </w:rPr>
        <w:t xml:space="preserve"> (dále jen „plán BOZP“) a předat jej příkazci, autorskému dozoru projektanta a zhotoviteli stavby nejpozději v den předání staveniště zhotoviteli, aktualizovat plán BOZP v průběhu realizace stavby včetně aktualizace plánu BOZP z důvodů na straně příkazce a předat bez zbytečného odkladu aktualizovaný plán BOZP shora uvedeným osobám, popřípadě i dalším osobám na základě pokynu příkazce; </w:t>
      </w:r>
      <w:r w:rsidRPr="001C1E2A">
        <w:rPr>
          <w:rStyle w:val="CharStyle5"/>
          <w:rFonts w:ascii="Arial" w:hAnsi="Arial" w:cs="Arial"/>
        </w:rPr>
        <w:t>zpracovat další podklady nutné pro zajištění bezpečného a</w:t>
      </w:r>
      <w:r w:rsidR="00E37CA7">
        <w:rPr>
          <w:rStyle w:val="CharStyle5"/>
          <w:rFonts w:ascii="Arial" w:hAnsi="Arial" w:cs="Arial"/>
        </w:rPr>
        <w:t> </w:t>
      </w:r>
      <w:r w:rsidRPr="001C1E2A">
        <w:rPr>
          <w:rStyle w:val="CharStyle5"/>
          <w:rFonts w:ascii="Arial" w:hAnsi="Arial" w:cs="Arial"/>
        </w:rPr>
        <w:t>zdraví neohrožujícího pracovního prostředí a podmínek výkonu práce, na které je třeba vzít zřetel s ohledem na charakter stavby a její realizaci;</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aktualizovat oznámení o zahájení prací, dojde-li k podstatným změnám, a zaslat jeho aktualizované znění příslušnému oblastnímu inspektorátu práce;</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informovat zhotovitele stavby a poddodavatele, případně autorský dozor projektanta, o bezpečnostních a zdravotních rizicích, která vznikla na staveništi během postupu prací;</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 xml:space="preserve">upozornit zhotovitele stavby na nedostatky v uplatňování požadavků na BOZP zjištěné na staveništi, resp. pracovišti převzatém zhotovitelem, a vyžadovat zjednání nápravy </w:t>
      </w:r>
      <w:r w:rsidRPr="001C1E2A">
        <w:rPr>
          <w:rFonts w:cs="Arial"/>
          <w:szCs w:val="22"/>
        </w:rPr>
        <w:lastRenderedPageBreak/>
        <w:t xml:space="preserve">a navrhovat k tomu přiměřená opatření a sledovat přijetí těchto opatření zhotovitelem stavby; </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oznámit příkazci nedostatky uvedené v předchozím písmenu f) tohoto odstavce, nebyla-li zhotovitelem neprodleně přijata opatření ke zjednání nápravy;</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poskytovat příkazci odborné konzultace v problematice BOZP a odbornou podporu při jednáních s orgány státní správy a samosprávy ve věcech BOZP;</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kontrolovat dle potřeby, minimálně však 2x měsíčně, dodržování plánu BOZP zhotovitelem stavby a poddodavateli, provádět zápisy z těchto kontrolních prohlídek a při zjištění nedostatků v BOZP stanovit opatření a termíny k nápravě</w:t>
      </w:r>
      <w:r w:rsidRPr="001C1E2A">
        <w:rPr>
          <w:rStyle w:val="Odkaznakoment"/>
          <w:rFonts w:cs="Arial"/>
          <w:sz w:val="22"/>
          <w:szCs w:val="22"/>
        </w:rPr>
        <w:t>. O</w:t>
      </w:r>
      <w:r w:rsidR="00E37CA7">
        <w:rPr>
          <w:rStyle w:val="Odkaznakoment"/>
          <w:rFonts w:cs="Arial"/>
          <w:sz w:val="22"/>
          <w:szCs w:val="22"/>
        </w:rPr>
        <w:t> </w:t>
      </w:r>
      <w:r w:rsidRPr="001C1E2A">
        <w:rPr>
          <w:rFonts w:cs="Arial"/>
          <w:szCs w:val="22"/>
        </w:rPr>
        <w:t>provádění této kontroly učinit zápis do stavebního deníku a informovat zástupce příkazce;</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podle potřeby organizovat kontrolní dny k dodržování plánu BOZP za účasti zhotovitele stavby a příkazce za účelem projednání zjištěných nedostatků. Příkazník může tuto povinnost splnit účastí na kontrolních dnech stavby;</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účastnit se kontrolních prohlídek stavby, pokud k nim byl přizván stavebním úřadem případně jinými dotčenými správními úřady;</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dostavit se na kontrolní prohlídku na základě výzvy příkazce; tuto výzvu je příkazce povinen odeslat příkazníkovi min. 3 pracovní dny před termínem konání kontrolní prohlídky svolané příkazcem na kontaktní e-mail příkazníka;</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dohlížet nad dodržováním pracovních a technologických postupů pro jednotlivé práce a činnosti z hlediska dodržování zásad BOZP;</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kontrolovat způsob zabezpečení staveniště, včetně vstupu a vjezdu na staveniště, a to s cílem zamezit vstupu nepovolaným osobám, zajistit bezpečnostní značení;</w:t>
      </w:r>
    </w:p>
    <w:p w:rsidR="001C1E2A" w:rsidRPr="001C1E2A" w:rsidRDefault="001C1E2A" w:rsidP="001C1E2A">
      <w:pPr>
        <w:pStyle w:val="Odstavecseseznamem"/>
        <w:widowControl w:val="0"/>
        <w:numPr>
          <w:ilvl w:val="0"/>
          <w:numId w:val="16"/>
        </w:numPr>
        <w:tabs>
          <w:tab w:val="left" w:pos="0"/>
        </w:tabs>
        <w:spacing w:before="0" w:line="276" w:lineRule="auto"/>
        <w:rPr>
          <w:rFonts w:cs="Arial"/>
          <w:szCs w:val="22"/>
        </w:rPr>
      </w:pPr>
      <w:r w:rsidRPr="001C1E2A">
        <w:rPr>
          <w:rFonts w:cs="Arial"/>
          <w:szCs w:val="22"/>
        </w:rPr>
        <w:t>vést dokumentaci se záznamy o provedené činnosti, o výsledcích kontrol, o zjištěných závadách, výsledcích kontrolní činnosti a údajích o tom, zda a jakým způsobem byly tyto nedostatky odstraněny nebo zda přetrvávají;</w:t>
      </w:r>
    </w:p>
    <w:p w:rsidR="001C1E2A" w:rsidRPr="001C1E2A" w:rsidRDefault="001C1E2A" w:rsidP="001C1E2A">
      <w:pPr>
        <w:pStyle w:val="Bezmezer"/>
        <w:numPr>
          <w:ilvl w:val="0"/>
          <w:numId w:val="16"/>
        </w:numPr>
        <w:spacing w:line="276" w:lineRule="auto"/>
        <w:jc w:val="both"/>
        <w:rPr>
          <w:rFonts w:ascii="Arial" w:hAnsi="Arial" w:cs="Arial"/>
        </w:rPr>
      </w:pPr>
      <w:r w:rsidRPr="001C1E2A">
        <w:rPr>
          <w:rStyle w:val="CharStyle5"/>
          <w:rFonts w:ascii="Arial" w:hAnsi="Arial" w:cs="Arial"/>
        </w:rPr>
        <w:t>spolupracovat se zhotovitelem stavby při stanovení času potřebného k bezpečnému provádění jednotlivých činností, při tvorbě povinné dokumentace pro zařízení staveniště a stavbu v oblasti BOZP; koordinátor dbá, aby jím doporučené řešení bylo technicky realizovatelné a v souladu s právními a ostatními předpisy k zajištění BOZP;</w:t>
      </w:r>
    </w:p>
    <w:p w:rsidR="001C1E2A" w:rsidRPr="001C1E2A" w:rsidRDefault="001C1E2A" w:rsidP="001C1E2A">
      <w:pPr>
        <w:pStyle w:val="Bezmezer"/>
        <w:numPr>
          <w:ilvl w:val="0"/>
          <w:numId w:val="16"/>
        </w:numPr>
        <w:spacing w:line="276" w:lineRule="auto"/>
        <w:jc w:val="both"/>
        <w:rPr>
          <w:rFonts w:ascii="Arial" w:hAnsi="Arial" w:cs="Arial"/>
        </w:rPr>
      </w:pPr>
      <w:r w:rsidRPr="001C1E2A">
        <w:rPr>
          <w:rStyle w:val="CharStyle5"/>
          <w:rFonts w:ascii="Arial" w:hAnsi="Arial" w:cs="Arial"/>
        </w:rPr>
        <w:t>sledovat dodržování plánu BOZP zhotovitelem stavby a poddodavateli, provádění zápisů z kontrolních dnů o zjištěných nedostatcích v BOZP na staveništi a návrzích opatření vedoucích k odstranění nedostatků;</w:t>
      </w:r>
    </w:p>
    <w:p w:rsidR="001C1E2A" w:rsidRPr="001C1E2A" w:rsidRDefault="001C1E2A" w:rsidP="001C1E2A">
      <w:pPr>
        <w:pStyle w:val="Bezmezer"/>
        <w:numPr>
          <w:ilvl w:val="0"/>
          <w:numId w:val="16"/>
        </w:numPr>
        <w:spacing w:line="276" w:lineRule="auto"/>
        <w:jc w:val="both"/>
        <w:rPr>
          <w:rFonts w:ascii="Arial" w:hAnsi="Arial" w:cs="Arial"/>
        </w:rPr>
      </w:pPr>
      <w:r w:rsidRPr="001C1E2A">
        <w:rPr>
          <w:rStyle w:val="CharStyle5"/>
          <w:rFonts w:ascii="Arial" w:hAnsi="Arial" w:cs="Arial"/>
        </w:rPr>
        <w:t>provádět aktualizaci plánu BOZP na základě nových skutečností zjištěných při kontrolních dnech stavby a při kontrolách mimo harmonogram kontrolních dnů;</w:t>
      </w:r>
    </w:p>
    <w:p w:rsidR="001C1E2A" w:rsidRPr="001C1E2A" w:rsidRDefault="001C1E2A" w:rsidP="001C1E2A">
      <w:pPr>
        <w:pStyle w:val="Bezmezer"/>
        <w:numPr>
          <w:ilvl w:val="0"/>
          <w:numId w:val="16"/>
        </w:numPr>
        <w:spacing w:line="276" w:lineRule="auto"/>
        <w:jc w:val="both"/>
        <w:rPr>
          <w:rFonts w:ascii="Arial" w:hAnsi="Arial" w:cs="Arial"/>
        </w:rPr>
      </w:pPr>
      <w:r w:rsidRPr="001C1E2A">
        <w:rPr>
          <w:rStyle w:val="CharStyle5"/>
          <w:rFonts w:ascii="Arial" w:hAnsi="Arial" w:cs="Arial"/>
        </w:rPr>
        <w:t>účastnit se vyšetřování pracovních úrazů a vypracování požadované dokumentace;</w:t>
      </w:r>
    </w:p>
    <w:p w:rsidR="001C1E2A" w:rsidRPr="001C1E2A" w:rsidRDefault="001C1E2A" w:rsidP="001C1E2A">
      <w:pPr>
        <w:pStyle w:val="Bezmezer"/>
        <w:numPr>
          <w:ilvl w:val="0"/>
          <w:numId w:val="16"/>
        </w:numPr>
        <w:spacing w:line="276" w:lineRule="auto"/>
        <w:jc w:val="both"/>
        <w:rPr>
          <w:rFonts w:ascii="Arial" w:hAnsi="Arial" w:cs="Arial"/>
        </w:rPr>
      </w:pPr>
      <w:r w:rsidRPr="001C1E2A">
        <w:rPr>
          <w:rStyle w:val="CharStyle5"/>
          <w:rFonts w:ascii="Arial" w:hAnsi="Arial" w:cs="Arial"/>
        </w:rPr>
        <w:t>být přítomen při jednání s orgány státního odborného dozoru nad BOZP, se stavebním úřadem a ostatními dotčenými orgány, účast na kontrolních prohlídkách stavby vyvolaných těmito orgány;</w:t>
      </w:r>
    </w:p>
    <w:p w:rsidR="00DA01AF" w:rsidRPr="00DE3BCA" w:rsidRDefault="001C1E2A" w:rsidP="00DE3BCA">
      <w:pPr>
        <w:pStyle w:val="Odstavecseseznamem"/>
        <w:widowControl w:val="0"/>
        <w:numPr>
          <w:ilvl w:val="0"/>
          <w:numId w:val="16"/>
        </w:numPr>
        <w:tabs>
          <w:tab w:val="left" w:pos="0"/>
        </w:tabs>
        <w:spacing w:before="0" w:line="276" w:lineRule="auto"/>
        <w:rPr>
          <w:rFonts w:cs="Arial"/>
          <w:szCs w:val="22"/>
        </w:rPr>
      </w:pPr>
      <w:r w:rsidRPr="001C1E2A">
        <w:rPr>
          <w:rFonts w:cs="Arial"/>
          <w:szCs w:val="22"/>
        </w:rPr>
        <w:t>provádět další činnosti stanovené zákonem č. 309/2006 Sb. a nařízením vlády č. 591/2006 Sb.</w:t>
      </w:r>
    </w:p>
    <w:p w:rsidR="00A06E6F" w:rsidRDefault="00DA01AF" w:rsidP="00A06E6F">
      <w:pPr>
        <w:pStyle w:val="Nadpis2"/>
        <w:spacing w:line="276" w:lineRule="auto"/>
      </w:pPr>
      <w:r w:rsidRPr="00DA01AF">
        <w:t>Při výkonu TDS a BOZP je příkazník povinen provádět i činnosti výše výslovně neuvedené, pokud o nich příkazník, jakožto odborník, ví nebo má vědět, že jsou nezbytné pro zajištění bezpečnosti a ochrany zdraví při práci na staveništi a pro řádné provádění stavby, tj. pro provádění stavby v nejvyšší normové jakosti kvality v souladu s platnými právními předpisy, ČSN a EN a dalšími příslušnými předpisy a metodikami.</w:t>
      </w:r>
      <w:r w:rsidR="00A06E6F">
        <w:t xml:space="preserve"> </w:t>
      </w:r>
    </w:p>
    <w:p w:rsidR="00A06E6F" w:rsidRDefault="00A06E6F" w:rsidP="00A06E6F">
      <w:pPr>
        <w:pStyle w:val="Nadpis2"/>
        <w:spacing w:line="276" w:lineRule="auto"/>
      </w:pPr>
      <w:r>
        <w:lastRenderedPageBreak/>
        <w:t>P</w:t>
      </w:r>
      <w:r w:rsidRPr="00A06E6F">
        <w:t>říkazník se zavazuje předávat oprávněné osobě příkazce k odsouhlasení výkaz práce za předchozí kalendářní měsíc, který bude obsahovat alespoň označení kalendářního měsíce, za který je výkaz vypracován, datum, rozsah a popis provedených činností podle této smlouvy a počet hodin strávených činností TDS/BOZP, a hodnotící zprávu o časovém průběhu stavby za uplynulý kalendářní měsíc, přičemž příkazník se zavazuje výkaz práce spolu s hodnotící zprávou o časovém průběhu stavby předložit příkazci vždy nejpozději do</w:t>
      </w:r>
      <w:r w:rsidR="00E37CA7">
        <w:t> </w:t>
      </w:r>
      <w:r w:rsidRPr="00A06E6F">
        <w:t>10 pracovních dní od skončení kalendářního měsíce, za který jsou uvedené dokumenty zpracovány.</w:t>
      </w:r>
    </w:p>
    <w:p w:rsidR="00DA01AF" w:rsidRDefault="00DA01AF" w:rsidP="00C11156">
      <w:pPr>
        <w:pStyle w:val="Nadpis2"/>
        <w:spacing w:line="276" w:lineRule="auto"/>
      </w:pPr>
      <w:r w:rsidRPr="00DA01AF">
        <w:t xml:space="preserve">Příkazník je povinen mít po celou dobu trvání této smlouvy uzavřenou platnou a účinnou pojistnou smlouvu o pojištění odpovědnosti za škodu způsobenou třetím osobám s limitem pojistného plnění ve výši minimálně </w:t>
      </w:r>
      <w:r w:rsidR="002E1984">
        <w:t xml:space="preserve">2.000.000,- Kč </w:t>
      </w:r>
      <w:r w:rsidRPr="00DA01AF">
        <w:t>na jednu škodní událost a na žádost příkazce tuto smlouvu příkazci předložit.</w:t>
      </w:r>
    </w:p>
    <w:p w:rsidR="00DA01AF" w:rsidRPr="00DA01AF" w:rsidRDefault="002E1984" w:rsidP="002E1984">
      <w:pPr>
        <w:pStyle w:val="Nadpis2"/>
      </w:pPr>
      <w:r w:rsidRPr="002E1984">
        <w:t>Příkazník se zavazuje zachovávat mlčenlivost ohledně skutečností, které jsou obsahem této smlouvy, které se v souvislosti s plněním předmětu této smlouvy dozvěděl anebo které příkazce označil za důvěrné, a dále ohledně osobních údajů pracovníků, které mu byly za účelem plnění povinností z</w:t>
      </w:r>
      <w:r>
        <w:t xml:space="preserve"> této smlouvy příkazcem předány</w:t>
      </w:r>
      <w:r w:rsidR="0092348C" w:rsidRPr="0092348C">
        <w:t>.</w:t>
      </w:r>
      <w:r w:rsidR="0092348C">
        <w:t xml:space="preserve"> </w:t>
      </w:r>
      <w:r w:rsidR="00DA01AF" w:rsidRPr="00DA01AF">
        <w:t>Povinnost mlčenlivosti se nevztahuje na informace, které se staly obecně známými za předpokladu, že se tak nestalo porušením některé z povinností vyplývajících ze smlouvy anebo o</w:t>
      </w:r>
      <w:r w:rsidR="0092348C">
        <w:t> </w:t>
      </w:r>
      <w:r w:rsidR="00DA01AF" w:rsidRPr="00DA01AF">
        <w:t>kterých tak stanoví zákon, zpřístupnění je však možné vždy jen v nezbytném rozsahu. Příkazník se dále zavazuje s příkazcem na pokyn příkazce uzavřít zpracovatelskou smlouvu, kterou budou upravena práva a povinnosti příkazce ve vztahu k ochraně osobních údajů osob uvedených v seznamu pracovníků zhotovitele stavby (obsahující jméno, příjmení a číslo občanského průkazu či jiného průkazu k prokázání totožnosti příslušného pracovníka), přičemž tento seznam pracovníků zhotovitele bude sloužit jen pro kontrolu osob oprávněných se zdržovat na staveništi a pro potřeby výkonu BOZP příkazníkem, vč. evidence osob proškolených v rámci BOZP. V případě, že příkazník bude některou z činností uvedených v této smlouvě vykonávat prostřednictvím poddodavatele, je příkazník povinen zajistit uzavření shora uvedené zpracovatelské smlouvy i příslušným poddodavatelem.</w:t>
      </w:r>
    </w:p>
    <w:p w:rsidR="00DA01AF" w:rsidRPr="00DA01AF" w:rsidRDefault="00DA01AF" w:rsidP="0092348C">
      <w:pPr>
        <w:pStyle w:val="Nadpis2"/>
        <w:spacing w:line="276" w:lineRule="auto"/>
      </w:pPr>
      <w:r w:rsidRPr="00DA01AF">
        <w:t>Příkazník se zavazuje po celou dobu trvání této smlouvy zachovat kvalifikaci, kvalitu, specializaci a počet členů svého realizačního týmu v souladu se svou nabídkou k veřejné zakázce a v souladu s přílohou č. 1 této smlouvy a změnit počet členů, personální složení realizačního týmu anebo specializaci jednotlivých členů realizačního týmu pouze na</w:t>
      </w:r>
      <w:r w:rsidR="00E37CA7">
        <w:t> </w:t>
      </w:r>
      <w:r w:rsidRPr="00DA01AF">
        <w:t>základě předchozího písemného souhlasu příkazce. Příkazce je povinen se k navržené změně vyjádřit nejpozději do 5 pracovních dnů od doručení návrhu s tím, že nevyjádří-li se v uvedené lhůtě, má se za to, že se změnou souhlasí.</w:t>
      </w:r>
    </w:p>
    <w:p w:rsidR="00DA01AF" w:rsidRPr="00DA01AF" w:rsidRDefault="00DA01AF" w:rsidP="0092348C">
      <w:pPr>
        <w:pStyle w:val="Nadpis2"/>
        <w:spacing w:line="276" w:lineRule="auto"/>
      </w:pPr>
      <w:r w:rsidRPr="00DA01AF">
        <w:t xml:space="preserve">Příkazník je povinen se při plnění této smlouvy řídit pokyny příkazce a postupovat v úzké součinnosti s příkazcem. Příkazník je povinen poskytnout součinnost autorskému dozoru a dalším osobám zúčastněným na stavbě na základě pokynu příkazce. </w:t>
      </w:r>
    </w:p>
    <w:p w:rsidR="00DA01AF" w:rsidRPr="00DA01AF" w:rsidRDefault="00DA01AF" w:rsidP="0092348C">
      <w:pPr>
        <w:pStyle w:val="Nadpis2"/>
        <w:spacing w:line="276" w:lineRule="auto"/>
      </w:pPr>
      <w:r w:rsidRPr="00DA01AF">
        <w:t>Příkazník je povinen při výkonu činnosti TDS a BOZP postupovat s náležitou odbornou péčí, v souladu se zájmy příkazce, v termínech podle pokynů příkazce a v souladu s</w:t>
      </w:r>
      <w:r w:rsidR="0092348C">
        <w:t> </w:t>
      </w:r>
      <w:r w:rsidRPr="00DA01AF">
        <w:t>platnými</w:t>
      </w:r>
      <w:r w:rsidR="0092348C">
        <w:t> </w:t>
      </w:r>
      <w:r w:rsidRPr="00DA01AF">
        <w:t>právními</w:t>
      </w:r>
      <w:r w:rsidR="0092348C">
        <w:t> </w:t>
      </w:r>
      <w:r w:rsidRPr="00DA01AF">
        <w:t xml:space="preserve">a ostatními předpisy a včas oznámit příkazci všechny okolnosti, které </w:t>
      </w:r>
      <w:r w:rsidRPr="00DA01AF">
        <w:lastRenderedPageBreak/>
        <w:t>zjistí při výkonu své činnosti, a jež mohou mít vliv na změnu pokynů příkazce v rámci plnění předmětu této smlouvy.</w:t>
      </w:r>
    </w:p>
    <w:p w:rsidR="00DA01AF" w:rsidRPr="00DA01AF" w:rsidRDefault="00DA01AF" w:rsidP="0092348C">
      <w:pPr>
        <w:pStyle w:val="Nadpis2"/>
        <w:spacing w:line="276" w:lineRule="auto"/>
      </w:pPr>
      <w:r w:rsidRPr="00DA01AF">
        <w:t>Příkazník je povinen kdykoli v průběhu plnění této smlouvy upozornit příkazce na</w:t>
      </w:r>
      <w:r w:rsidR="00E37CA7">
        <w:t> </w:t>
      </w:r>
      <w:r w:rsidRPr="00DA01AF">
        <w:t>nevhodnost jeho pokynů a postupů, případně na zjevný rozpor pokynů příkazce s DPS nebo s jiným souvisejícím dokumentem nebo právním předpisem.</w:t>
      </w:r>
    </w:p>
    <w:p w:rsidR="009905FC" w:rsidRDefault="009905FC" w:rsidP="009905FC">
      <w:pPr>
        <w:pStyle w:val="Nadpis2"/>
        <w:spacing w:after="240" w:line="276" w:lineRule="auto"/>
      </w:pPr>
      <w:r>
        <w:t>Smluvní strany sjednávají, že příkazce není povinen příkaz vydat. V takovém případě nevzniká příkazníkovi nárok na odměnu sjednanou v této smlouvě.</w:t>
      </w:r>
    </w:p>
    <w:p w:rsidR="009905FC" w:rsidRPr="00A75C61" w:rsidRDefault="009905FC" w:rsidP="009905FC">
      <w:pPr>
        <w:pStyle w:val="Nadpis1"/>
        <w:spacing w:before="0" w:line="276" w:lineRule="auto"/>
        <w:ind w:left="0"/>
      </w:pPr>
      <w:r>
        <w:br/>
        <w:t>Odměna Příkazníka</w:t>
      </w:r>
    </w:p>
    <w:p w:rsidR="009905FC" w:rsidRPr="00583E75" w:rsidRDefault="009905FC" w:rsidP="00B55BD1">
      <w:pPr>
        <w:pStyle w:val="Nadpis2"/>
        <w:rPr>
          <w:szCs w:val="22"/>
        </w:rPr>
      </w:pPr>
      <w:r w:rsidRPr="00583E75">
        <w:rPr>
          <w:szCs w:val="22"/>
        </w:rPr>
        <w:t xml:space="preserve">Odměna za </w:t>
      </w:r>
      <w:r w:rsidR="00583E75">
        <w:rPr>
          <w:szCs w:val="22"/>
        </w:rPr>
        <w:t>činnost</w:t>
      </w:r>
      <w:r w:rsidR="00D04D23" w:rsidRPr="00583E75">
        <w:rPr>
          <w:szCs w:val="22"/>
        </w:rPr>
        <w:t xml:space="preserve"> příkazníka realizovanou v období od účinnosti této smlouvy do dne převzetí dokončené poslední dílčí části stavby od zhotovitele příkazcem bez výhrad nebo s výhradami je</w:t>
      </w:r>
      <w:r w:rsidR="00583E75" w:rsidRPr="00583E75">
        <w:rPr>
          <w:szCs w:val="22"/>
        </w:rPr>
        <w:t xml:space="preserve"> </w:t>
      </w:r>
      <w:r w:rsidR="00D04D23" w:rsidRPr="00583E75">
        <w:rPr>
          <w:szCs w:val="22"/>
        </w:rPr>
        <w:t xml:space="preserve">stanovena dohodou smluvních stran a činí </w:t>
      </w:r>
      <w:r w:rsidR="00D93B5B">
        <w:rPr>
          <w:szCs w:val="22"/>
        </w:rPr>
        <w:t>470.000 Kč</w:t>
      </w:r>
      <w:r w:rsidRPr="00583E75">
        <w:rPr>
          <w:szCs w:val="22"/>
          <w:lang w:val="en-US"/>
        </w:rPr>
        <w:t xml:space="preserve"> </w:t>
      </w:r>
      <w:r w:rsidRPr="00583E75">
        <w:rPr>
          <w:szCs w:val="22"/>
        </w:rPr>
        <w:t xml:space="preserve">bez DPH, </w:t>
      </w:r>
      <w:r w:rsidR="00D93B5B">
        <w:rPr>
          <w:szCs w:val="22"/>
        </w:rPr>
        <w:t>568.700 Kč</w:t>
      </w:r>
      <w:r w:rsidRPr="00583E75">
        <w:rPr>
          <w:szCs w:val="22"/>
          <w:lang w:val="en-US"/>
        </w:rPr>
        <w:t xml:space="preserve"> s DPH.</w:t>
      </w:r>
    </w:p>
    <w:p w:rsidR="009905FC" w:rsidRDefault="009905FC" w:rsidP="009905FC">
      <w:pPr>
        <w:pStyle w:val="Nadpis2"/>
        <w:spacing w:after="240"/>
      </w:pPr>
      <w:r>
        <w:t xml:space="preserve">Výše odměny je částka pevná, nejvýše přípustná a zahrnuje veškeré náklady </w:t>
      </w:r>
      <w:r w:rsidR="00354F54" w:rsidRPr="00496E91">
        <w:t>účelně vynaložené příkazníkem při zajišťování TDS a BOZP, včetně cestov</w:t>
      </w:r>
      <w:r w:rsidR="00F95C93">
        <w:t>n</w:t>
      </w:r>
      <w:r w:rsidR="00354F54" w:rsidRPr="00496E91">
        <w:t>ého a doby strávené na cestě, jakož i veškeré jeho hotové výdaje</w:t>
      </w:r>
      <w:r w:rsidR="00496E91">
        <w:rPr>
          <w:sz w:val="20"/>
          <w:szCs w:val="20"/>
        </w:rPr>
        <w:t xml:space="preserve"> </w:t>
      </w:r>
      <w:r w:rsidRPr="0061687F">
        <w:t>a může být měněna jen v případě změny sazby DPH, na základě obecně závazného předpisu</w:t>
      </w:r>
      <w:r>
        <w:t xml:space="preserve">. </w:t>
      </w:r>
    </w:p>
    <w:p w:rsidR="009905FC" w:rsidRPr="00A75C61" w:rsidRDefault="009905FC" w:rsidP="009905FC">
      <w:pPr>
        <w:pStyle w:val="Nadpis1"/>
        <w:spacing w:before="0" w:line="276" w:lineRule="auto"/>
        <w:ind w:left="0"/>
      </w:pPr>
      <w:r>
        <w:br/>
      </w:r>
      <w:r w:rsidRPr="00D67643">
        <w:t>Platební podmínky</w:t>
      </w:r>
    </w:p>
    <w:p w:rsidR="00496E91" w:rsidRPr="00496E91" w:rsidRDefault="009905FC" w:rsidP="00496E91">
      <w:pPr>
        <w:pStyle w:val="Nadpis2"/>
        <w:spacing w:line="276" w:lineRule="auto"/>
        <w:rPr>
          <w:sz w:val="20"/>
          <w:szCs w:val="20"/>
        </w:rPr>
      </w:pPr>
      <w:r>
        <w:t xml:space="preserve">Příkazník je oprávněn fakturovat odměnu za realizaci předmětu plnění této smlouvy po bezvadném splnění </w:t>
      </w:r>
      <w:r w:rsidR="00583E75">
        <w:t xml:space="preserve">všech </w:t>
      </w:r>
      <w:r>
        <w:t>svých povinností stanovených v čl. III.</w:t>
      </w:r>
      <w:r w:rsidR="00A77BC4">
        <w:t xml:space="preserve"> a V.</w:t>
      </w:r>
      <w:r>
        <w:t xml:space="preserve"> této smlouvy</w:t>
      </w:r>
      <w:r w:rsidR="00496E91">
        <w:t>.</w:t>
      </w:r>
    </w:p>
    <w:p w:rsidR="009905FC" w:rsidRDefault="00496E91" w:rsidP="009905FC">
      <w:pPr>
        <w:pStyle w:val="Nadpis2"/>
      </w:pPr>
      <w:r>
        <w:t>F</w:t>
      </w:r>
      <w:r w:rsidR="009905FC">
        <w:t>aktur</w:t>
      </w:r>
      <w:r w:rsidR="00583E75">
        <w:t>a</w:t>
      </w:r>
      <w:r w:rsidR="009905FC">
        <w:t xml:space="preserve"> bud</w:t>
      </w:r>
      <w:r w:rsidR="00583E75">
        <w:t>e</w:t>
      </w:r>
      <w:r w:rsidR="009905FC">
        <w:t xml:space="preserve"> mít náležitosti daňových dokladů dle obecně závazných právních předpisů. Lhůta splatnosti faktur</w:t>
      </w:r>
      <w:r w:rsidR="00583E75">
        <w:t>y</w:t>
      </w:r>
      <w:r w:rsidR="009905FC">
        <w:t xml:space="preserve"> bude 21 dnů ode dne jejich doručení příkazci.</w:t>
      </w:r>
    </w:p>
    <w:p w:rsidR="009905FC" w:rsidRDefault="009905FC" w:rsidP="009905FC">
      <w:pPr>
        <w:pStyle w:val="Nadpis2"/>
        <w:spacing w:after="240"/>
      </w:pPr>
      <w:r>
        <w:t>Jestliže faktura nebude obsahovat stanovené náležitosti (případně bude obsahovat chybné údaje), je příkazce oprávněn takovou fakturu vrátit příkazníkovi. Faktur</w:t>
      </w:r>
      <w:r w:rsidR="00583E75">
        <w:t>a</w:t>
      </w:r>
      <w:r>
        <w:t xml:space="preserve"> musí být vrácen</w:t>
      </w:r>
      <w:r w:rsidR="00583E75">
        <w:t>a</w:t>
      </w:r>
      <w:r>
        <w:t xml:space="preserve"> do data jej</w:t>
      </w:r>
      <w:r w:rsidR="00583E75">
        <w:t>í</w:t>
      </w:r>
      <w:r>
        <w:t xml:space="preserve"> splatnosti. Po vrácení faktury je příkazník povinen vystavit novou fakturu se správnými náležitostmi. Do doby, než je vystavena nová faktura s novou lhůtou splatnosti, není příkazce v prodlení s placením příslušné faktury. Splatnost nově vystavené faktury je rovněž 21 dnů od jejího doručení příkazci.</w:t>
      </w:r>
    </w:p>
    <w:p w:rsidR="00496E91" w:rsidRPr="00496E91" w:rsidRDefault="00496E91" w:rsidP="00D04D23">
      <w:pPr>
        <w:pStyle w:val="Nadpis2"/>
        <w:spacing w:after="240" w:line="276" w:lineRule="auto"/>
      </w:pPr>
      <w:r w:rsidRPr="00496E91">
        <w:t>Příkazník přebírá nebezpečí změny okolností ve smyslu ust. § 1765 odst. 2 občanského zákoníku.</w:t>
      </w:r>
      <w:r w:rsidR="00A77BC4">
        <w:t xml:space="preserve"> </w:t>
      </w:r>
    </w:p>
    <w:p w:rsidR="009905FC" w:rsidRPr="00AB7D21" w:rsidRDefault="009905FC" w:rsidP="009905FC">
      <w:pPr>
        <w:pStyle w:val="Nadpis1"/>
        <w:spacing w:before="0" w:line="276" w:lineRule="auto"/>
        <w:ind w:left="0"/>
      </w:pPr>
      <w:r>
        <w:br/>
      </w:r>
      <w:r w:rsidRPr="00AB7D21">
        <w:t>Práva a povinnosti smluvních stran při provádění smlouvy</w:t>
      </w:r>
    </w:p>
    <w:p w:rsidR="009905FC" w:rsidRPr="002B3A2E" w:rsidRDefault="009905FC" w:rsidP="009905FC">
      <w:pPr>
        <w:pStyle w:val="Nadpis2"/>
        <w:spacing w:line="276" w:lineRule="auto"/>
      </w:pPr>
      <w:r>
        <w:t>Příkazník</w:t>
      </w:r>
      <w:r w:rsidRPr="002B3A2E">
        <w:t xml:space="preserve"> je povinen uskutečňovat činnost, která je předmětem tét</w:t>
      </w:r>
      <w:r>
        <w:t>o smlouvy, podle pokynů příkazce</w:t>
      </w:r>
      <w:r w:rsidRPr="002B3A2E">
        <w:t xml:space="preserve"> a </w:t>
      </w:r>
      <w:r>
        <w:t>v souladu s jeho zájmy.</w:t>
      </w:r>
      <w:r w:rsidRPr="00074A1D">
        <w:t xml:space="preserve"> </w:t>
      </w:r>
      <w:r>
        <w:t>Příkazník</w:t>
      </w:r>
      <w:r w:rsidRPr="002B3A2E">
        <w:t xml:space="preserve"> se zavazuje, </w:t>
      </w:r>
      <w:r>
        <w:t xml:space="preserve">že bude průběžně </w:t>
      </w:r>
      <w:r>
        <w:lastRenderedPageBreak/>
        <w:t>informovat příkazce</w:t>
      </w:r>
      <w:r w:rsidRPr="002B3A2E">
        <w:t xml:space="preserve"> o všech skutečnostech a postupech, které zjistí při zařizování záležitosti a jež mohou m</w:t>
      </w:r>
      <w:r>
        <w:t>ít vliv na změnu pokynů příkazce</w:t>
      </w:r>
      <w:r w:rsidRPr="002B3A2E">
        <w:t>.</w:t>
      </w:r>
      <w:r>
        <w:t xml:space="preserve"> </w:t>
      </w:r>
    </w:p>
    <w:p w:rsidR="009905FC" w:rsidRDefault="009905FC" w:rsidP="009905FC">
      <w:pPr>
        <w:pStyle w:val="Nadpis2"/>
        <w:spacing w:line="276" w:lineRule="auto"/>
      </w:pPr>
      <w:r w:rsidRPr="009C2C86">
        <w:t>Příkazník je povinen příkazce na jeho žádost informovat o průběhu plnění příkazu.</w:t>
      </w:r>
    </w:p>
    <w:p w:rsidR="009905FC" w:rsidRPr="00074A1D" w:rsidRDefault="009905FC" w:rsidP="009905FC">
      <w:pPr>
        <w:pStyle w:val="Nadpis2"/>
      </w:pPr>
      <w:r w:rsidRPr="00074A1D">
        <w:t>Při</w:t>
      </w:r>
      <w:r>
        <w:t xml:space="preserve"> </w:t>
      </w:r>
      <w:r w:rsidRPr="00074A1D">
        <w:t>výkonu činnosti příkazník uplatní veškeré náměty a postupy směřující k</w:t>
      </w:r>
      <w:r>
        <w:t> </w:t>
      </w:r>
      <w:r w:rsidRPr="00074A1D">
        <w:t>hospodárn</w:t>
      </w:r>
      <w:r>
        <w:t>é</w:t>
      </w:r>
      <w:r w:rsidRPr="00074A1D">
        <w:t>mu</w:t>
      </w:r>
      <w:r>
        <w:t xml:space="preserve"> z</w:t>
      </w:r>
      <w:r w:rsidRPr="00074A1D">
        <w:t>aji</w:t>
      </w:r>
      <w:r>
        <w:t>š</w:t>
      </w:r>
      <w:r w:rsidRPr="00074A1D">
        <w:t>t</w:t>
      </w:r>
      <w:r>
        <w:t>ě</w:t>
      </w:r>
      <w:r w:rsidRPr="00074A1D">
        <w:t>n</w:t>
      </w:r>
      <w:r>
        <w:t>í</w:t>
      </w:r>
      <w:r w:rsidRPr="00074A1D">
        <w:t xml:space="preserve"> prací a maximální technické úrovni.</w:t>
      </w:r>
    </w:p>
    <w:p w:rsidR="009905FC" w:rsidRDefault="009905FC" w:rsidP="009905FC">
      <w:pPr>
        <w:pStyle w:val="Nadpis2"/>
        <w:spacing w:line="276" w:lineRule="auto"/>
      </w:pPr>
      <w:r>
        <w:t>Příkazník je povinen při výkonu své činnosti upozornit příkazce na zřejmou nesprávnost jeho pokynů, které by mohly mít za následek vznik škody. V případě, že příkazce i přes upozornění příkazníka na splnění pokynů trvá, příkazník neodpovídá za případnou škodu takto vzniklou.</w:t>
      </w:r>
    </w:p>
    <w:p w:rsidR="009905FC" w:rsidRPr="00995751" w:rsidRDefault="009905FC" w:rsidP="009905FC">
      <w:pPr>
        <w:pStyle w:val="Nadpis2"/>
        <w:spacing w:line="276" w:lineRule="auto"/>
      </w:pPr>
      <w:r>
        <w:t>Příkazce</w:t>
      </w:r>
      <w:r w:rsidRPr="00995751">
        <w:t xml:space="preserve"> </w:t>
      </w:r>
      <w:r>
        <w:t>je povinen včas předat příkazníkovi</w:t>
      </w:r>
      <w:r w:rsidRPr="00995751">
        <w:t xml:space="preserve"> úplné</w:t>
      </w:r>
      <w:r>
        <w:t xml:space="preserve"> </w:t>
      </w:r>
      <w:r w:rsidRPr="00995751">
        <w:t>informace, jež jsou nezbytně nutné k věcnému plnění smlouvy, pokud z jejich povahy nevyp</w:t>
      </w:r>
      <w:r>
        <w:t xml:space="preserve">lývá, že je má zajistit příkazník v rámci své činnosti. </w:t>
      </w:r>
    </w:p>
    <w:p w:rsidR="009905FC" w:rsidRDefault="009905FC" w:rsidP="009905FC">
      <w:pPr>
        <w:pStyle w:val="Nadpis2"/>
        <w:spacing w:after="240" w:line="276" w:lineRule="auto"/>
      </w:pPr>
      <w:r>
        <w:t>Příkazce</w:t>
      </w:r>
      <w:r w:rsidRPr="00995751">
        <w:t xml:space="preserve"> je povinen vytvořit řádn</w:t>
      </w:r>
      <w:r>
        <w:t>é podmínky pro činnost příkazníka</w:t>
      </w:r>
      <w:r w:rsidRPr="00995751">
        <w:t xml:space="preserve"> a poskytovat mu během plnění předmětu smlouvy nezbytnou součinnost.</w:t>
      </w:r>
    </w:p>
    <w:p w:rsidR="009905FC" w:rsidRPr="00E92B5C" w:rsidRDefault="009905FC" w:rsidP="009905FC">
      <w:pPr>
        <w:pStyle w:val="Nadpis1"/>
        <w:spacing w:before="0" w:line="276" w:lineRule="auto"/>
        <w:ind w:left="0"/>
      </w:pPr>
      <w:r>
        <w:br/>
      </w:r>
      <w:r w:rsidRPr="001B2C3A">
        <w:t>Smluvní pokuty</w:t>
      </w:r>
    </w:p>
    <w:p w:rsidR="009905FC" w:rsidRPr="00A06E6F" w:rsidRDefault="00A06E6F" w:rsidP="00A06E6F">
      <w:pPr>
        <w:pStyle w:val="Nadpis2"/>
      </w:pPr>
      <w:r w:rsidRPr="00A06E6F">
        <w:t>V případě, že příkazník nebude plnit své povinnosti vyplývající z této smlouvy řádně a</w:t>
      </w:r>
      <w:r w:rsidR="007C7C63">
        <w:t> </w:t>
      </w:r>
      <w:r w:rsidRPr="00A06E6F">
        <w:t>včas, je příkazce oprávněn požadovat zaplacení a příkazník je povinen příkazci z</w:t>
      </w:r>
      <w:r w:rsidR="00DF54D0">
        <w:t xml:space="preserve">aplatit smluvní pokutu ve </w:t>
      </w:r>
      <w:r w:rsidR="00DF54D0" w:rsidRPr="00D24584">
        <w:t xml:space="preserve">výši </w:t>
      </w:r>
      <w:r w:rsidR="00DF54D0" w:rsidRPr="00D04D23">
        <w:t>2</w:t>
      </w:r>
      <w:r w:rsidR="00D24584" w:rsidRPr="00D04D23">
        <w:t>.</w:t>
      </w:r>
      <w:r w:rsidR="00DF54D0" w:rsidRPr="00D04D23">
        <w:t>000</w:t>
      </w:r>
      <w:r w:rsidR="00D24584" w:rsidRPr="00D04D23">
        <w:t>,-</w:t>
      </w:r>
      <w:r w:rsidR="00DF54D0" w:rsidRPr="00D04D23">
        <w:t xml:space="preserve"> Kč</w:t>
      </w:r>
      <w:r w:rsidR="00DF54D0" w:rsidRPr="00D24584">
        <w:t xml:space="preserve"> </w:t>
      </w:r>
      <w:r w:rsidRPr="00D24584">
        <w:t>za</w:t>
      </w:r>
      <w:r w:rsidRPr="00A06E6F">
        <w:t xml:space="preserve"> každý jednotlivý případ porušení smluvní povinnosti.</w:t>
      </w:r>
    </w:p>
    <w:p w:rsidR="009905FC" w:rsidRDefault="009905FC" w:rsidP="009905FC">
      <w:pPr>
        <w:pStyle w:val="Nadpis2"/>
      </w:pPr>
      <w:r w:rsidRPr="003A6198">
        <w:t xml:space="preserve">Výše uvedenými </w:t>
      </w:r>
      <w:r>
        <w:t>s</w:t>
      </w:r>
      <w:r w:rsidRPr="003A6198">
        <w:t>mluvními pokutami není dotčen nárok příkazce na náhradu škody</w:t>
      </w:r>
      <w:r w:rsidR="00D24584">
        <w:t>.</w:t>
      </w:r>
    </w:p>
    <w:p w:rsidR="009905FC" w:rsidRDefault="009905FC" w:rsidP="009905FC">
      <w:pPr>
        <w:pStyle w:val="Nadpis2"/>
        <w:spacing w:after="240"/>
      </w:pPr>
      <w:r w:rsidRPr="00FB3DB9">
        <w:t>Smluvní pokuta</w:t>
      </w:r>
      <w:r w:rsidR="007C7C63">
        <w:t xml:space="preserve"> je splatná dnem porušení povinnosti příkazníkem a</w:t>
      </w:r>
      <w:r w:rsidRPr="00FB3DB9">
        <w:t xml:space="preserve"> bude uhrazena na </w:t>
      </w:r>
      <w:r>
        <w:t>z</w:t>
      </w:r>
      <w:r w:rsidRPr="00FB3DB9">
        <w:t>ákladě faktury vystavené příslušnou smluvní</w:t>
      </w:r>
      <w:r>
        <w:t xml:space="preserve"> stranou. </w:t>
      </w:r>
      <w:r w:rsidRPr="00FB3DB9">
        <w:t>Splatnost této faktury</w:t>
      </w:r>
      <w:r>
        <w:t xml:space="preserve"> </w:t>
      </w:r>
      <w:r w:rsidRPr="00FB3DB9">
        <w:t xml:space="preserve">je </w:t>
      </w:r>
      <w:r>
        <w:t>14</w:t>
      </w:r>
      <w:r w:rsidRPr="00FB3DB9">
        <w:t xml:space="preserve"> dnů </w:t>
      </w:r>
      <w:r>
        <w:t>o</w:t>
      </w:r>
      <w:r w:rsidRPr="00FB3DB9">
        <w:t xml:space="preserve">d jejího doručení příslušné </w:t>
      </w:r>
      <w:r>
        <w:t>s</w:t>
      </w:r>
      <w:r w:rsidRPr="00FB3DB9">
        <w:t>mluvní straně.</w:t>
      </w:r>
      <w:r>
        <w:t xml:space="preserve"> </w:t>
      </w:r>
    </w:p>
    <w:p w:rsidR="009905FC" w:rsidRDefault="009905FC" w:rsidP="00D04D23">
      <w:pPr>
        <w:pStyle w:val="Nadpis1"/>
        <w:spacing w:before="0" w:after="240" w:line="276" w:lineRule="auto"/>
        <w:ind w:left="0"/>
      </w:pPr>
      <w:r>
        <w:br/>
        <w:t>Odpovědnost za škodu</w:t>
      </w:r>
    </w:p>
    <w:p w:rsidR="00B8137A" w:rsidRDefault="00B8137A" w:rsidP="00D04D23">
      <w:pPr>
        <w:widowControl w:val="0"/>
        <w:numPr>
          <w:ilvl w:val="0"/>
          <w:numId w:val="41"/>
        </w:numPr>
        <w:spacing w:before="0" w:line="276" w:lineRule="auto"/>
        <w:ind w:left="426" w:hanging="426"/>
        <w:contextualSpacing/>
        <w:rPr>
          <w:rFonts w:cs="Arial"/>
          <w:color w:val="000000"/>
          <w:szCs w:val="22"/>
          <w:lang w:bidi="cs-CZ"/>
        </w:rPr>
      </w:pPr>
      <w:r w:rsidRPr="00D04D23">
        <w:rPr>
          <w:rFonts w:cs="Arial"/>
          <w:color w:val="000000"/>
          <w:szCs w:val="22"/>
          <w:lang w:bidi="cs-CZ"/>
        </w:rPr>
        <w:t>Příkazník odpovídá za prokazatelnou škodu vzniklou příkazci v důsledku porušení povinností příkazníka vyplývajících z této smlouvy. Zejména odpovídá za škodu vzniklou:</w:t>
      </w:r>
    </w:p>
    <w:p w:rsidR="00B8137A" w:rsidRPr="00D04D23" w:rsidRDefault="00B8137A" w:rsidP="00D04D23">
      <w:pPr>
        <w:widowControl w:val="0"/>
        <w:spacing w:before="0" w:line="276" w:lineRule="auto"/>
        <w:ind w:left="426"/>
        <w:contextualSpacing/>
        <w:rPr>
          <w:rFonts w:cs="Arial"/>
          <w:color w:val="000000"/>
          <w:szCs w:val="22"/>
          <w:lang w:bidi="cs-CZ"/>
        </w:rPr>
      </w:pPr>
    </w:p>
    <w:p w:rsidR="00B8137A" w:rsidRPr="00D04D23" w:rsidRDefault="00B8137A" w:rsidP="00D04D23">
      <w:pPr>
        <w:widowControl w:val="0"/>
        <w:numPr>
          <w:ilvl w:val="0"/>
          <w:numId w:val="42"/>
        </w:numPr>
        <w:spacing w:before="0" w:line="276" w:lineRule="auto"/>
        <w:ind w:left="426" w:firstLine="0"/>
        <w:contextualSpacing/>
        <w:rPr>
          <w:rFonts w:cs="Arial"/>
          <w:color w:val="000000"/>
          <w:szCs w:val="22"/>
          <w:lang w:bidi="cs-CZ"/>
        </w:rPr>
      </w:pPr>
      <w:r w:rsidRPr="00D04D23">
        <w:rPr>
          <w:rFonts w:cs="Arial"/>
          <w:color w:val="000000"/>
          <w:szCs w:val="22"/>
          <w:lang w:bidi="cs-CZ"/>
        </w:rPr>
        <w:t>neodbornou péčí při provádění TDS nebo BOZP;</w:t>
      </w:r>
    </w:p>
    <w:p w:rsidR="00B8137A" w:rsidRPr="00D04D23" w:rsidRDefault="00B8137A" w:rsidP="00D04D23">
      <w:pPr>
        <w:widowControl w:val="0"/>
        <w:numPr>
          <w:ilvl w:val="0"/>
          <w:numId w:val="42"/>
        </w:numPr>
        <w:spacing w:before="0" w:line="276" w:lineRule="auto"/>
        <w:ind w:left="709" w:hanging="283"/>
        <w:contextualSpacing/>
        <w:rPr>
          <w:rFonts w:cs="Arial"/>
          <w:color w:val="000000"/>
          <w:szCs w:val="22"/>
          <w:lang w:bidi="cs-CZ"/>
        </w:rPr>
      </w:pPr>
      <w:r w:rsidRPr="00D04D23">
        <w:rPr>
          <w:rFonts w:cs="Arial"/>
          <w:color w:val="000000"/>
          <w:szCs w:val="22"/>
          <w:lang w:bidi="cs-CZ"/>
        </w:rPr>
        <w:t>nedodržením pokynů příkazce a jeho zájmů, které zná nebo musí znát vzhledem k obsahu této smlouvy a jejímu účelu;</w:t>
      </w:r>
    </w:p>
    <w:p w:rsidR="00B8137A" w:rsidRPr="00D04D23" w:rsidRDefault="00B8137A" w:rsidP="00D04D23">
      <w:pPr>
        <w:widowControl w:val="0"/>
        <w:numPr>
          <w:ilvl w:val="0"/>
          <w:numId w:val="42"/>
        </w:numPr>
        <w:spacing w:before="0" w:line="276" w:lineRule="auto"/>
        <w:ind w:left="709" w:hanging="283"/>
        <w:contextualSpacing/>
        <w:rPr>
          <w:rFonts w:cs="Arial"/>
          <w:color w:val="000000"/>
          <w:szCs w:val="22"/>
          <w:lang w:bidi="cs-CZ"/>
        </w:rPr>
      </w:pPr>
      <w:r w:rsidRPr="00D04D23">
        <w:rPr>
          <w:rFonts w:cs="Arial"/>
          <w:color w:val="000000"/>
          <w:szCs w:val="22"/>
          <w:lang w:bidi="cs-CZ"/>
        </w:rPr>
        <w:t xml:space="preserve">nezjištěním nebo následným neupozorněním na to, že pokyny příkazce jsou v rozporu </w:t>
      </w:r>
      <w:r w:rsidRPr="00D04D23">
        <w:rPr>
          <w:rFonts w:cs="Arial"/>
          <w:color w:val="000000"/>
          <w:szCs w:val="22"/>
          <w:lang w:bidi="cs-CZ"/>
        </w:rPr>
        <w:br/>
        <w:t>s vhodným postupem při vyřizování záležitosti, ač toto zjištění a následné upozornění mělo vyplývat z odbornosti příkazníka;</w:t>
      </w:r>
    </w:p>
    <w:p w:rsidR="00B8137A" w:rsidRPr="00D04D23" w:rsidRDefault="00B8137A" w:rsidP="00D04D23">
      <w:pPr>
        <w:widowControl w:val="0"/>
        <w:numPr>
          <w:ilvl w:val="0"/>
          <w:numId w:val="42"/>
        </w:numPr>
        <w:spacing w:before="0" w:line="276" w:lineRule="auto"/>
        <w:ind w:left="709" w:hanging="283"/>
        <w:contextualSpacing/>
        <w:rPr>
          <w:rFonts w:cs="Arial"/>
          <w:color w:val="000000"/>
          <w:szCs w:val="22"/>
          <w:lang w:bidi="cs-CZ"/>
        </w:rPr>
      </w:pPr>
      <w:r w:rsidRPr="00D04D23">
        <w:rPr>
          <w:rFonts w:cs="Arial"/>
          <w:color w:val="000000"/>
          <w:szCs w:val="22"/>
          <w:lang w:bidi="cs-CZ"/>
        </w:rPr>
        <w:t>odchýlením se od pokynů příkazce v případě, že je to vyloučeno smlouvou nebo písemným příkazem příkazce;</w:t>
      </w:r>
    </w:p>
    <w:p w:rsidR="00B8137A" w:rsidRPr="00D04D23" w:rsidRDefault="00B8137A" w:rsidP="00D04D23">
      <w:pPr>
        <w:widowControl w:val="0"/>
        <w:numPr>
          <w:ilvl w:val="0"/>
          <w:numId w:val="42"/>
        </w:numPr>
        <w:spacing w:before="0" w:line="276" w:lineRule="auto"/>
        <w:ind w:left="709" w:hanging="283"/>
        <w:contextualSpacing/>
        <w:rPr>
          <w:rFonts w:cs="Arial"/>
          <w:color w:val="000000"/>
          <w:szCs w:val="22"/>
          <w:lang w:bidi="cs-CZ"/>
        </w:rPr>
      </w:pPr>
      <w:r w:rsidRPr="00D04D23">
        <w:rPr>
          <w:rFonts w:cs="Arial"/>
          <w:color w:val="000000"/>
          <w:szCs w:val="22"/>
          <w:lang w:bidi="cs-CZ"/>
        </w:rPr>
        <w:t>neoznámením okolností, které zjistil při zařizování záležitostí a které mohou mít vliv na změnu pokynů příkazce;</w:t>
      </w:r>
    </w:p>
    <w:p w:rsidR="00B8137A" w:rsidRPr="00D04D23" w:rsidRDefault="00B8137A" w:rsidP="00D04D23">
      <w:pPr>
        <w:widowControl w:val="0"/>
        <w:numPr>
          <w:ilvl w:val="0"/>
          <w:numId w:val="42"/>
        </w:numPr>
        <w:spacing w:before="0" w:line="276" w:lineRule="auto"/>
        <w:ind w:left="426" w:firstLine="0"/>
        <w:contextualSpacing/>
        <w:rPr>
          <w:rFonts w:cs="Arial"/>
          <w:color w:val="000000"/>
          <w:szCs w:val="22"/>
          <w:lang w:bidi="cs-CZ"/>
        </w:rPr>
      </w:pPr>
      <w:r w:rsidRPr="00D04D23">
        <w:rPr>
          <w:rFonts w:cs="Arial"/>
          <w:color w:val="000000"/>
          <w:szCs w:val="22"/>
          <w:lang w:bidi="cs-CZ"/>
        </w:rPr>
        <w:lastRenderedPageBreak/>
        <w:t>porušením povinnosti zařídit záležitost osobně;</w:t>
      </w:r>
    </w:p>
    <w:p w:rsidR="00B8137A" w:rsidRPr="00D04D23" w:rsidRDefault="00B8137A" w:rsidP="00D04D23">
      <w:pPr>
        <w:widowControl w:val="0"/>
        <w:numPr>
          <w:ilvl w:val="0"/>
          <w:numId w:val="42"/>
        </w:numPr>
        <w:spacing w:before="0" w:line="276" w:lineRule="auto"/>
        <w:ind w:left="709" w:hanging="283"/>
        <w:contextualSpacing/>
        <w:rPr>
          <w:rFonts w:cs="Arial"/>
          <w:color w:val="000000"/>
          <w:szCs w:val="22"/>
          <w:lang w:bidi="cs-CZ"/>
        </w:rPr>
      </w:pPr>
      <w:r w:rsidRPr="00D04D23">
        <w:rPr>
          <w:rFonts w:cs="Arial"/>
          <w:color w:val="000000"/>
          <w:szCs w:val="22"/>
          <w:lang w:bidi="cs-CZ"/>
        </w:rPr>
        <w:t>nepředáním věcí příkazci, které za něho převzal a které je mu povinen podle smlouvy bez zbytečného odkladu odevzdat;</w:t>
      </w:r>
    </w:p>
    <w:p w:rsidR="00B8137A" w:rsidRPr="00D04D23" w:rsidRDefault="00B8137A" w:rsidP="00D04D23">
      <w:pPr>
        <w:widowControl w:val="0"/>
        <w:numPr>
          <w:ilvl w:val="0"/>
          <w:numId w:val="42"/>
        </w:numPr>
        <w:spacing w:before="0" w:line="276" w:lineRule="auto"/>
        <w:ind w:left="709" w:hanging="283"/>
        <w:contextualSpacing/>
        <w:rPr>
          <w:rFonts w:cs="Arial"/>
          <w:color w:val="000000"/>
          <w:szCs w:val="22"/>
          <w:lang w:bidi="cs-CZ"/>
        </w:rPr>
      </w:pPr>
      <w:r w:rsidRPr="00D04D23">
        <w:rPr>
          <w:rFonts w:cs="Arial"/>
          <w:color w:val="000000"/>
          <w:szCs w:val="22"/>
          <w:lang w:bidi="cs-CZ"/>
        </w:rPr>
        <w:t>nesprávným nakládáním s věcmi, které převzal od příkazce nebo v rámci zařizování záležitostí od třetích osob a o které je příkazce jako opatrovatel povinen se starat s odbornou péčí;</w:t>
      </w:r>
    </w:p>
    <w:p w:rsidR="00B8137A" w:rsidRPr="00D04D23" w:rsidRDefault="00B8137A" w:rsidP="00D04D23">
      <w:pPr>
        <w:widowControl w:val="0"/>
        <w:numPr>
          <w:ilvl w:val="0"/>
          <w:numId w:val="42"/>
        </w:numPr>
        <w:spacing w:before="0" w:line="276" w:lineRule="auto"/>
        <w:ind w:left="709" w:hanging="283"/>
        <w:contextualSpacing/>
        <w:rPr>
          <w:rFonts w:cs="Arial"/>
          <w:color w:val="000000"/>
          <w:szCs w:val="22"/>
          <w:lang w:bidi="cs-CZ"/>
        </w:rPr>
      </w:pPr>
      <w:r w:rsidRPr="00D04D23">
        <w:rPr>
          <w:rFonts w:cs="Arial"/>
          <w:color w:val="000000"/>
          <w:szCs w:val="22"/>
          <w:lang w:bidi="cs-CZ"/>
        </w:rPr>
        <w:t>neoprávněným poskytnutím věcí, které převzal k zařizování záležitostí třetí osobě, nebo jejich použitím pro vlastní potřebu;</w:t>
      </w:r>
    </w:p>
    <w:p w:rsidR="00B8137A" w:rsidRDefault="00B8137A" w:rsidP="00D04D23">
      <w:pPr>
        <w:widowControl w:val="0"/>
        <w:numPr>
          <w:ilvl w:val="0"/>
          <w:numId w:val="42"/>
        </w:numPr>
        <w:spacing w:before="0" w:line="276" w:lineRule="auto"/>
        <w:ind w:left="426" w:firstLine="0"/>
        <w:contextualSpacing/>
        <w:rPr>
          <w:rFonts w:cs="Arial"/>
          <w:color w:val="000000"/>
          <w:szCs w:val="22"/>
          <w:lang w:bidi="cs-CZ"/>
        </w:rPr>
      </w:pPr>
      <w:r w:rsidRPr="00D04D23">
        <w:rPr>
          <w:rFonts w:cs="Arial"/>
          <w:color w:val="000000"/>
          <w:szCs w:val="22"/>
          <w:lang w:bidi="cs-CZ"/>
        </w:rPr>
        <w:t>pokračováním v činnosti po ukončení této smlouvy, stejně jako neupozorněním příkazce na opatření potřebná k tomu, aby se zabránilo vzniku škody bezprostředně hrozící příkazci nedokončením činnosti příkazníka po ukončení této smlouvy.</w:t>
      </w:r>
    </w:p>
    <w:p w:rsidR="00B8137A" w:rsidRPr="00D04D23" w:rsidRDefault="00B8137A" w:rsidP="00D04D23">
      <w:pPr>
        <w:widowControl w:val="0"/>
        <w:spacing w:before="0" w:line="276" w:lineRule="auto"/>
        <w:ind w:left="426"/>
        <w:contextualSpacing/>
        <w:rPr>
          <w:rFonts w:cs="Arial"/>
          <w:color w:val="000000"/>
          <w:szCs w:val="22"/>
          <w:lang w:bidi="cs-CZ"/>
        </w:rPr>
      </w:pPr>
    </w:p>
    <w:p w:rsidR="00983B13" w:rsidRDefault="00983B13" w:rsidP="00983B13">
      <w:pPr>
        <w:pStyle w:val="Nadpis1"/>
        <w:spacing w:before="0" w:line="276" w:lineRule="auto"/>
        <w:ind w:left="0"/>
      </w:pPr>
    </w:p>
    <w:p w:rsidR="00983B13" w:rsidRPr="00983B13" w:rsidRDefault="00983B13" w:rsidP="00983B13">
      <w:pPr>
        <w:pStyle w:val="Nadpis1"/>
        <w:numPr>
          <w:ilvl w:val="0"/>
          <w:numId w:val="0"/>
        </w:numPr>
        <w:spacing w:before="0" w:line="276" w:lineRule="auto"/>
      </w:pPr>
      <w:r w:rsidRPr="00983B13">
        <w:t>Poddodavatelé</w:t>
      </w:r>
    </w:p>
    <w:p w:rsidR="00983B13" w:rsidRDefault="00983B13" w:rsidP="00983B13">
      <w:pPr>
        <w:pStyle w:val="Bezmezer"/>
        <w:spacing w:line="276" w:lineRule="auto"/>
        <w:jc w:val="center"/>
        <w:rPr>
          <w:rFonts w:ascii="Arial" w:hAnsi="Arial" w:cs="Arial"/>
          <w:b/>
          <w:sz w:val="20"/>
          <w:szCs w:val="20"/>
        </w:rPr>
      </w:pPr>
    </w:p>
    <w:p w:rsidR="00983B13" w:rsidRPr="00983B13" w:rsidRDefault="00983B13" w:rsidP="00983B13">
      <w:pPr>
        <w:pStyle w:val="Bezmezer"/>
        <w:numPr>
          <w:ilvl w:val="0"/>
          <w:numId w:val="32"/>
        </w:numPr>
        <w:tabs>
          <w:tab w:val="left" w:pos="0"/>
        </w:tabs>
        <w:spacing w:line="276" w:lineRule="auto"/>
        <w:ind w:left="426" w:hanging="426"/>
        <w:jc w:val="both"/>
        <w:rPr>
          <w:rFonts w:ascii="Arial" w:eastAsia="Times New Roman" w:hAnsi="Arial" w:cs="Arial"/>
          <w:bCs/>
          <w:iCs/>
          <w:szCs w:val="28"/>
          <w:lang w:eastAsia="cs-CZ"/>
        </w:rPr>
      </w:pPr>
      <w:r w:rsidRPr="00983B13">
        <w:rPr>
          <w:rFonts w:ascii="Arial" w:eastAsia="Times New Roman" w:hAnsi="Arial" w:cs="Arial"/>
          <w:bCs/>
          <w:iCs/>
          <w:szCs w:val="28"/>
          <w:lang w:eastAsia="cs-CZ"/>
        </w:rPr>
        <w:t>Příkazník je oprávněn zajistit plnění této smlouvy anebo dílčích částí plnění prostřednictvím poddodavatelů, jejichž specifikace, včetně specifikace dílčích částí plnění, které budou těmito poddodavateli poskytovány, je obsažena v příloze č. 2 této smlouvy.</w:t>
      </w:r>
    </w:p>
    <w:p w:rsidR="00983B13" w:rsidRPr="00983B13" w:rsidRDefault="00983B13" w:rsidP="00983B13">
      <w:pPr>
        <w:pStyle w:val="Bezmezer"/>
        <w:tabs>
          <w:tab w:val="left" w:pos="0"/>
        </w:tabs>
        <w:spacing w:line="276" w:lineRule="auto"/>
        <w:jc w:val="both"/>
        <w:rPr>
          <w:rFonts w:ascii="Arial" w:eastAsia="Times New Roman" w:hAnsi="Arial" w:cs="Arial"/>
          <w:bCs/>
          <w:iCs/>
          <w:szCs w:val="28"/>
          <w:lang w:eastAsia="cs-CZ"/>
        </w:rPr>
      </w:pPr>
    </w:p>
    <w:p w:rsidR="00983B13" w:rsidRPr="00983B13" w:rsidRDefault="00983B13" w:rsidP="00983B13">
      <w:pPr>
        <w:pStyle w:val="Bezmezer"/>
        <w:numPr>
          <w:ilvl w:val="0"/>
          <w:numId w:val="32"/>
        </w:numPr>
        <w:tabs>
          <w:tab w:val="left" w:pos="0"/>
        </w:tabs>
        <w:spacing w:line="276" w:lineRule="auto"/>
        <w:ind w:left="426" w:hanging="426"/>
        <w:jc w:val="both"/>
        <w:rPr>
          <w:rFonts w:ascii="Arial" w:eastAsia="Times New Roman" w:hAnsi="Arial" w:cs="Arial"/>
          <w:bCs/>
          <w:iCs/>
          <w:szCs w:val="28"/>
          <w:lang w:eastAsia="cs-CZ"/>
        </w:rPr>
      </w:pPr>
      <w:r w:rsidRPr="00983B13">
        <w:rPr>
          <w:rFonts w:ascii="Arial" w:eastAsia="Times New Roman" w:hAnsi="Arial" w:cs="Arial"/>
          <w:bCs/>
          <w:iCs/>
          <w:szCs w:val="28"/>
          <w:lang w:eastAsia="cs-CZ"/>
        </w:rPr>
        <w:t>Příkazník se zavazuje zajistit, že poddodavatelé budou jimi prováděné části plnění provádět v souladu se všemi podmínkami této smlouvy a zadávací dokumentace k veřejné zakázce. Tím není dotčena výlučná odpovědnost příkazníka za poskytování řádného plnění podle této smlouvy, příkazník tedy odpovídá příkazci za řádné plnění této smlouvy, které svěřil poddodavateli, ve stejném rozsahu, jako by jej poskytoval sám.</w:t>
      </w:r>
    </w:p>
    <w:p w:rsidR="00983B13" w:rsidRPr="00983B13" w:rsidRDefault="00983B13" w:rsidP="00D04D23">
      <w:pPr>
        <w:pStyle w:val="Bezmezer"/>
        <w:numPr>
          <w:ilvl w:val="0"/>
          <w:numId w:val="32"/>
        </w:numPr>
        <w:tabs>
          <w:tab w:val="left" w:pos="0"/>
        </w:tabs>
        <w:spacing w:before="240" w:line="276" w:lineRule="auto"/>
        <w:ind w:left="426" w:hanging="426"/>
        <w:jc w:val="both"/>
        <w:rPr>
          <w:rFonts w:ascii="Arial" w:eastAsia="Times New Roman" w:hAnsi="Arial" w:cs="Arial"/>
          <w:bCs/>
          <w:iCs/>
          <w:szCs w:val="28"/>
          <w:lang w:eastAsia="cs-CZ"/>
        </w:rPr>
      </w:pPr>
      <w:r w:rsidRPr="00983B13">
        <w:rPr>
          <w:rFonts w:ascii="Arial" w:eastAsia="Times New Roman" w:hAnsi="Arial" w:cs="Arial"/>
          <w:bCs/>
          <w:iCs/>
          <w:szCs w:val="28"/>
          <w:lang w:eastAsia="cs-CZ"/>
        </w:rPr>
        <w:t>Příkazník se zavazuje nezměnit poddodavatele bez předchozího písemného souhlasu příkazce, přičemž příkazník je oprávněn změnit poddodavatele pouze z vážných objektivních důvodů a s předchozím písemným souhlasem příkazce; příkazce se zavazuje souhlas se změnou poddodavatele příkazníkovi bezdůvodně neodpírat.</w:t>
      </w:r>
    </w:p>
    <w:p w:rsidR="001B2C3A" w:rsidRDefault="001B2C3A" w:rsidP="001B2C3A"/>
    <w:p w:rsidR="00983B13" w:rsidRDefault="00983B13" w:rsidP="00983B13">
      <w:pPr>
        <w:pStyle w:val="Nadpis1"/>
        <w:spacing w:before="0" w:line="276" w:lineRule="auto"/>
        <w:ind w:left="0"/>
      </w:pPr>
    </w:p>
    <w:p w:rsidR="00983B13" w:rsidRPr="00983B13" w:rsidRDefault="00983B13" w:rsidP="00983B13">
      <w:pPr>
        <w:pStyle w:val="Nadpis1"/>
        <w:numPr>
          <w:ilvl w:val="0"/>
          <w:numId w:val="0"/>
        </w:numPr>
        <w:spacing w:before="0" w:line="276" w:lineRule="auto"/>
      </w:pPr>
      <w:r w:rsidRPr="00983B13">
        <w:t>Kontaktní a oprávněné osoby</w:t>
      </w:r>
    </w:p>
    <w:p w:rsidR="00983B13" w:rsidRDefault="00983B13" w:rsidP="00983B13">
      <w:pPr>
        <w:pStyle w:val="Bezmezer"/>
        <w:spacing w:line="276" w:lineRule="auto"/>
        <w:jc w:val="center"/>
        <w:rPr>
          <w:rFonts w:ascii="Arial" w:hAnsi="Arial" w:cs="Arial"/>
          <w:b/>
          <w:sz w:val="20"/>
          <w:szCs w:val="20"/>
        </w:rPr>
      </w:pPr>
    </w:p>
    <w:p w:rsidR="00983B13" w:rsidRPr="00983B13" w:rsidRDefault="00983B13" w:rsidP="00983B13">
      <w:pPr>
        <w:pStyle w:val="Bezmezer"/>
        <w:numPr>
          <w:ilvl w:val="0"/>
          <w:numId w:val="34"/>
        </w:numPr>
        <w:spacing w:line="276" w:lineRule="auto"/>
        <w:ind w:left="426" w:hanging="426"/>
        <w:jc w:val="both"/>
        <w:rPr>
          <w:rFonts w:ascii="Arial" w:eastAsia="Times New Roman" w:hAnsi="Arial" w:cs="Arial"/>
          <w:bCs/>
          <w:iCs/>
          <w:szCs w:val="28"/>
          <w:lang w:eastAsia="cs-CZ"/>
        </w:rPr>
      </w:pPr>
      <w:r w:rsidRPr="00983B13">
        <w:rPr>
          <w:rFonts w:ascii="Arial" w:eastAsia="Times New Roman" w:hAnsi="Arial" w:cs="Arial"/>
          <w:bCs/>
          <w:iCs/>
          <w:szCs w:val="28"/>
          <w:lang w:eastAsia="cs-CZ"/>
        </w:rPr>
        <w:t>Smluvní strany tímto prohlašují, že jména kontaktních oso</w:t>
      </w:r>
      <w:r>
        <w:rPr>
          <w:rFonts w:ascii="Arial" w:eastAsia="Times New Roman" w:hAnsi="Arial" w:cs="Arial"/>
          <w:bCs/>
          <w:iCs/>
          <w:szCs w:val="28"/>
          <w:lang w:eastAsia="cs-CZ"/>
        </w:rPr>
        <w:t>b ve věcech administrativních a </w:t>
      </w:r>
      <w:r w:rsidRPr="00983B13">
        <w:rPr>
          <w:rFonts w:ascii="Arial" w:eastAsia="Times New Roman" w:hAnsi="Arial" w:cs="Arial"/>
          <w:bCs/>
          <w:iCs/>
          <w:szCs w:val="28"/>
          <w:lang w:eastAsia="cs-CZ"/>
        </w:rPr>
        <w:t>technických a jména oprávněných osob ve věcech smluvních a akceptace, které budou odpovědné za řádnou koordinaci činností souvisejících s poskytnutím předmětu plnění podle této smlouvy, a to včetně e-mailového a telefonického spojení na tyto osoby jsou obsaženy v příloze č. 3 této smlouvy.</w:t>
      </w:r>
    </w:p>
    <w:p w:rsidR="00983B13" w:rsidRPr="00983B13" w:rsidRDefault="00983B13" w:rsidP="00983B13">
      <w:pPr>
        <w:pStyle w:val="Bezmezer"/>
        <w:spacing w:line="276" w:lineRule="auto"/>
        <w:ind w:left="426"/>
        <w:rPr>
          <w:rFonts w:ascii="Arial" w:eastAsia="Times New Roman" w:hAnsi="Arial" w:cs="Arial"/>
          <w:bCs/>
          <w:iCs/>
          <w:szCs w:val="28"/>
          <w:lang w:eastAsia="cs-CZ"/>
        </w:rPr>
      </w:pPr>
    </w:p>
    <w:p w:rsidR="00983B13" w:rsidRPr="00983B13" w:rsidRDefault="00983B13" w:rsidP="00983B13">
      <w:pPr>
        <w:pStyle w:val="Bezmezer"/>
        <w:numPr>
          <w:ilvl w:val="0"/>
          <w:numId w:val="34"/>
        </w:numPr>
        <w:spacing w:line="276" w:lineRule="auto"/>
        <w:ind w:left="426" w:hanging="426"/>
        <w:jc w:val="both"/>
        <w:rPr>
          <w:rFonts w:ascii="Arial" w:eastAsia="Times New Roman" w:hAnsi="Arial" w:cs="Arial"/>
          <w:bCs/>
          <w:iCs/>
          <w:szCs w:val="28"/>
          <w:lang w:eastAsia="cs-CZ"/>
        </w:rPr>
      </w:pPr>
      <w:r w:rsidRPr="00983B13">
        <w:rPr>
          <w:rFonts w:ascii="Arial" w:eastAsia="Times New Roman" w:hAnsi="Arial" w:cs="Arial"/>
          <w:bCs/>
          <w:iCs/>
          <w:szCs w:val="28"/>
          <w:lang w:eastAsia="cs-CZ"/>
        </w:rPr>
        <w:t xml:space="preserve">Jakoukoli změnu v kontaktních a oprávněných osobách je každá ze smluvních stran povinna oznámit druhé smluvní straně písemnou formou bez zbytečného odkladu, a to bez nutnosti uzavírat dodatek k této smlouvě ohledně změny v kontaktních a oprávněných osobách. </w:t>
      </w:r>
    </w:p>
    <w:p w:rsidR="00F93828" w:rsidRPr="00F93828" w:rsidRDefault="00F93828" w:rsidP="00F93828">
      <w:pPr>
        <w:pStyle w:val="Nadpis1"/>
        <w:spacing w:before="0" w:line="276" w:lineRule="auto"/>
        <w:ind w:left="0"/>
      </w:pPr>
    </w:p>
    <w:p w:rsidR="00F93828" w:rsidRPr="00F93828" w:rsidRDefault="00F93828" w:rsidP="00F93828">
      <w:pPr>
        <w:pStyle w:val="Nadpis1"/>
        <w:numPr>
          <w:ilvl w:val="0"/>
          <w:numId w:val="0"/>
        </w:numPr>
        <w:spacing w:before="0" w:line="276" w:lineRule="auto"/>
      </w:pPr>
      <w:r w:rsidRPr="00F93828">
        <w:t>Ujednání o nakládání s osobními údaji</w:t>
      </w:r>
    </w:p>
    <w:p w:rsidR="00F93828" w:rsidRPr="00F93828" w:rsidRDefault="00F93828" w:rsidP="00F93828">
      <w:pPr>
        <w:pStyle w:val="cl5"/>
        <w:numPr>
          <w:ilvl w:val="0"/>
          <w:numId w:val="36"/>
        </w:numPr>
        <w:autoSpaceDE w:val="0"/>
        <w:autoSpaceDN w:val="0"/>
        <w:adjustRightInd w:val="0"/>
        <w:spacing w:before="240" w:after="60" w:line="276" w:lineRule="auto"/>
        <w:ind w:left="425" w:hanging="357"/>
        <w:rPr>
          <w:rFonts w:eastAsia="Times New Roman"/>
          <w:bCs/>
          <w:iCs/>
          <w:color w:val="auto"/>
          <w:sz w:val="22"/>
          <w:szCs w:val="28"/>
          <w:lang w:eastAsia="cs-CZ"/>
        </w:rPr>
      </w:pPr>
      <w:r w:rsidRPr="00F93828">
        <w:rPr>
          <w:rFonts w:eastAsia="Times New Roman"/>
          <w:bCs/>
          <w:iCs/>
          <w:color w:val="auto"/>
          <w:sz w:val="22"/>
          <w:szCs w:val="28"/>
          <w:lang w:eastAsia="cs-CZ"/>
        </w:rPr>
        <w:t xml:space="preserve">Smluvní strany se zavazují zajistit povinnost mlčenlivosti všech svých pracovníků či jiných </w:t>
      </w:r>
      <w:r w:rsidRPr="00F93828">
        <w:rPr>
          <w:rFonts w:eastAsia="Times New Roman"/>
          <w:bCs/>
          <w:iCs/>
          <w:color w:val="auto"/>
          <w:sz w:val="22"/>
          <w:szCs w:val="28"/>
          <w:lang w:eastAsia="cs-CZ"/>
        </w:rPr>
        <w:lastRenderedPageBreak/>
        <w:t>osob, jež budou přicházet do styku s osobními údaji, a to v tomto rozsahu:</w:t>
      </w:r>
    </w:p>
    <w:p w:rsidR="00F93828" w:rsidRPr="00F93828" w:rsidRDefault="00F93828" w:rsidP="00D04D23">
      <w:pPr>
        <w:pStyle w:val="Bezmezer"/>
        <w:numPr>
          <w:ilvl w:val="0"/>
          <w:numId w:val="39"/>
        </w:numPr>
        <w:spacing w:line="276" w:lineRule="auto"/>
        <w:jc w:val="both"/>
        <w:rPr>
          <w:rFonts w:ascii="Arial" w:eastAsia="Times New Roman" w:hAnsi="Arial" w:cs="Arial"/>
          <w:bCs/>
          <w:iCs/>
          <w:szCs w:val="28"/>
          <w:lang w:eastAsia="cs-CZ"/>
        </w:rPr>
      </w:pPr>
      <w:r w:rsidRPr="00F93828">
        <w:rPr>
          <w:rFonts w:ascii="Arial" w:eastAsia="Times New Roman" w:hAnsi="Arial" w:cs="Arial"/>
          <w:bCs/>
          <w:iCs/>
          <w:szCs w:val="28"/>
          <w:lang w:eastAsia="cs-CZ"/>
        </w:rPr>
        <w:t>zachovávat mlčenlivosti o poskytnutých osobních údajích i o způsobu jejich zabezpečení;</w:t>
      </w:r>
    </w:p>
    <w:p w:rsidR="00F93828" w:rsidRPr="00F93828" w:rsidRDefault="00F93828" w:rsidP="00D04D23">
      <w:pPr>
        <w:pStyle w:val="Bezmezer"/>
        <w:numPr>
          <w:ilvl w:val="0"/>
          <w:numId w:val="39"/>
        </w:numPr>
        <w:spacing w:line="276" w:lineRule="auto"/>
        <w:jc w:val="both"/>
        <w:rPr>
          <w:rFonts w:ascii="Arial" w:eastAsia="Times New Roman" w:hAnsi="Arial" w:cs="Arial"/>
          <w:bCs/>
          <w:iCs/>
          <w:szCs w:val="28"/>
          <w:lang w:eastAsia="cs-CZ"/>
        </w:rPr>
      </w:pPr>
      <w:r w:rsidRPr="00F93828">
        <w:rPr>
          <w:rFonts w:ascii="Arial" w:eastAsia="Times New Roman" w:hAnsi="Arial" w:cs="Arial"/>
          <w:bCs/>
          <w:iCs/>
          <w:szCs w:val="28"/>
          <w:lang w:eastAsia="cs-CZ"/>
        </w:rPr>
        <w:t>nezneužít osobní údaje ve prospěch svůj ani třetích osob;</w:t>
      </w:r>
    </w:p>
    <w:p w:rsidR="00F93828" w:rsidRPr="00F93828" w:rsidRDefault="00F93828" w:rsidP="00D04D23">
      <w:pPr>
        <w:pStyle w:val="Bezmezer"/>
        <w:numPr>
          <w:ilvl w:val="0"/>
          <w:numId w:val="39"/>
        </w:numPr>
        <w:spacing w:line="276" w:lineRule="auto"/>
        <w:jc w:val="both"/>
        <w:rPr>
          <w:rFonts w:ascii="Arial" w:eastAsia="Times New Roman" w:hAnsi="Arial" w:cs="Arial"/>
          <w:bCs/>
          <w:iCs/>
          <w:szCs w:val="28"/>
          <w:lang w:eastAsia="cs-CZ"/>
        </w:rPr>
      </w:pPr>
      <w:r w:rsidRPr="00F93828">
        <w:rPr>
          <w:rFonts w:ascii="Arial" w:eastAsia="Times New Roman" w:hAnsi="Arial" w:cs="Arial"/>
          <w:bCs/>
          <w:iCs/>
          <w:szCs w:val="28"/>
          <w:lang w:eastAsia="cs-CZ"/>
        </w:rPr>
        <w:t>nevystavit osobní údaje přístupu neoprávněných osob ani nebezpečí jejich ztráty;</w:t>
      </w:r>
    </w:p>
    <w:p w:rsidR="00F93828" w:rsidRPr="00F93828" w:rsidRDefault="00F93828" w:rsidP="00D04D23">
      <w:pPr>
        <w:pStyle w:val="Bezmezer"/>
        <w:numPr>
          <w:ilvl w:val="0"/>
          <w:numId w:val="39"/>
        </w:numPr>
        <w:spacing w:line="276" w:lineRule="auto"/>
        <w:jc w:val="both"/>
        <w:rPr>
          <w:rFonts w:ascii="Arial" w:eastAsia="Times New Roman" w:hAnsi="Arial" w:cs="Arial"/>
          <w:bCs/>
          <w:iCs/>
          <w:szCs w:val="28"/>
          <w:lang w:eastAsia="cs-CZ"/>
        </w:rPr>
      </w:pPr>
      <w:r w:rsidRPr="00F93828">
        <w:rPr>
          <w:rFonts w:ascii="Arial" w:eastAsia="Times New Roman" w:hAnsi="Arial" w:cs="Arial"/>
          <w:bCs/>
          <w:iCs/>
          <w:szCs w:val="28"/>
          <w:lang w:eastAsia="cs-CZ"/>
        </w:rPr>
        <w:t>zajistit povinnosti mlčenlivosti ohledně osobních údajů i po skončení plnění podle této smlouvy.</w:t>
      </w:r>
    </w:p>
    <w:p w:rsidR="00F93828" w:rsidRPr="00F93828" w:rsidRDefault="00F93828" w:rsidP="00F93828">
      <w:pPr>
        <w:pStyle w:val="cl5"/>
        <w:numPr>
          <w:ilvl w:val="0"/>
          <w:numId w:val="36"/>
        </w:numPr>
        <w:autoSpaceDE w:val="0"/>
        <w:autoSpaceDN w:val="0"/>
        <w:adjustRightInd w:val="0"/>
        <w:spacing w:after="120" w:line="276" w:lineRule="auto"/>
        <w:ind w:left="425" w:hanging="357"/>
        <w:rPr>
          <w:rFonts w:eastAsia="Times New Roman"/>
          <w:bCs/>
          <w:iCs/>
          <w:color w:val="auto"/>
          <w:sz w:val="22"/>
          <w:szCs w:val="28"/>
          <w:lang w:eastAsia="cs-CZ"/>
        </w:rPr>
      </w:pPr>
      <w:r w:rsidRPr="00F93828">
        <w:rPr>
          <w:rFonts w:eastAsia="Times New Roman"/>
          <w:bCs/>
          <w:iCs/>
          <w:color w:val="auto"/>
          <w:sz w:val="22"/>
          <w:szCs w:val="28"/>
          <w:lang w:eastAsia="cs-CZ"/>
        </w:rPr>
        <w:t>Smluvní strany berou na vědomí, že</w:t>
      </w:r>
    </w:p>
    <w:p w:rsidR="00F93828" w:rsidRPr="00F93828" w:rsidRDefault="00F93828" w:rsidP="00F93828">
      <w:pPr>
        <w:pStyle w:val="Odstavecseseznamem"/>
        <w:numPr>
          <w:ilvl w:val="0"/>
          <w:numId w:val="38"/>
        </w:numPr>
        <w:spacing w:before="0" w:after="120" w:line="276" w:lineRule="auto"/>
        <w:rPr>
          <w:rFonts w:cs="Arial"/>
          <w:bCs/>
          <w:iCs/>
          <w:szCs w:val="28"/>
        </w:rPr>
      </w:pPr>
      <w:r w:rsidRPr="00F93828">
        <w:rPr>
          <w:rFonts w:cs="Arial"/>
          <w:bCs/>
          <w:iCs/>
          <w:szCs w:val="28"/>
        </w:rPr>
        <w:t>každá ze smluvních stran je správcem osobních údajů (dále jen „správce“) získaných od pracovníků smluvních stran v souvislosti s uzavřením této smlouvy;</w:t>
      </w:r>
    </w:p>
    <w:p w:rsidR="00F93828" w:rsidRPr="00F93828" w:rsidRDefault="00F93828" w:rsidP="00F93828">
      <w:pPr>
        <w:pStyle w:val="Odstavecseseznamem"/>
        <w:numPr>
          <w:ilvl w:val="0"/>
          <w:numId w:val="38"/>
        </w:numPr>
        <w:spacing w:before="0" w:after="120" w:line="276" w:lineRule="auto"/>
        <w:rPr>
          <w:rFonts w:cs="Arial"/>
          <w:bCs/>
          <w:iCs/>
          <w:szCs w:val="28"/>
        </w:rPr>
      </w:pPr>
      <w:r w:rsidRPr="00F93828">
        <w:rPr>
          <w:rFonts w:cs="Arial"/>
          <w:bCs/>
          <w:iCs/>
          <w:szCs w:val="28"/>
        </w:rPr>
        <w:t xml:space="preserve">subjektem údajů se pro účely této smlouvy rozumí zaměstnanci </w:t>
      </w:r>
      <w:r w:rsidR="000C53FF">
        <w:rPr>
          <w:rFonts w:cs="Arial"/>
          <w:bCs/>
          <w:iCs/>
          <w:szCs w:val="28"/>
        </w:rPr>
        <w:t>K</w:t>
      </w:r>
      <w:r w:rsidR="00223371">
        <w:rPr>
          <w:rFonts w:cs="Arial"/>
          <w:bCs/>
          <w:iCs/>
          <w:szCs w:val="28"/>
        </w:rPr>
        <w:t>atastrálního úřadu</w:t>
      </w:r>
      <w:r w:rsidR="000C53FF">
        <w:rPr>
          <w:rFonts w:cs="Arial"/>
          <w:bCs/>
          <w:iCs/>
          <w:szCs w:val="28"/>
        </w:rPr>
        <w:t xml:space="preserve"> pro Zlínský kraj</w:t>
      </w:r>
      <w:r w:rsidRPr="00F93828">
        <w:rPr>
          <w:rFonts w:cs="Arial"/>
          <w:bCs/>
          <w:iCs/>
          <w:szCs w:val="28"/>
        </w:rPr>
        <w:t>, osoby podílející se za příkazníka na plnění předmětu smlouvy a kontaktní a oprávněné osoby uvedené v příloze č. 2 této smlouvy, jejichž osobní údaje si strany poskytují v souvislosti s uzavřením této smlouvy;</w:t>
      </w:r>
    </w:p>
    <w:p w:rsidR="00F93828" w:rsidRPr="00F93828" w:rsidRDefault="00F93828" w:rsidP="00F93828">
      <w:pPr>
        <w:pStyle w:val="Odstavecseseznamem"/>
        <w:numPr>
          <w:ilvl w:val="0"/>
          <w:numId w:val="38"/>
        </w:numPr>
        <w:spacing w:before="0" w:after="120" w:line="276" w:lineRule="auto"/>
        <w:rPr>
          <w:rFonts w:cs="Arial"/>
          <w:bCs/>
          <w:iCs/>
          <w:szCs w:val="28"/>
        </w:rPr>
      </w:pPr>
      <w:r w:rsidRPr="00F93828">
        <w:rPr>
          <w:rFonts w:cs="Arial"/>
          <w:bCs/>
          <w:iCs/>
          <w:szCs w:val="28"/>
        </w:rPr>
        <w:t xml:space="preserve">osobní údaje získané v souvislosti s uzavřením této smlouvy budou zpracovány v souladu s Nařízením Evropského parlamentu </w:t>
      </w:r>
      <w:r w:rsidR="008202E0">
        <w:rPr>
          <w:rFonts w:cs="Arial"/>
          <w:bCs/>
          <w:iCs/>
          <w:szCs w:val="28"/>
        </w:rPr>
        <w:t>a rady (EU) 2016/679 ze dne 27.</w:t>
      </w:r>
      <w:r w:rsidR="00223371">
        <w:rPr>
          <w:rFonts w:cs="Arial"/>
          <w:bCs/>
          <w:iCs/>
          <w:szCs w:val="28"/>
        </w:rPr>
        <w:t>0</w:t>
      </w:r>
      <w:r w:rsidRPr="00F93828">
        <w:rPr>
          <w:rFonts w:cs="Arial"/>
          <w:bCs/>
          <w:iCs/>
          <w:szCs w:val="28"/>
        </w:rPr>
        <w:t>4.2016 o ochraně fyzických osob v souvislosti se zpracováním osobních údajů a o volném pohybu těchto údajů a o zrušení směrnice 95/46/ES (obecné nařízení o ochraně osobních údajů, dále také jen „GDPR“) a souvisejícími právními předpisy, výhradně za účelem realizace závazků z této smlouvy;</w:t>
      </w:r>
    </w:p>
    <w:p w:rsidR="00F93828" w:rsidRPr="00F93828" w:rsidRDefault="00F93828" w:rsidP="00F93828">
      <w:pPr>
        <w:pStyle w:val="Odstavecseseznamem"/>
        <w:numPr>
          <w:ilvl w:val="0"/>
          <w:numId w:val="38"/>
        </w:numPr>
        <w:spacing w:before="0" w:after="120" w:line="276" w:lineRule="auto"/>
        <w:rPr>
          <w:rFonts w:cs="Arial"/>
          <w:bCs/>
          <w:iCs/>
          <w:szCs w:val="28"/>
        </w:rPr>
      </w:pPr>
      <w:r w:rsidRPr="00F93828">
        <w:rPr>
          <w:rFonts w:cs="Arial"/>
          <w:bCs/>
          <w:iCs/>
          <w:szCs w:val="28"/>
        </w:rPr>
        <w:t xml:space="preserve">osobní údaje získané v souvislosti s uzavřením této smlouvy nebudou poskytovány třetím osobám (příjemcem osobních údajů jsou výlučně smluvní strany navzájem a nebudou předávány třetím osobám ani příjemci ve třetí zemi nebo mezinárodní organizaci); </w:t>
      </w:r>
    </w:p>
    <w:p w:rsidR="00F93828" w:rsidRPr="00F93828" w:rsidRDefault="00F93828" w:rsidP="00F93828">
      <w:pPr>
        <w:pStyle w:val="Odstavecseseznamem"/>
        <w:numPr>
          <w:ilvl w:val="0"/>
          <w:numId w:val="38"/>
        </w:numPr>
        <w:spacing w:before="0" w:after="120" w:line="276" w:lineRule="auto"/>
        <w:rPr>
          <w:rFonts w:cs="Arial"/>
          <w:bCs/>
          <w:iCs/>
          <w:szCs w:val="28"/>
        </w:rPr>
      </w:pPr>
      <w:r w:rsidRPr="00F93828">
        <w:rPr>
          <w:rFonts w:cs="Arial"/>
          <w:bCs/>
          <w:iCs/>
          <w:szCs w:val="28"/>
        </w:rPr>
        <w:t>osobní údaje získané v souvislosti s uzavřením této smlouvy budou správcem uloženy po dobu nezbytně nutnou pro realizaci závazků z této smlouvy a pro splnění povinností správce plynoucích v souvislosti s uzavřením této smlouvy z platných právních předpisů.</w:t>
      </w:r>
    </w:p>
    <w:p w:rsidR="00F93828" w:rsidRPr="00F93828" w:rsidRDefault="00F93828" w:rsidP="00F93828">
      <w:pPr>
        <w:pStyle w:val="cl5"/>
        <w:numPr>
          <w:ilvl w:val="0"/>
          <w:numId w:val="36"/>
        </w:numPr>
        <w:autoSpaceDE w:val="0"/>
        <w:autoSpaceDN w:val="0"/>
        <w:adjustRightInd w:val="0"/>
        <w:spacing w:after="120" w:line="276" w:lineRule="auto"/>
        <w:ind w:left="425" w:hanging="357"/>
        <w:rPr>
          <w:rFonts w:eastAsia="Times New Roman"/>
          <w:bCs/>
          <w:iCs/>
          <w:color w:val="auto"/>
          <w:sz w:val="22"/>
          <w:szCs w:val="28"/>
          <w:lang w:eastAsia="cs-CZ"/>
        </w:rPr>
      </w:pPr>
      <w:r w:rsidRPr="00F93828">
        <w:rPr>
          <w:rFonts w:eastAsia="Times New Roman"/>
          <w:bCs/>
          <w:iCs/>
          <w:color w:val="auto"/>
          <w:sz w:val="22"/>
          <w:szCs w:val="28"/>
          <w:lang w:eastAsia="cs-CZ"/>
        </w:rPr>
        <w:t xml:space="preserve">Smluvní strany prohlašují a nesou odpovědnost za to, že pracovníci podílející se za příkazníka na plnění předmětu smlouvy a pracovníci uvedení jako kontaktní a oprávněné osoby v příloze č. 2 této smlouvy, byli poučeni: </w:t>
      </w:r>
    </w:p>
    <w:p w:rsidR="00F93828" w:rsidRPr="00F93828" w:rsidRDefault="00F93828" w:rsidP="00F93828">
      <w:pPr>
        <w:numPr>
          <w:ilvl w:val="0"/>
          <w:numId w:val="37"/>
        </w:numPr>
        <w:spacing w:before="0" w:after="160" w:line="276" w:lineRule="auto"/>
        <w:ind w:left="794" w:hanging="357"/>
        <w:rPr>
          <w:rFonts w:cs="Arial"/>
          <w:bCs/>
          <w:iCs/>
          <w:szCs w:val="28"/>
        </w:rPr>
      </w:pPr>
      <w:r w:rsidRPr="00F93828">
        <w:rPr>
          <w:rFonts w:cs="Arial"/>
          <w:bCs/>
          <w:iCs/>
          <w:szCs w:val="28"/>
        </w:rPr>
        <w:t xml:space="preserve">o tom, že smluvní strany si vzájemně předávají jejich osobní údaje v rozsahu: titul, příp. vědecká hodnost, jméno, příjmení, adresa elektronické pošty a telefonní číslo v rámci plnění této smlouvy, a to za účelem realizace závazků z této smlouvy; </w:t>
      </w:r>
    </w:p>
    <w:p w:rsidR="00F93828" w:rsidRPr="001B2C3A" w:rsidRDefault="00F93828" w:rsidP="00D04D23">
      <w:pPr>
        <w:numPr>
          <w:ilvl w:val="0"/>
          <w:numId w:val="37"/>
        </w:numPr>
        <w:spacing w:before="0" w:after="240" w:line="276" w:lineRule="auto"/>
        <w:ind w:left="794" w:hanging="357"/>
      </w:pPr>
      <w:r w:rsidRPr="00E4266C">
        <w:rPr>
          <w:rFonts w:cs="Arial"/>
          <w:bCs/>
          <w:iCs/>
          <w:szCs w:val="28"/>
        </w:rPr>
        <w:t>o veškerých právech subjektu údajů, která mohou uplatnit vůči druhé smluvní straně, zejména právo na přístup k osobním údajům, které jsou o nich zpracovávány, právo na jejich opravu nebo výmaz nebo omezení zpracování, vznést námitku proti zpracování, jakož i uplatňovat další práva v mezích GDPR a právo podat stížnost k Úřadu pro ochranu osobních údajů.</w:t>
      </w:r>
    </w:p>
    <w:p w:rsidR="009905FC" w:rsidRPr="00A75C61" w:rsidRDefault="009905FC" w:rsidP="009905FC">
      <w:pPr>
        <w:pStyle w:val="Nadpis1"/>
        <w:spacing w:before="0" w:line="276" w:lineRule="auto"/>
        <w:ind w:left="0"/>
      </w:pPr>
      <w:r>
        <w:br/>
        <w:t>Ostatní ujednání</w:t>
      </w:r>
    </w:p>
    <w:p w:rsidR="009905FC" w:rsidRDefault="009905FC" w:rsidP="009905FC">
      <w:pPr>
        <w:pStyle w:val="Nadpis2"/>
      </w:pPr>
      <w:r>
        <w:t xml:space="preserve">Příkazce může smlouvu vypovědět, resp. příkaz odvolat. Nestanoví-li výpověď pozdější účinnost, nabývá účinnosti dnem, kdy se o ní příkazník dověděl nebo mohl dovědět. </w:t>
      </w:r>
      <w:r>
        <w:lastRenderedPageBreak/>
        <w:t>Využije-Ii příkazce práva vypovědět smlouvu dle tohoto od</w:t>
      </w:r>
      <w:r w:rsidR="008643C9">
        <w:t>stavce, tato smlouva zaniká a </w:t>
      </w:r>
      <w:r>
        <w:t>příkazník má právo na část sjednané odměny (zahrnujíc</w:t>
      </w:r>
      <w:r w:rsidR="008643C9">
        <w:t>í veškeré náklady související s </w:t>
      </w:r>
      <w:r>
        <w:t xml:space="preserve">činností příkazníka), a to ve výši určené v závislosti na okamžiku ukončení smlouvy. Příkazník nemá v případě výpovědi smlouvy ze strany příkazce právo na náhradu jakékoli škody. Ustanovení o výplatě části odměny dle tohoto odstavce se užije obdobně pro případy, kdy bude smlouva předčasně oprávněně ukončena jiným způsobem (než výpovědí) z důvodů nikoli na straně příkazníka. K vyloučení pochybností smluvní strany uvádí, že vylučují aplikaci </w:t>
      </w:r>
      <w:r w:rsidRPr="00420407">
        <w:t>§ 2443 občanského</w:t>
      </w:r>
      <w:r>
        <w:t xml:space="preserve"> zákoníku.</w:t>
      </w:r>
    </w:p>
    <w:p w:rsidR="00545D78" w:rsidRPr="00545D78" w:rsidRDefault="00545D78" w:rsidP="00545D78">
      <w:pPr>
        <w:pStyle w:val="Nadpis2"/>
      </w:pPr>
      <w:r w:rsidRPr="00545D78">
        <w:t>Smluvní strany výslovně prohlašují, že jsou obsahem této smlouvy právně vázány.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smluvní straně právo odstoupit od smlouvy a požadovat náhradu škody.</w:t>
      </w:r>
    </w:p>
    <w:p w:rsidR="009905FC" w:rsidRDefault="009905FC" w:rsidP="009905FC">
      <w:pPr>
        <w:pStyle w:val="Nadpis2"/>
      </w:pPr>
      <w:r>
        <w:t xml:space="preserve">Příkazník si je vědom, že je ve smyslu ust. </w:t>
      </w:r>
      <w:r w:rsidRPr="00A46E7B">
        <w:t>§ 2 písm. e) zákona č. 320/2001</w:t>
      </w:r>
      <w:r>
        <w:t xml:space="preserve"> Sb., o finanční kontrole ve veřejné správě a o změně některých zákonů (zákon o finanční kontrole), ve znění pozdějších předpisů, povinen poskytnout subjektům </w:t>
      </w:r>
      <w:r w:rsidR="008643C9">
        <w:t>provádějícím audit a kontrolu v </w:t>
      </w:r>
      <w:r>
        <w:t>souvislosti s projektem všechny nezbytné informace a spolupůsobit při výkonu finanční kontroly.</w:t>
      </w:r>
    </w:p>
    <w:p w:rsidR="009905FC" w:rsidRDefault="009905FC" w:rsidP="009905FC">
      <w:pPr>
        <w:pStyle w:val="Nadpis2"/>
        <w:spacing w:after="240"/>
      </w:pPr>
      <w:r>
        <w:t xml:space="preserve">Smluvní strany se dále dohodly, že aplikace ustanovení </w:t>
      </w:r>
      <w:r w:rsidRPr="003C048D">
        <w:t>§ 2436 a 2437 občanského zákoníku se vylučuje.</w:t>
      </w:r>
    </w:p>
    <w:p w:rsidR="001C191B" w:rsidRPr="003C048D" w:rsidRDefault="001C191B" w:rsidP="001C191B">
      <w:pPr>
        <w:pStyle w:val="Nadpis2"/>
        <w:spacing w:after="240"/>
      </w:pPr>
      <w:r w:rsidRPr="006E1EEF">
        <w:rPr>
          <w:szCs w:val="22"/>
        </w:rPr>
        <w:t>Pro případ prodlení s úhradou peněžitého závazku jsou smluvní strany oprávněny požadovat úrok z prodlení dle příslušných právních předpisů.</w:t>
      </w:r>
    </w:p>
    <w:p w:rsidR="009905FC" w:rsidRDefault="00C61C19" w:rsidP="009905FC">
      <w:pPr>
        <w:pStyle w:val="Nadpis2"/>
        <w:spacing w:after="240"/>
      </w:pPr>
      <w:r w:rsidRPr="00C61C19">
        <w:t>Odvolání příkazu podle tohoto článku nebo jiné ukončení smlouvy</w:t>
      </w:r>
      <w:r>
        <w:t xml:space="preserve"> </w:t>
      </w:r>
      <w:r w:rsidR="009905FC">
        <w:t>s</w:t>
      </w:r>
      <w:r w:rsidR="009905FC" w:rsidRPr="00627C50">
        <w:t xml:space="preserve">e nedotýká nároku na </w:t>
      </w:r>
      <w:r w:rsidR="009905FC">
        <w:t>s</w:t>
      </w:r>
      <w:r w:rsidR="009905FC" w:rsidRPr="00627C50">
        <w:t>mluvní pokutu</w:t>
      </w:r>
      <w:r w:rsidR="008643C9">
        <w:t xml:space="preserve"> dle článku IX. smlouvy</w:t>
      </w:r>
      <w:r w:rsidRPr="00C61C19">
        <w:t xml:space="preserve"> anebo úroků z prodlení, povinnosti mlčenlivosti a dalších závazků, z jejichž charakteru vyplývá, že mají trvat i po skončení smlouvy.</w:t>
      </w:r>
    </w:p>
    <w:p w:rsidR="009905FC" w:rsidRPr="00A75C61" w:rsidRDefault="009905FC" w:rsidP="009905FC">
      <w:pPr>
        <w:pStyle w:val="Nadpis1"/>
        <w:spacing w:before="0" w:line="276" w:lineRule="auto"/>
        <w:ind w:left="0"/>
      </w:pPr>
      <w:r>
        <w:br/>
      </w:r>
      <w:r w:rsidRPr="00A75C61">
        <w:t>Závěrečná ustanovení</w:t>
      </w:r>
    </w:p>
    <w:p w:rsidR="009905FC" w:rsidRPr="007420BA" w:rsidRDefault="009905FC" w:rsidP="009905FC">
      <w:pPr>
        <w:pStyle w:val="Nadpis2"/>
        <w:rPr>
          <w:sz w:val="24"/>
        </w:rPr>
      </w:pPr>
      <w:r>
        <w:t xml:space="preserve">Tato smlouva a vztahy z ní vyplývající se řídí zákonem č. 89/2012 Sb., občanský zákoník, ve znění pozdějších předpisů. </w:t>
      </w:r>
    </w:p>
    <w:p w:rsidR="009905FC" w:rsidRDefault="009905FC" w:rsidP="009905FC">
      <w:pPr>
        <w:pStyle w:val="Nadpis2"/>
      </w:pPr>
      <w:r>
        <w:t xml:space="preserve">Smluvní strany </w:t>
      </w:r>
      <w:r w:rsidRPr="003C048D">
        <w:t>sjednávají, že § 564 zákona č. 89/2012 Sb., občanský zákoník, ve znění pozdějších předpisů, se nepoužije, tzn., měnit nebo doplňovat</w:t>
      </w:r>
      <w:r>
        <w:t xml:space="preserve"> text smlouvy je možné pouze formou písemných </w:t>
      </w:r>
      <w:r w:rsidR="00270D2C">
        <w:t xml:space="preserve">vzestupně číslovaných </w:t>
      </w:r>
      <w:r>
        <w:t>dodatků podepsaných oběma smluvními stranami. Možnost měnit smlouvu jinou formou smluvní strany vylučují.</w:t>
      </w:r>
    </w:p>
    <w:p w:rsidR="009905FC" w:rsidRDefault="009905FC" w:rsidP="009905FC">
      <w:pPr>
        <w:pStyle w:val="Nadpis2"/>
      </w:pPr>
      <w:r>
        <w:t xml:space="preserve">Smluvní strany </w:t>
      </w:r>
      <w:r w:rsidRPr="003C048D">
        <w:t>prohlašují, že skutečnosti uvedené v této smlouvě nepovažují za obchodní tajemství ve smyslu § 504 zákona č. 89/2012 Sb., občanský zákoník, ve znění pozdějších předpisů, a udělují svolení k jejich užití a zveřejnění bez</w:t>
      </w:r>
      <w:r>
        <w:t xml:space="preserve"> stanovení jakýchkoliv dalších podmínek.</w:t>
      </w:r>
    </w:p>
    <w:p w:rsidR="00545D78" w:rsidRPr="00545D78" w:rsidRDefault="00545D78" w:rsidP="00545D78">
      <w:pPr>
        <w:pStyle w:val="Nadpis2"/>
      </w:pPr>
      <w:r w:rsidRPr="00545D78">
        <w:lastRenderedPageBreak/>
        <w:t>Neplatnost nebo neúčinnost některého ustanovení této smlouvy nezpůsobuje neplatnost celé smlouvy. V případě, že některá ustanovení této smlouvy budou neplatná nebo neúčinná, zavazují se smluvní strany nahradit taková neplatná nebo neúčinná ustanovení platnými a účinnými ustanoveními, která budou co do obsahu a významu neplatným nebo neúčinným ustanovením co nejblíže.</w:t>
      </w:r>
    </w:p>
    <w:p w:rsidR="009905FC" w:rsidRPr="003F5772" w:rsidRDefault="009905FC" w:rsidP="009905FC">
      <w:pPr>
        <w:pStyle w:val="Nadpis2"/>
      </w:pPr>
      <w:r w:rsidRPr="00D04D23">
        <w:t>Smluvní strany souhlasí se zveřejněním textu této smlouvy na profilu zadavatele příkazce</w:t>
      </w:r>
      <w:r w:rsidRPr="003F5772">
        <w:t xml:space="preserve"> a rovněž v příslušném registru smluv dle zákona č. 340/2015 Sb., zákon o zvláštních podmínkách účinnosti některých smluv, uveřejňování těchto smluv a o registru smluv, v</w:t>
      </w:r>
      <w:r w:rsidR="003F5772">
        <w:t> platném znění</w:t>
      </w:r>
      <w:r w:rsidRPr="003F5772">
        <w:t>, s tím, že toto uveřejnění zajistí příkazce.</w:t>
      </w:r>
    </w:p>
    <w:p w:rsidR="009905FC" w:rsidRDefault="009905FC" w:rsidP="009905FC">
      <w:pPr>
        <w:pStyle w:val="Nadpis2"/>
        <w:spacing w:line="276" w:lineRule="auto"/>
      </w:pPr>
      <w:r>
        <w:t xml:space="preserve">Smlouva nabývá platnosti </w:t>
      </w:r>
      <w:r w:rsidRPr="005648C2">
        <w:t>dnem jejího p</w:t>
      </w:r>
      <w:r>
        <w:t>odpisu oběma smluvními stranami a účinnosti dnem uveřejnění v registru smluv.</w:t>
      </w:r>
    </w:p>
    <w:p w:rsidR="009905FC" w:rsidRPr="007420BA" w:rsidRDefault="009905FC" w:rsidP="009905FC">
      <w:pPr>
        <w:pStyle w:val="Nadpis2"/>
      </w:pPr>
      <w:r w:rsidRPr="004D726E">
        <w:rPr>
          <w:szCs w:val="22"/>
        </w:rPr>
        <w:t>Plnění předmětu této smlouvy před účinností této smlouvy se považuje za plnění podle této smlouvy a práva a povinnosti z něj vznik</w:t>
      </w:r>
      <w:r>
        <w:rPr>
          <w:szCs w:val="22"/>
        </w:rPr>
        <w:t>lé se řídí touto smlouvou</w:t>
      </w:r>
      <w:r w:rsidRPr="00741514">
        <w:rPr>
          <w:szCs w:val="22"/>
        </w:rPr>
        <w:t>.</w:t>
      </w:r>
      <w:r>
        <w:rPr>
          <w:szCs w:val="22"/>
        </w:rPr>
        <w:t xml:space="preserve"> </w:t>
      </w:r>
    </w:p>
    <w:p w:rsidR="009905FC" w:rsidRDefault="009905FC" w:rsidP="009905FC">
      <w:pPr>
        <w:pStyle w:val="Nadpis2"/>
      </w:pPr>
      <w:r>
        <w:t xml:space="preserve">Smlouva je vyhotovena ve </w:t>
      </w:r>
      <w:r w:rsidR="003F5772">
        <w:t xml:space="preserve">dvou </w:t>
      </w:r>
      <w:r>
        <w:t xml:space="preserve">stejnopisech s platností originálu, </w:t>
      </w:r>
      <w:r w:rsidR="003F5772">
        <w:t xml:space="preserve">přičemž </w:t>
      </w:r>
      <w:r>
        <w:t>příkazce</w:t>
      </w:r>
      <w:r w:rsidR="003F5772">
        <w:t xml:space="preserve"> a příkazník</w:t>
      </w:r>
      <w:r>
        <w:t xml:space="preserve"> obdrží </w:t>
      </w:r>
      <w:r w:rsidR="003F5772">
        <w:t>jeden stejnopis</w:t>
      </w:r>
      <w:r w:rsidRPr="005648C2">
        <w:t>.</w:t>
      </w:r>
    </w:p>
    <w:p w:rsidR="005F494C" w:rsidRDefault="005F494C" w:rsidP="005F494C">
      <w:pPr>
        <w:pStyle w:val="Nadpis2"/>
      </w:pPr>
      <w:r w:rsidRPr="005F494C">
        <w:t>Nedílnou součástí této smlouvy jsou tyto přílohy:</w:t>
      </w:r>
    </w:p>
    <w:p w:rsidR="005F494C" w:rsidRPr="005F494C" w:rsidRDefault="005F494C" w:rsidP="00D04D23">
      <w:pPr>
        <w:pStyle w:val="Bezmezer"/>
        <w:spacing w:before="240" w:line="276" w:lineRule="auto"/>
        <w:jc w:val="both"/>
        <w:rPr>
          <w:rFonts w:ascii="Arial" w:eastAsia="Times New Roman" w:hAnsi="Arial" w:cs="Arial"/>
          <w:bCs/>
          <w:iCs/>
          <w:szCs w:val="28"/>
          <w:lang w:eastAsia="cs-CZ"/>
        </w:rPr>
      </w:pPr>
      <w:r w:rsidRPr="005F494C">
        <w:rPr>
          <w:rFonts w:ascii="Arial" w:eastAsia="Times New Roman" w:hAnsi="Arial" w:cs="Arial"/>
          <w:bCs/>
          <w:iCs/>
          <w:szCs w:val="28"/>
          <w:lang w:eastAsia="cs-CZ"/>
        </w:rPr>
        <w:t>Příloha č. 1</w:t>
      </w:r>
      <w:r w:rsidR="003F5772">
        <w:rPr>
          <w:rFonts w:ascii="Arial" w:eastAsia="Times New Roman" w:hAnsi="Arial" w:cs="Arial"/>
          <w:bCs/>
          <w:iCs/>
          <w:szCs w:val="28"/>
          <w:lang w:eastAsia="cs-CZ"/>
        </w:rPr>
        <w:t xml:space="preserve"> - </w:t>
      </w:r>
      <w:r w:rsidRPr="005F494C">
        <w:rPr>
          <w:rFonts w:ascii="Arial" w:eastAsia="Times New Roman" w:hAnsi="Arial" w:cs="Arial"/>
          <w:bCs/>
          <w:iCs/>
          <w:szCs w:val="28"/>
          <w:lang w:eastAsia="cs-CZ"/>
        </w:rPr>
        <w:t>Realizační tým příkazníka</w:t>
      </w:r>
    </w:p>
    <w:p w:rsidR="005F494C" w:rsidRPr="005F494C" w:rsidRDefault="005F494C" w:rsidP="00D04D23">
      <w:pPr>
        <w:pStyle w:val="Bezmezer"/>
        <w:spacing w:line="276" w:lineRule="auto"/>
        <w:jc w:val="both"/>
        <w:rPr>
          <w:rFonts w:ascii="Arial" w:eastAsia="Times New Roman" w:hAnsi="Arial" w:cs="Arial"/>
          <w:bCs/>
          <w:iCs/>
          <w:szCs w:val="28"/>
          <w:lang w:eastAsia="cs-CZ"/>
        </w:rPr>
      </w:pPr>
      <w:r w:rsidRPr="005F494C">
        <w:rPr>
          <w:rFonts w:ascii="Arial" w:eastAsia="Times New Roman" w:hAnsi="Arial" w:cs="Arial"/>
          <w:bCs/>
          <w:iCs/>
          <w:szCs w:val="28"/>
          <w:lang w:eastAsia="cs-CZ"/>
        </w:rPr>
        <w:t>Příloha č. 2</w:t>
      </w:r>
      <w:r w:rsidR="003F5772">
        <w:rPr>
          <w:rFonts w:ascii="Arial" w:eastAsia="Times New Roman" w:hAnsi="Arial" w:cs="Arial"/>
          <w:bCs/>
          <w:iCs/>
          <w:szCs w:val="28"/>
          <w:lang w:eastAsia="cs-CZ"/>
        </w:rPr>
        <w:t xml:space="preserve"> - </w:t>
      </w:r>
      <w:r w:rsidRPr="005F494C">
        <w:rPr>
          <w:rFonts w:ascii="Arial" w:eastAsia="Times New Roman" w:hAnsi="Arial" w:cs="Arial"/>
          <w:bCs/>
          <w:iCs/>
          <w:szCs w:val="28"/>
          <w:lang w:eastAsia="cs-CZ"/>
        </w:rPr>
        <w:t>Seznam poddodavatelů</w:t>
      </w:r>
    </w:p>
    <w:p w:rsidR="005F494C" w:rsidRPr="005F494C" w:rsidRDefault="005F494C" w:rsidP="00D04D23">
      <w:pPr>
        <w:pStyle w:val="Bezmezer"/>
        <w:spacing w:after="200" w:line="276" w:lineRule="auto"/>
        <w:jc w:val="both"/>
        <w:rPr>
          <w:rFonts w:ascii="Arial" w:eastAsia="Times New Roman" w:hAnsi="Arial" w:cs="Arial"/>
          <w:bCs/>
          <w:iCs/>
          <w:szCs w:val="28"/>
          <w:lang w:eastAsia="cs-CZ"/>
        </w:rPr>
      </w:pPr>
      <w:r w:rsidRPr="005F494C">
        <w:rPr>
          <w:rFonts w:ascii="Arial" w:eastAsia="Times New Roman" w:hAnsi="Arial" w:cs="Arial"/>
          <w:bCs/>
          <w:iCs/>
          <w:szCs w:val="28"/>
          <w:lang w:eastAsia="cs-CZ"/>
        </w:rPr>
        <w:t>Příloha č. 3</w:t>
      </w:r>
      <w:r w:rsidR="003F5772">
        <w:rPr>
          <w:rFonts w:ascii="Arial" w:eastAsia="Times New Roman" w:hAnsi="Arial" w:cs="Arial"/>
          <w:bCs/>
          <w:iCs/>
          <w:szCs w:val="28"/>
          <w:lang w:eastAsia="cs-CZ"/>
        </w:rPr>
        <w:t xml:space="preserve"> - </w:t>
      </w:r>
      <w:r w:rsidRPr="005F494C">
        <w:rPr>
          <w:rFonts w:ascii="Arial" w:eastAsia="Times New Roman" w:hAnsi="Arial" w:cs="Arial"/>
          <w:bCs/>
          <w:iCs/>
          <w:szCs w:val="28"/>
          <w:lang w:eastAsia="cs-CZ"/>
        </w:rPr>
        <w:t>Kontaktní a oprávněné osoby</w:t>
      </w:r>
    </w:p>
    <w:p w:rsidR="009905FC" w:rsidRPr="00F43933" w:rsidRDefault="009905FC" w:rsidP="009905FC">
      <w:pPr>
        <w:spacing w:after="240" w:line="276" w:lineRule="auto"/>
        <w:rPr>
          <w:rFonts w:cs="Arial"/>
          <w:szCs w:val="22"/>
        </w:rPr>
      </w:pPr>
      <w:r w:rsidRPr="00741514">
        <w:rPr>
          <w:rFonts w:cs="Arial"/>
          <w:snapToGrid w:val="0"/>
          <w:szCs w:val="22"/>
        </w:rPr>
        <w:t xml:space="preserve">Ve Zlíně dne:  </w:t>
      </w:r>
      <w:r w:rsidR="00D93B5B">
        <w:rPr>
          <w:rFonts w:cs="Arial"/>
          <w:snapToGrid w:val="0"/>
          <w:szCs w:val="22"/>
        </w:rPr>
        <w:tab/>
      </w:r>
      <w:r w:rsidR="00D93B5B">
        <w:rPr>
          <w:rFonts w:cs="Arial"/>
          <w:snapToGrid w:val="0"/>
          <w:szCs w:val="22"/>
        </w:rPr>
        <w:tab/>
      </w:r>
      <w:r w:rsidR="00D93B5B">
        <w:rPr>
          <w:rFonts w:cs="Arial"/>
          <w:snapToGrid w:val="0"/>
          <w:szCs w:val="22"/>
        </w:rPr>
        <w:tab/>
      </w:r>
      <w:r w:rsidR="00D93B5B">
        <w:rPr>
          <w:rFonts w:cs="Arial"/>
          <w:snapToGrid w:val="0"/>
          <w:szCs w:val="22"/>
        </w:rPr>
        <w:tab/>
      </w:r>
      <w:r w:rsidR="00D93B5B">
        <w:rPr>
          <w:rFonts w:cs="Arial"/>
          <w:snapToGrid w:val="0"/>
          <w:szCs w:val="22"/>
        </w:rPr>
        <w:tab/>
      </w:r>
      <w:r w:rsidR="00D93B5B">
        <w:rPr>
          <w:rFonts w:cs="Arial"/>
          <w:snapToGrid w:val="0"/>
          <w:szCs w:val="22"/>
        </w:rPr>
        <w:tab/>
        <w:t>V Olomouci dne:</w:t>
      </w:r>
      <w:r w:rsidRPr="00741514">
        <w:rPr>
          <w:rFonts w:cs="Arial"/>
          <w:snapToGrid w:val="0"/>
          <w:szCs w:val="22"/>
        </w:rPr>
        <w:t xml:space="preserve"> </w:t>
      </w:r>
    </w:p>
    <w:tbl>
      <w:tblPr>
        <w:tblW w:w="8741" w:type="dxa"/>
        <w:jc w:val="center"/>
        <w:tblLayout w:type="fixed"/>
        <w:tblCellMar>
          <w:left w:w="70" w:type="dxa"/>
          <w:right w:w="70" w:type="dxa"/>
        </w:tblCellMar>
        <w:tblLook w:val="0000" w:firstRow="0" w:lastRow="0" w:firstColumn="0" w:lastColumn="0" w:noHBand="0" w:noVBand="0"/>
      </w:tblPr>
      <w:tblGrid>
        <w:gridCol w:w="3441"/>
        <w:gridCol w:w="1860"/>
        <w:gridCol w:w="3440"/>
      </w:tblGrid>
      <w:tr w:rsidR="009905FC" w:rsidRPr="00741514" w:rsidTr="009A7A33">
        <w:trPr>
          <w:trHeight w:val="886"/>
          <w:jc w:val="center"/>
        </w:trPr>
        <w:tc>
          <w:tcPr>
            <w:tcW w:w="3441" w:type="dxa"/>
            <w:tcBorders>
              <w:bottom w:val="single" w:sz="4" w:space="0" w:color="auto"/>
            </w:tcBorders>
          </w:tcPr>
          <w:p w:rsidR="009905FC" w:rsidRPr="00741514" w:rsidRDefault="009905FC" w:rsidP="009A7A33">
            <w:pPr>
              <w:spacing w:line="276" w:lineRule="auto"/>
              <w:rPr>
                <w:rFonts w:cs="Arial"/>
                <w:szCs w:val="22"/>
              </w:rPr>
            </w:pPr>
            <w:r w:rsidRPr="00741514">
              <w:rPr>
                <w:rFonts w:cs="Arial"/>
                <w:szCs w:val="22"/>
              </w:rPr>
              <w:t>Česká republika – Katastrální úřad pro Zlínský kraj</w:t>
            </w:r>
          </w:p>
        </w:tc>
        <w:tc>
          <w:tcPr>
            <w:tcW w:w="1860" w:type="dxa"/>
          </w:tcPr>
          <w:p w:rsidR="009905FC" w:rsidRPr="00741514" w:rsidRDefault="009905FC" w:rsidP="009A7A33">
            <w:pPr>
              <w:spacing w:line="276" w:lineRule="auto"/>
              <w:jc w:val="center"/>
              <w:rPr>
                <w:rFonts w:cs="Arial"/>
                <w:szCs w:val="22"/>
              </w:rPr>
            </w:pPr>
            <w:r w:rsidRPr="00741514">
              <w:rPr>
                <w:rFonts w:cs="Arial"/>
                <w:szCs w:val="22"/>
              </w:rPr>
              <w:t xml:space="preserve">                       </w:t>
            </w:r>
          </w:p>
          <w:p w:rsidR="009905FC" w:rsidRPr="00741514" w:rsidRDefault="009905FC" w:rsidP="009A7A33">
            <w:pPr>
              <w:spacing w:line="276" w:lineRule="auto"/>
              <w:jc w:val="center"/>
              <w:rPr>
                <w:rFonts w:cs="Arial"/>
                <w:szCs w:val="22"/>
              </w:rPr>
            </w:pPr>
          </w:p>
          <w:p w:rsidR="009905FC" w:rsidRPr="00741514" w:rsidRDefault="009905FC" w:rsidP="009A7A33">
            <w:pPr>
              <w:spacing w:line="276" w:lineRule="auto"/>
              <w:jc w:val="center"/>
              <w:rPr>
                <w:rFonts w:cs="Arial"/>
                <w:szCs w:val="22"/>
              </w:rPr>
            </w:pPr>
          </w:p>
          <w:p w:rsidR="009905FC" w:rsidRPr="00741514" w:rsidRDefault="009905FC" w:rsidP="009A7A33">
            <w:pPr>
              <w:spacing w:line="276" w:lineRule="auto"/>
              <w:jc w:val="center"/>
              <w:rPr>
                <w:rFonts w:cs="Arial"/>
                <w:szCs w:val="22"/>
              </w:rPr>
            </w:pPr>
          </w:p>
          <w:p w:rsidR="009905FC" w:rsidRPr="00741514" w:rsidRDefault="009905FC" w:rsidP="009A7A33">
            <w:pPr>
              <w:spacing w:line="276" w:lineRule="auto"/>
              <w:jc w:val="center"/>
              <w:rPr>
                <w:rFonts w:cs="Arial"/>
                <w:szCs w:val="22"/>
              </w:rPr>
            </w:pPr>
          </w:p>
          <w:p w:rsidR="009905FC" w:rsidRPr="00741514" w:rsidRDefault="009905FC" w:rsidP="009A7A33">
            <w:pPr>
              <w:spacing w:line="276" w:lineRule="auto"/>
              <w:jc w:val="center"/>
              <w:rPr>
                <w:rFonts w:cs="Arial"/>
                <w:szCs w:val="22"/>
              </w:rPr>
            </w:pPr>
          </w:p>
        </w:tc>
        <w:tc>
          <w:tcPr>
            <w:tcW w:w="3440" w:type="dxa"/>
            <w:tcBorders>
              <w:bottom w:val="single" w:sz="4" w:space="0" w:color="auto"/>
            </w:tcBorders>
          </w:tcPr>
          <w:p w:rsidR="009905FC" w:rsidRPr="00741514" w:rsidRDefault="00D93B5B" w:rsidP="00D93B5B">
            <w:pPr>
              <w:spacing w:after="240" w:line="276" w:lineRule="auto"/>
              <w:ind w:left="211"/>
              <w:rPr>
                <w:rFonts w:cs="Arial"/>
                <w:szCs w:val="22"/>
              </w:rPr>
            </w:pPr>
            <w:r w:rsidRPr="00D93B5B">
              <w:rPr>
                <w:rFonts w:cs="Arial"/>
                <w:szCs w:val="22"/>
              </w:rPr>
              <w:t>SAFETY PRO s.r.o.</w:t>
            </w:r>
            <w:r w:rsidR="009905FC" w:rsidRPr="00741514">
              <w:rPr>
                <w:rFonts w:cs="Arial"/>
                <w:szCs w:val="22"/>
              </w:rPr>
              <w:t xml:space="preserve"> </w:t>
            </w:r>
          </w:p>
        </w:tc>
      </w:tr>
    </w:tbl>
    <w:p w:rsidR="009905FC" w:rsidRDefault="009905FC" w:rsidP="009905FC">
      <w:pPr>
        <w:tabs>
          <w:tab w:val="left" w:pos="504"/>
          <w:tab w:val="left" w:pos="1106"/>
          <w:tab w:val="left" w:pos="2175"/>
          <w:tab w:val="left" w:pos="2895"/>
          <w:tab w:val="left" w:pos="3615"/>
          <w:tab w:val="left" w:pos="4335"/>
          <w:tab w:val="left" w:pos="5055"/>
          <w:tab w:val="left" w:pos="5775"/>
          <w:tab w:val="left" w:pos="6495"/>
          <w:tab w:val="left" w:pos="7215"/>
          <w:tab w:val="left" w:pos="7935"/>
        </w:tabs>
        <w:spacing w:line="276" w:lineRule="auto"/>
        <w:ind w:left="1092" w:hanging="525"/>
        <w:rPr>
          <w:rFonts w:cs="Arial"/>
          <w:szCs w:val="22"/>
        </w:rPr>
      </w:pPr>
      <w:r>
        <w:rPr>
          <w:rFonts w:cs="Arial"/>
          <w:szCs w:val="22"/>
        </w:rPr>
        <w:t>Ing. Štěpán Forman</w:t>
      </w:r>
      <w:r>
        <w:rPr>
          <w:rFonts w:cs="Arial"/>
          <w:szCs w:val="22"/>
        </w:rPr>
        <w:tab/>
      </w:r>
      <w:r>
        <w:rPr>
          <w:rFonts w:cs="Arial"/>
          <w:szCs w:val="22"/>
        </w:rPr>
        <w:tab/>
      </w:r>
      <w:r>
        <w:rPr>
          <w:rFonts w:cs="Arial"/>
          <w:szCs w:val="22"/>
        </w:rPr>
        <w:tab/>
      </w:r>
      <w:r>
        <w:rPr>
          <w:rFonts w:cs="Arial"/>
          <w:szCs w:val="22"/>
        </w:rPr>
        <w:tab/>
      </w:r>
      <w:r>
        <w:rPr>
          <w:rFonts w:cs="Arial"/>
          <w:szCs w:val="22"/>
        </w:rPr>
        <w:tab/>
      </w:r>
      <w:r w:rsidR="00D93B5B">
        <w:rPr>
          <w:rFonts w:cs="Arial"/>
          <w:szCs w:val="22"/>
        </w:rPr>
        <w:t>Ing. Jiří Smékal, MBA</w:t>
      </w:r>
    </w:p>
    <w:p w:rsidR="009905FC" w:rsidRPr="00C64178" w:rsidRDefault="001F5995" w:rsidP="009905FC">
      <w:pPr>
        <w:tabs>
          <w:tab w:val="left" w:pos="504"/>
          <w:tab w:val="left" w:pos="1106"/>
          <w:tab w:val="left" w:pos="2175"/>
          <w:tab w:val="left" w:pos="2895"/>
          <w:tab w:val="left" w:pos="3615"/>
          <w:tab w:val="left" w:pos="4335"/>
          <w:tab w:val="left" w:pos="5055"/>
          <w:tab w:val="left" w:pos="5775"/>
          <w:tab w:val="left" w:pos="6495"/>
          <w:tab w:val="left" w:pos="7215"/>
          <w:tab w:val="left" w:pos="7935"/>
        </w:tabs>
        <w:spacing w:before="0" w:line="276" w:lineRule="auto"/>
        <w:ind w:left="1092" w:hanging="525"/>
        <w:rPr>
          <w:rFonts w:cs="Arial"/>
          <w:szCs w:val="22"/>
        </w:rPr>
      </w:pPr>
      <w:r>
        <w:rPr>
          <w:rFonts w:cs="Arial"/>
          <w:szCs w:val="22"/>
        </w:rPr>
        <w:t xml:space="preserve">          </w:t>
      </w:r>
      <w:r w:rsidR="0035672D">
        <w:rPr>
          <w:rFonts w:cs="Arial"/>
          <w:szCs w:val="22"/>
        </w:rPr>
        <w:t>ř</w:t>
      </w:r>
      <w:r w:rsidR="009905FC">
        <w:rPr>
          <w:rFonts w:cs="Arial"/>
          <w:szCs w:val="22"/>
        </w:rPr>
        <w:t>editel</w:t>
      </w:r>
      <w:r>
        <w:rPr>
          <w:rFonts w:cs="Arial"/>
          <w:szCs w:val="22"/>
        </w:rPr>
        <w:t xml:space="preserve">      </w:t>
      </w:r>
      <w:r w:rsidR="0035672D">
        <w:rPr>
          <w:rFonts w:cs="Arial"/>
          <w:szCs w:val="22"/>
        </w:rPr>
        <w:tab/>
      </w:r>
      <w:r>
        <w:rPr>
          <w:rFonts w:cs="Arial"/>
          <w:szCs w:val="22"/>
        </w:rPr>
        <w:t xml:space="preserve">            </w:t>
      </w:r>
      <w:r w:rsidR="009905FC">
        <w:rPr>
          <w:rFonts w:cs="Arial"/>
          <w:szCs w:val="22"/>
        </w:rPr>
        <w:tab/>
      </w:r>
      <w:r w:rsidR="009905FC">
        <w:rPr>
          <w:rFonts w:cs="Arial"/>
          <w:szCs w:val="22"/>
        </w:rPr>
        <w:tab/>
      </w:r>
      <w:r w:rsidR="009905FC">
        <w:rPr>
          <w:rFonts w:cs="Arial"/>
          <w:szCs w:val="22"/>
        </w:rPr>
        <w:tab/>
      </w:r>
      <w:r w:rsidR="009905FC">
        <w:rPr>
          <w:rFonts w:cs="Arial"/>
          <w:szCs w:val="22"/>
        </w:rPr>
        <w:tab/>
      </w:r>
      <w:r w:rsidR="009905FC">
        <w:rPr>
          <w:rFonts w:cs="Arial"/>
          <w:szCs w:val="22"/>
        </w:rPr>
        <w:tab/>
      </w:r>
      <w:r w:rsidR="00D93B5B">
        <w:rPr>
          <w:rFonts w:cs="Arial"/>
          <w:szCs w:val="22"/>
        </w:rPr>
        <w:t>jednatel</w:t>
      </w:r>
    </w:p>
    <w:p w:rsidR="009905FC" w:rsidRPr="005576C7" w:rsidRDefault="009905FC" w:rsidP="009905FC">
      <w:pPr>
        <w:spacing w:line="276" w:lineRule="auto"/>
      </w:pPr>
    </w:p>
    <w:p w:rsidR="00C81F6A" w:rsidRDefault="00C81F6A"/>
    <w:p w:rsidR="00583E75" w:rsidRDefault="00583E75"/>
    <w:p w:rsidR="001F5995" w:rsidRDefault="001F5995"/>
    <w:p w:rsidR="001F5995" w:rsidRDefault="001F5995"/>
    <w:p w:rsidR="001F5995" w:rsidRDefault="001F5995"/>
    <w:p w:rsidR="001F5995" w:rsidRDefault="001F5995"/>
    <w:p w:rsidR="005F494C" w:rsidRPr="00D04D23" w:rsidRDefault="005F494C" w:rsidP="005F49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rPr>
      </w:pPr>
      <w:r w:rsidRPr="00D04D23">
        <w:rPr>
          <w:rFonts w:ascii="Arial" w:hAnsi="Arial" w:cs="Arial"/>
          <w:b/>
        </w:rPr>
        <w:t>Příloha č. 1</w:t>
      </w:r>
    </w:p>
    <w:p w:rsidR="005F494C" w:rsidRPr="00D04D23" w:rsidRDefault="005F494C" w:rsidP="005F49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D04D23">
        <w:rPr>
          <w:rFonts w:ascii="Arial" w:hAnsi="Arial" w:cs="Arial"/>
        </w:rPr>
        <w:t>Příkazní smlouvy o poskytnutí služeb technického dozoru stavebníka a koordinátora bezpečnosti a ochrany zdraví při práci</w:t>
      </w:r>
    </w:p>
    <w:p w:rsidR="005F494C" w:rsidRPr="00D04D23" w:rsidRDefault="005F494C" w:rsidP="005F494C">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rPr>
      </w:pPr>
      <w:r w:rsidRPr="00D04D23">
        <w:rPr>
          <w:rFonts w:ascii="Arial" w:hAnsi="Arial" w:cs="Arial"/>
          <w:b/>
        </w:rPr>
        <w:t>Realizační tým příkazníka</w:t>
      </w:r>
    </w:p>
    <w:p w:rsidR="005F494C" w:rsidRPr="00D04D23" w:rsidRDefault="005F494C" w:rsidP="005F494C">
      <w:pPr>
        <w:pStyle w:val="Bezmezer"/>
        <w:spacing w:line="276" w:lineRule="auto"/>
        <w:jc w:val="both"/>
        <w:rPr>
          <w:rFonts w:ascii="Arial" w:hAnsi="Arial" w:cs="Arial"/>
          <w:b/>
        </w:rPr>
      </w:pPr>
    </w:p>
    <w:p w:rsidR="005F494C" w:rsidRPr="00D04D23" w:rsidRDefault="005F494C" w:rsidP="005F494C">
      <w:pPr>
        <w:pStyle w:val="Bezmezer"/>
        <w:spacing w:line="276" w:lineRule="auto"/>
        <w:jc w:val="both"/>
        <w:rPr>
          <w:rFonts w:ascii="Arial" w:hAnsi="Arial" w:cs="Arial"/>
          <w:b/>
        </w:rPr>
      </w:pPr>
    </w:p>
    <w:p w:rsidR="001F5995" w:rsidRPr="001F5995" w:rsidRDefault="001F5995" w:rsidP="005F494C">
      <w:pPr>
        <w:rPr>
          <w:rFonts w:cs="Arial"/>
          <w:szCs w:val="22"/>
          <w:highlight w:val="yellow"/>
        </w:rPr>
      </w:pPr>
    </w:p>
    <w:tbl>
      <w:tblPr>
        <w:tblStyle w:val="Mkatabulky"/>
        <w:tblW w:w="9356" w:type="dxa"/>
        <w:tblInd w:w="-147" w:type="dxa"/>
        <w:tblLook w:val="04A0" w:firstRow="1" w:lastRow="0" w:firstColumn="1" w:lastColumn="0" w:noHBand="0" w:noVBand="1"/>
      </w:tblPr>
      <w:tblGrid>
        <w:gridCol w:w="5083"/>
        <w:gridCol w:w="2119"/>
        <w:gridCol w:w="2154"/>
      </w:tblGrid>
      <w:tr w:rsidR="001F5995" w:rsidTr="00CA2FB3">
        <w:tc>
          <w:tcPr>
            <w:tcW w:w="5083" w:type="dxa"/>
          </w:tcPr>
          <w:p w:rsidR="001F5995" w:rsidRPr="001F5995" w:rsidRDefault="001F5995" w:rsidP="005F494C">
            <w:pPr>
              <w:rPr>
                <w:rFonts w:cs="Arial"/>
                <w:sz w:val="20"/>
                <w:szCs w:val="20"/>
                <w:highlight w:val="yellow"/>
              </w:rPr>
            </w:pPr>
            <w:r w:rsidRPr="001F5995">
              <w:rPr>
                <w:rFonts w:cs="Arial"/>
                <w:sz w:val="20"/>
                <w:szCs w:val="20"/>
              </w:rPr>
              <w:t>Funkce</w:t>
            </w:r>
          </w:p>
        </w:tc>
        <w:tc>
          <w:tcPr>
            <w:tcW w:w="2119" w:type="dxa"/>
          </w:tcPr>
          <w:p w:rsidR="001F5995" w:rsidRPr="001F5995" w:rsidRDefault="001F5995" w:rsidP="005F494C">
            <w:pPr>
              <w:rPr>
                <w:rFonts w:cs="Arial"/>
                <w:sz w:val="20"/>
                <w:szCs w:val="20"/>
                <w:highlight w:val="yellow"/>
              </w:rPr>
            </w:pPr>
            <w:r w:rsidRPr="001F5995">
              <w:rPr>
                <w:rFonts w:cs="Arial"/>
                <w:sz w:val="20"/>
                <w:szCs w:val="20"/>
              </w:rPr>
              <w:t>Jméno a příjmení</w:t>
            </w:r>
          </w:p>
        </w:tc>
        <w:tc>
          <w:tcPr>
            <w:tcW w:w="2154" w:type="dxa"/>
          </w:tcPr>
          <w:p w:rsidR="001F5995" w:rsidRPr="001F5995" w:rsidRDefault="001F5995" w:rsidP="005F494C">
            <w:pPr>
              <w:rPr>
                <w:rFonts w:cs="Arial"/>
                <w:sz w:val="20"/>
                <w:szCs w:val="20"/>
                <w:highlight w:val="yellow"/>
              </w:rPr>
            </w:pPr>
            <w:r w:rsidRPr="001F5995">
              <w:rPr>
                <w:rFonts w:cs="Arial"/>
                <w:sz w:val="20"/>
                <w:szCs w:val="20"/>
              </w:rPr>
              <w:t>E-mail</w:t>
            </w:r>
          </w:p>
        </w:tc>
      </w:tr>
      <w:tr w:rsidR="00F06902" w:rsidTr="00CA2FB3">
        <w:tc>
          <w:tcPr>
            <w:tcW w:w="5083" w:type="dxa"/>
          </w:tcPr>
          <w:p w:rsidR="00F06902" w:rsidRPr="001F5995" w:rsidRDefault="00F06902" w:rsidP="00F06902">
            <w:pPr>
              <w:rPr>
                <w:rFonts w:cs="Arial"/>
                <w:sz w:val="20"/>
                <w:szCs w:val="20"/>
                <w:highlight w:val="yellow"/>
              </w:rPr>
            </w:pPr>
            <w:r w:rsidRPr="001F5995">
              <w:rPr>
                <w:rFonts w:cs="Arial"/>
                <w:sz w:val="20"/>
                <w:szCs w:val="20"/>
              </w:rPr>
              <w:t>Hlavní stavební dozor projektu</w:t>
            </w:r>
          </w:p>
        </w:tc>
        <w:tc>
          <w:tcPr>
            <w:tcW w:w="2119" w:type="dxa"/>
          </w:tcPr>
          <w:p w:rsidR="00F06902" w:rsidRPr="00F06902" w:rsidRDefault="00F06902" w:rsidP="00F06902">
            <w:pPr>
              <w:rPr>
                <w:rFonts w:cs="Arial"/>
                <w:sz w:val="20"/>
                <w:szCs w:val="20"/>
              </w:rPr>
            </w:pPr>
            <w:r w:rsidRPr="00F06902">
              <w:rPr>
                <w:rFonts w:cs="Arial"/>
                <w:sz w:val="20"/>
                <w:szCs w:val="20"/>
              </w:rPr>
              <w:t>XXXXXXXXXXXX</w:t>
            </w:r>
          </w:p>
        </w:tc>
        <w:tc>
          <w:tcPr>
            <w:tcW w:w="2154" w:type="dxa"/>
          </w:tcPr>
          <w:p w:rsidR="00F06902" w:rsidRDefault="00F06902" w:rsidP="00F06902">
            <w:r w:rsidRPr="0029440C">
              <w:rPr>
                <w:rFonts w:cs="Arial"/>
                <w:sz w:val="20"/>
                <w:szCs w:val="20"/>
              </w:rPr>
              <w:t>XXXXXXXXXXXX</w:t>
            </w:r>
          </w:p>
        </w:tc>
      </w:tr>
      <w:tr w:rsidR="00F06902" w:rsidTr="00CA2FB3">
        <w:tc>
          <w:tcPr>
            <w:tcW w:w="5083" w:type="dxa"/>
          </w:tcPr>
          <w:p w:rsidR="00F06902" w:rsidRPr="001F5995" w:rsidRDefault="00F06902" w:rsidP="00F06902">
            <w:pPr>
              <w:rPr>
                <w:rFonts w:cs="Arial"/>
                <w:sz w:val="20"/>
                <w:szCs w:val="20"/>
                <w:highlight w:val="yellow"/>
              </w:rPr>
            </w:pPr>
            <w:r w:rsidRPr="001F5995">
              <w:rPr>
                <w:rFonts w:cs="Arial"/>
                <w:sz w:val="20"/>
                <w:szCs w:val="20"/>
              </w:rPr>
              <w:t>Zodpovědný technik v oboru technika prostředí staveb</w:t>
            </w:r>
          </w:p>
        </w:tc>
        <w:tc>
          <w:tcPr>
            <w:tcW w:w="2119" w:type="dxa"/>
          </w:tcPr>
          <w:p w:rsidR="00F06902" w:rsidRDefault="00F06902" w:rsidP="00F06902">
            <w:r w:rsidRPr="000E767A">
              <w:rPr>
                <w:rFonts w:cs="Arial"/>
                <w:sz w:val="20"/>
                <w:szCs w:val="20"/>
              </w:rPr>
              <w:t>XXXXXXXXXXXX</w:t>
            </w:r>
          </w:p>
        </w:tc>
        <w:tc>
          <w:tcPr>
            <w:tcW w:w="2154" w:type="dxa"/>
          </w:tcPr>
          <w:p w:rsidR="00F06902" w:rsidRDefault="00F06902" w:rsidP="00F06902">
            <w:r w:rsidRPr="0029440C">
              <w:rPr>
                <w:rFonts w:cs="Arial"/>
                <w:sz w:val="20"/>
                <w:szCs w:val="20"/>
              </w:rPr>
              <w:t>XXXXXXXXXXXX</w:t>
            </w:r>
          </w:p>
        </w:tc>
      </w:tr>
      <w:tr w:rsidR="00F06902" w:rsidTr="00CA2FB3">
        <w:tc>
          <w:tcPr>
            <w:tcW w:w="5083" w:type="dxa"/>
          </w:tcPr>
          <w:p w:rsidR="00F06902" w:rsidRPr="001F5995" w:rsidRDefault="00F06902" w:rsidP="00F06902">
            <w:pPr>
              <w:rPr>
                <w:rFonts w:cs="Arial"/>
                <w:sz w:val="20"/>
                <w:szCs w:val="20"/>
                <w:highlight w:val="yellow"/>
              </w:rPr>
            </w:pPr>
            <w:r w:rsidRPr="001F5995">
              <w:rPr>
                <w:rFonts w:cs="Arial"/>
                <w:sz w:val="20"/>
                <w:szCs w:val="20"/>
              </w:rPr>
              <w:t>Zodpovědný koordinátor BOZP</w:t>
            </w:r>
          </w:p>
        </w:tc>
        <w:tc>
          <w:tcPr>
            <w:tcW w:w="2119" w:type="dxa"/>
          </w:tcPr>
          <w:p w:rsidR="00F06902" w:rsidRDefault="00F06902" w:rsidP="00F06902">
            <w:r w:rsidRPr="000E767A">
              <w:rPr>
                <w:rFonts w:cs="Arial"/>
                <w:sz w:val="20"/>
                <w:szCs w:val="20"/>
              </w:rPr>
              <w:t>XXXXXXXXXXXX</w:t>
            </w:r>
          </w:p>
        </w:tc>
        <w:tc>
          <w:tcPr>
            <w:tcW w:w="2154" w:type="dxa"/>
          </w:tcPr>
          <w:p w:rsidR="00F06902" w:rsidRDefault="00F06902" w:rsidP="00F06902">
            <w:r w:rsidRPr="0029440C">
              <w:rPr>
                <w:rFonts w:cs="Arial"/>
                <w:sz w:val="20"/>
                <w:szCs w:val="20"/>
              </w:rPr>
              <w:t>XXXXXXXXXXXX</w:t>
            </w:r>
          </w:p>
        </w:tc>
      </w:tr>
    </w:tbl>
    <w:p w:rsidR="001F5995" w:rsidRDefault="001F5995" w:rsidP="005F494C">
      <w:pPr>
        <w:rPr>
          <w:rFonts w:cs="Arial"/>
          <w:i/>
          <w:szCs w:val="22"/>
          <w:highlight w:val="yellow"/>
        </w:rPr>
      </w:pPr>
    </w:p>
    <w:p w:rsidR="005F494C" w:rsidRDefault="005F494C"/>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3F5772" w:rsidRDefault="003F5772"/>
    <w:p w:rsidR="00983B13" w:rsidRPr="00D04D23" w:rsidRDefault="00983B13" w:rsidP="00983B1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rPr>
      </w:pPr>
      <w:r w:rsidRPr="00D04D23">
        <w:rPr>
          <w:rFonts w:ascii="Arial" w:hAnsi="Arial" w:cs="Arial"/>
          <w:b/>
        </w:rPr>
        <w:lastRenderedPageBreak/>
        <w:t>Příloha č. 2</w:t>
      </w:r>
    </w:p>
    <w:p w:rsidR="00983B13" w:rsidRPr="00D04D23" w:rsidRDefault="00983B13" w:rsidP="00983B1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D04D23">
        <w:rPr>
          <w:rFonts w:ascii="Arial" w:hAnsi="Arial" w:cs="Arial"/>
        </w:rPr>
        <w:t>Příkazní smlouvy o poskytnutí služeb technického dozoru stavebníka a koordinátora bezpečnosti a ochrany zdraví při práci</w:t>
      </w:r>
    </w:p>
    <w:p w:rsidR="00983B13" w:rsidRPr="00D04D23" w:rsidRDefault="00983B13" w:rsidP="00983B1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rPr>
      </w:pPr>
      <w:r w:rsidRPr="00D04D23">
        <w:rPr>
          <w:rFonts w:ascii="Arial" w:hAnsi="Arial" w:cs="Arial"/>
          <w:b/>
        </w:rPr>
        <w:t>Seznam poddodavatelů</w:t>
      </w:r>
    </w:p>
    <w:p w:rsidR="00983B13" w:rsidRPr="00D04D23" w:rsidRDefault="00983B13" w:rsidP="00983B13">
      <w:pPr>
        <w:pStyle w:val="Bezmezer"/>
        <w:spacing w:line="276" w:lineRule="auto"/>
        <w:jc w:val="both"/>
        <w:rPr>
          <w:rFonts w:ascii="Arial" w:hAnsi="Arial" w:cs="Arial"/>
          <w:b/>
        </w:rPr>
      </w:pPr>
    </w:p>
    <w:p w:rsidR="00983B13" w:rsidRPr="00D04D23" w:rsidRDefault="00983B13" w:rsidP="00983B13">
      <w:pPr>
        <w:pStyle w:val="Bezmezer"/>
        <w:spacing w:line="276" w:lineRule="auto"/>
        <w:jc w:val="both"/>
        <w:rPr>
          <w:rFonts w:ascii="Arial" w:hAnsi="Arial" w:cs="Arial"/>
          <w:b/>
        </w:rPr>
      </w:pPr>
    </w:p>
    <w:tbl>
      <w:tblPr>
        <w:tblW w:w="5169"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394"/>
        <w:gridCol w:w="5962"/>
      </w:tblGrid>
      <w:tr w:rsidR="00983B13" w:rsidRPr="000B3455" w:rsidTr="001F5995">
        <w:tc>
          <w:tcPr>
            <w:tcW w:w="1814" w:type="pct"/>
            <w:shd w:val="clear" w:color="auto" w:fill="FFFFFF" w:themeFill="background1"/>
            <w:tcMar>
              <w:top w:w="0" w:type="dxa"/>
              <w:left w:w="108" w:type="dxa"/>
              <w:bottom w:w="0" w:type="dxa"/>
              <w:right w:w="108" w:type="dxa"/>
            </w:tcMar>
            <w:hideMark/>
          </w:tcPr>
          <w:p w:rsidR="00983B13" w:rsidRPr="00D04D23" w:rsidRDefault="00983B13" w:rsidP="00C5337C">
            <w:pPr>
              <w:spacing w:after="120"/>
              <w:rPr>
                <w:rFonts w:cs="Arial"/>
                <w:b/>
                <w:bCs/>
                <w:szCs w:val="22"/>
              </w:rPr>
            </w:pPr>
            <w:r w:rsidRPr="00D04D23">
              <w:rPr>
                <w:rFonts w:cs="Arial"/>
                <w:b/>
                <w:bCs/>
                <w:szCs w:val="22"/>
              </w:rPr>
              <w:t>Jméno/Název</w:t>
            </w:r>
          </w:p>
        </w:tc>
        <w:tc>
          <w:tcPr>
            <w:tcW w:w="3186" w:type="pct"/>
            <w:shd w:val="clear" w:color="auto" w:fill="auto"/>
            <w:tcMar>
              <w:top w:w="0" w:type="dxa"/>
              <w:left w:w="108" w:type="dxa"/>
              <w:bottom w:w="0" w:type="dxa"/>
              <w:right w:w="108" w:type="dxa"/>
            </w:tcMar>
            <w:vAlign w:val="center"/>
          </w:tcPr>
          <w:p w:rsidR="00983B13" w:rsidRPr="00547ECC" w:rsidRDefault="00983B13" w:rsidP="00C5337C">
            <w:pPr>
              <w:spacing w:after="80"/>
              <w:rPr>
                <w:color w:val="1F497D"/>
                <w:szCs w:val="22"/>
              </w:rPr>
            </w:pPr>
          </w:p>
        </w:tc>
      </w:tr>
      <w:tr w:rsidR="00983B13" w:rsidRPr="000B3455" w:rsidTr="001F5995">
        <w:tc>
          <w:tcPr>
            <w:tcW w:w="1814" w:type="pct"/>
            <w:shd w:val="clear" w:color="auto" w:fill="FFFFFF" w:themeFill="background1"/>
            <w:tcMar>
              <w:top w:w="0" w:type="dxa"/>
              <w:left w:w="108" w:type="dxa"/>
              <w:bottom w:w="0" w:type="dxa"/>
              <w:right w:w="108" w:type="dxa"/>
            </w:tcMar>
            <w:hideMark/>
          </w:tcPr>
          <w:p w:rsidR="00983B13" w:rsidRPr="00D04D23" w:rsidRDefault="00983B13" w:rsidP="00C5337C">
            <w:pPr>
              <w:spacing w:after="120"/>
              <w:rPr>
                <w:rFonts w:cs="Arial"/>
                <w:bCs/>
                <w:szCs w:val="22"/>
                <w:vertAlign w:val="superscript"/>
              </w:rPr>
            </w:pPr>
            <w:r w:rsidRPr="00D04D23">
              <w:rPr>
                <w:rFonts w:cs="Arial"/>
                <w:b/>
                <w:bCs/>
                <w:szCs w:val="22"/>
              </w:rPr>
              <w:t>Sídlo</w:t>
            </w:r>
          </w:p>
        </w:tc>
        <w:tc>
          <w:tcPr>
            <w:tcW w:w="3186" w:type="pct"/>
            <w:shd w:val="clear" w:color="auto" w:fill="auto"/>
            <w:tcMar>
              <w:top w:w="0" w:type="dxa"/>
              <w:left w:w="108" w:type="dxa"/>
              <w:bottom w:w="0" w:type="dxa"/>
              <w:right w:w="108" w:type="dxa"/>
            </w:tcMar>
          </w:tcPr>
          <w:p w:rsidR="00983B13" w:rsidRPr="00547ECC" w:rsidRDefault="00983B13" w:rsidP="00C5337C">
            <w:pPr>
              <w:spacing w:after="80"/>
              <w:rPr>
                <w:color w:val="1F497D"/>
                <w:szCs w:val="22"/>
              </w:rPr>
            </w:pPr>
          </w:p>
        </w:tc>
      </w:tr>
      <w:tr w:rsidR="00983B13" w:rsidRPr="000B3455" w:rsidTr="001F5995">
        <w:tc>
          <w:tcPr>
            <w:tcW w:w="1814" w:type="pct"/>
            <w:shd w:val="clear" w:color="auto" w:fill="FFFFFF" w:themeFill="background1"/>
            <w:tcMar>
              <w:top w:w="0" w:type="dxa"/>
              <w:left w:w="108" w:type="dxa"/>
              <w:bottom w:w="0" w:type="dxa"/>
              <w:right w:w="108" w:type="dxa"/>
            </w:tcMar>
            <w:hideMark/>
          </w:tcPr>
          <w:p w:rsidR="00983B13" w:rsidRPr="00D04D23" w:rsidRDefault="00983B13" w:rsidP="00C5337C">
            <w:pPr>
              <w:spacing w:after="120"/>
              <w:rPr>
                <w:rFonts w:cs="Arial"/>
                <w:bCs/>
                <w:szCs w:val="22"/>
                <w:vertAlign w:val="superscript"/>
              </w:rPr>
            </w:pPr>
            <w:r w:rsidRPr="00D04D23">
              <w:rPr>
                <w:rFonts w:cs="Arial"/>
                <w:b/>
                <w:bCs/>
                <w:szCs w:val="22"/>
              </w:rPr>
              <w:t>IČO</w:t>
            </w:r>
          </w:p>
        </w:tc>
        <w:tc>
          <w:tcPr>
            <w:tcW w:w="3186" w:type="pct"/>
            <w:shd w:val="clear" w:color="auto" w:fill="auto"/>
            <w:tcMar>
              <w:top w:w="0" w:type="dxa"/>
              <w:left w:w="108" w:type="dxa"/>
              <w:bottom w:w="0" w:type="dxa"/>
              <w:right w:w="108" w:type="dxa"/>
            </w:tcMar>
          </w:tcPr>
          <w:p w:rsidR="00983B13" w:rsidRPr="00D04D23" w:rsidRDefault="00983B13" w:rsidP="00C5337C">
            <w:pPr>
              <w:spacing w:after="80"/>
              <w:rPr>
                <w:szCs w:val="22"/>
              </w:rPr>
            </w:pPr>
          </w:p>
        </w:tc>
      </w:tr>
      <w:tr w:rsidR="00983B13" w:rsidRPr="000B3455" w:rsidTr="001F5995">
        <w:tc>
          <w:tcPr>
            <w:tcW w:w="1814" w:type="pct"/>
            <w:shd w:val="clear" w:color="auto" w:fill="FFFFFF" w:themeFill="background1"/>
            <w:tcMar>
              <w:top w:w="0" w:type="dxa"/>
              <w:left w:w="108" w:type="dxa"/>
              <w:bottom w:w="0" w:type="dxa"/>
              <w:right w:w="108" w:type="dxa"/>
            </w:tcMar>
            <w:hideMark/>
          </w:tcPr>
          <w:p w:rsidR="00983B13" w:rsidRPr="00D04D23" w:rsidRDefault="00983B13" w:rsidP="00C5337C">
            <w:pPr>
              <w:spacing w:after="120"/>
              <w:rPr>
                <w:rFonts w:cs="Arial"/>
                <w:bCs/>
                <w:szCs w:val="22"/>
                <w:vertAlign w:val="superscript"/>
              </w:rPr>
            </w:pPr>
            <w:r w:rsidRPr="00D04D23">
              <w:rPr>
                <w:rFonts w:cs="Arial"/>
                <w:b/>
                <w:bCs/>
                <w:szCs w:val="22"/>
              </w:rPr>
              <w:t>Kontaktní osoba</w:t>
            </w:r>
          </w:p>
        </w:tc>
        <w:tc>
          <w:tcPr>
            <w:tcW w:w="3186" w:type="pct"/>
            <w:shd w:val="clear" w:color="auto" w:fill="auto"/>
            <w:tcMar>
              <w:top w:w="0" w:type="dxa"/>
              <w:left w:w="108" w:type="dxa"/>
              <w:bottom w:w="0" w:type="dxa"/>
              <w:right w:w="108" w:type="dxa"/>
            </w:tcMar>
            <w:vAlign w:val="center"/>
          </w:tcPr>
          <w:p w:rsidR="00983B13" w:rsidRPr="00547ECC" w:rsidRDefault="00983B13" w:rsidP="00C5337C">
            <w:pPr>
              <w:spacing w:after="80"/>
              <w:rPr>
                <w:szCs w:val="22"/>
              </w:rPr>
            </w:pPr>
          </w:p>
        </w:tc>
      </w:tr>
      <w:tr w:rsidR="00983B13" w:rsidRPr="000B3455" w:rsidTr="001F5995">
        <w:tc>
          <w:tcPr>
            <w:tcW w:w="1814" w:type="pct"/>
            <w:shd w:val="clear" w:color="auto" w:fill="FFFFFF" w:themeFill="background1"/>
            <w:tcMar>
              <w:top w:w="0" w:type="dxa"/>
              <w:left w:w="108" w:type="dxa"/>
              <w:bottom w:w="0" w:type="dxa"/>
              <w:right w:w="108" w:type="dxa"/>
            </w:tcMar>
            <w:hideMark/>
          </w:tcPr>
          <w:p w:rsidR="00983B13" w:rsidRPr="00D04D23" w:rsidRDefault="00983B13" w:rsidP="00C5337C">
            <w:pPr>
              <w:spacing w:after="120"/>
              <w:rPr>
                <w:rFonts w:cs="Arial"/>
                <w:bCs/>
                <w:szCs w:val="22"/>
                <w:vertAlign w:val="superscript"/>
              </w:rPr>
            </w:pPr>
            <w:r w:rsidRPr="00D04D23">
              <w:rPr>
                <w:rFonts w:cs="Arial"/>
                <w:b/>
                <w:bCs/>
                <w:szCs w:val="22"/>
              </w:rPr>
              <w:t>Tel., email, kontaktní adresa</w:t>
            </w:r>
          </w:p>
        </w:tc>
        <w:tc>
          <w:tcPr>
            <w:tcW w:w="3186" w:type="pct"/>
            <w:shd w:val="clear" w:color="auto" w:fill="auto"/>
            <w:tcMar>
              <w:top w:w="0" w:type="dxa"/>
              <w:left w:w="108" w:type="dxa"/>
              <w:bottom w:w="0" w:type="dxa"/>
              <w:right w:w="108" w:type="dxa"/>
            </w:tcMar>
          </w:tcPr>
          <w:p w:rsidR="00983B13" w:rsidRPr="00547ECC" w:rsidRDefault="00983B13" w:rsidP="00C5337C">
            <w:pPr>
              <w:spacing w:after="80"/>
              <w:rPr>
                <w:szCs w:val="22"/>
              </w:rPr>
            </w:pPr>
          </w:p>
        </w:tc>
      </w:tr>
      <w:tr w:rsidR="00983B13" w:rsidRPr="000B3455" w:rsidTr="001F5995">
        <w:tc>
          <w:tcPr>
            <w:tcW w:w="1814" w:type="pct"/>
            <w:shd w:val="clear" w:color="auto" w:fill="FFFFFF" w:themeFill="background1"/>
            <w:tcMar>
              <w:top w:w="0" w:type="dxa"/>
              <w:left w:w="108" w:type="dxa"/>
              <w:bottom w:w="0" w:type="dxa"/>
              <w:right w:w="108" w:type="dxa"/>
            </w:tcMar>
            <w:hideMark/>
          </w:tcPr>
          <w:p w:rsidR="00983B13" w:rsidRPr="00D04D23" w:rsidRDefault="00983B13" w:rsidP="00983B13">
            <w:pPr>
              <w:keepNext/>
              <w:spacing w:after="120"/>
              <w:rPr>
                <w:rFonts w:cs="Arial"/>
                <w:bCs/>
                <w:szCs w:val="22"/>
                <w:vertAlign w:val="superscript"/>
              </w:rPr>
            </w:pPr>
            <w:r w:rsidRPr="00D04D23">
              <w:rPr>
                <w:rFonts w:cs="Arial"/>
                <w:b/>
                <w:bCs/>
                <w:szCs w:val="22"/>
              </w:rPr>
              <w:t>Věcné vymezení části zakázky, která bude plněna prostřednictvím poddodavatele</w:t>
            </w:r>
          </w:p>
        </w:tc>
        <w:tc>
          <w:tcPr>
            <w:tcW w:w="3186" w:type="pct"/>
            <w:shd w:val="clear" w:color="auto" w:fill="auto"/>
            <w:tcMar>
              <w:top w:w="0" w:type="dxa"/>
              <w:left w:w="108" w:type="dxa"/>
              <w:bottom w:w="0" w:type="dxa"/>
              <w:right w:w="108" w:type="dxa"/>
            </w:tcMar>
            <w:vAlign w:val="center"/>
          </w:tcPr>
          <w:p w:rsidR="00983B13" w:rsidRPr="00547ECC" w:rsidRDefault="00983B13" w:rsidP="00C5337C">
            <w:pPr>
              <w:spacing w:after="80"/>
              <w:rPr>
                <w:szCs w:val="22"/>
              </w:rPr>
            </w:pPr>
          </w:p>
        </w:tc>
      </w:tr>
      <w:tr w:rsidR="00983B13" w:rsidRPr="000B3455" w:rsidTr="001F5995">
        <w:tc>
          <w:tcPr>
            <w:tcW w:w="1814" w:type="pct"/>
            <w:shd w:val="clear" w:color="auto" w:fill="FFFFFF" w:themeFill="background1"/>
            <w:tcMar>
              <w:top w:w="0" w:type="dxa"/>
              <w:left w:w="108" w:type="dxa"/>
              <w:bottom w:w="0" w:type="dxa"/>
              <w:right w:w="108" w:type="dxa"/>
            </w:tcMar>
            <w:hideMark/>
          </w:tcPr>
          <w:p w:rsidR="00983B13" w:rsidRPr="00D04D23" w:rsidRDefault="00983B13" w:rsidP="00C5337C">
            <w:pPr>
              <w:keepNext/>
              <w:spacing w:after="120"/>
              <w:rPr>
                <w:rFonts w:cs="Arial"/>
                <w:bCs/>
                <w:szCs w:val="22"/>
                <w:vertAlign w:val="superscript"/>
              </w:rPr>
            </w:pPr>
            <w:r w:rsidRPr="00D04D23">
              <w:rPr>
                <w:rFonts w:cs="Arial"/>
                <w:b/>
                <w:bCs/>
                <w:szCs w:val="22"/>
              </w:rPr>
              <w:t>Rozsah činností, který bude poddodavatel v rámci plnění předmětu zakázky provádět</w:t>
            </w:r>
          </w:p>
        </w:tc>
        <w:tc>
          <w:tcPr>
            <w:tcW w:w="3186" w:type="pct"/>
            <w:shd w:val="clear" w:color="auto" w:fill="auto"/>
            <w:tcMar>
              <w:top w:w="0" w:type="dxa"/>
              <w:left w:w="108" w:type="dxa"/>
              <w:bottom w:w="0" w:type="dxa"/>
              <w:right w:w="108" w:type="dxa"/>
            </w:tcMar>
            <w:vAlign w:val="center"/>
          </w:tcPr>
          <w:p w:rsidR="00983B13" w:rsidRPr="00547ECC" w:rsidRDefault="00983B13" w:rsidP="00C5337C">
            <w:pPr>
              <w:spacing w:after="80"/>
              <w:rPr>
                <w:szCs w:val="22"/>
              </w:rPr>
            </w:pPr>
          </w:p>
        </w:tc>
      </w:tr>
    </w:tbl>
    <w:p w:rsidR="003F5772" w:rsidRDefault="003F5772"/>
    <w:p w:rsidR="001F5995" w:rsidRPr="001F5995" w:rsidRDefault="001F5995" w:rsidP="001F5995">
      <w:pPr>
        <w:spacing w:before="0"/>
        <w:rPr>
          <w:b/>
        </w:rPr>
      </w:pPr>
      <w:r w:rsidRPr="001F5995">
        <w:rPr>
          <w:b/>
        </w:rPr>
        <w:t>V rámci veřejné zakázky malého rozsahu s názvem: „Technický dozor stavebníka a koordinátora BOZP – Energeticky úsporný projekt renovace administrativní budovy Katastrálního úřadu pro Zlínský kraj ve Zlíně“ příkazník nepředpokládá využití poddodavatele.</w:t>
      </w:r>
    </w:p>
    <w:p w:rsidR="003F5772" w:rsidRDefault="003F5772"/>
    <w:p w:rsidR="003F5772" w:rsidRDefault="003F5772"/>
    <w:p w:rsidR="003F5772" w:rsidRDefault="003F5772"/>
    <w:p w:rsidR="003F5772" w:rsidRDefault="003F5772"/>
    <w:p w:rsidR="003F5772" w:rsidRDefault="003F5772"/>
    <w:p w:rsidR="003F5772" w:rsidRDefault="003F5772"/>
    <w:p w:rsidR="000B3455" w:rsidRDefault="000B3455"/>
    <w:p w:rsidR="000B3455" w:rsidRDefault="000B3455"/>
    <w:p w:rsidR="000B3455" w:rsidRDefault="000B3455"/>
    <w:p w:rsidR="000B3455" w:rsidRDefault="000B3455"/>
    <w:p w:rsidR="009F776A" w:rsidRDefault="009F776A"/>
    <w:p w:rsidR="000B3455" w:rsidRDefault="000B3455"/>
    <w:p w:rsidR="00983B13" w:rsidRPr="00D04D23" w:rsidRDefault="00983B13" w:rsidP="00983B1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rPr>
      </w:pPr>
      <w:r w:rsidRPr="00D04D23">
        <w:rPr>
          <w:rFonts w:ascii="Arial" w:hAnsi="Arial" w:cs="Arial"/>
          <w:b/>
        </w:rPr>
        <w:t>Příloha č. 3</w:t>
      </w:r>
    </w:p>
    <w:p w:rsidR="00983B13" w:rsidRPr="00D04D23" w:rsidRDefault="00983B13" w:rsidP="00983B1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D04D23">
        <w:rPr>
          <w:rFonts w:ascii="Arial" w:hAnsi="Arial" w:cs="Arial"/>
        </w:rPr>
        <w:t>Příkazní smlouvy o poskytnutí služeb technického dozoru stavebníka a koordinátora bezpečnosti a ochrany zdraví při práci</w:t>
      </w:r>
    </w:p>
    <w:p w:rsidR="00983B13" w:rsidRPr="00D04D23" w:rsidRDefault="00983B13" w:rsidP="00983B13">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rPr>
      </w:pPr>
      <w:r w:rsidRPr="00D04D23">
        <w:rPr>
          <w:rFonts w:ascii="Arial" w:hAnsi="Arial" w:cs="Arial"/>
          <w:b/>
        </w:rPr>
        <w:t>Kontaktní a oprávněné osoby</w:t>
      </w:r>
    </w:p>
    <w:p w:rsidR="00983B13" w:rsidRPr="00D04D23" w:rsidRDefault="00983B13" w:rsidP="00983B13">
      <w:pPr>
        <w:pStyle w:val="Bezmezer"/>
        <w:spacing w:line="276" w:lineRule="auto"/>
        <w:jc w:val="both"/>
        <w:rPr>
          <w:rFonts w:ascii="Arial" w:hAnsi="Arial" w:cs="Arial"/>
          <w:b/>
        </w:rPr>
      </w:pPr>
    </w:p>
    <w:p w:rsidR="00983B13" w:rsidRPr="00D04D23" w:rsidRDefault="00983B13" w:rsidP="00983B13">
      <w:pPr>
        <w:pStyle w:val="Bezmezer"/>
        <w:spacing w:after="60" w:line="276" w:lineRule="auto"/>
        <w:jc w:val="both"/>
        <w:rPr>
          <w:rFonts w:ascii="Arial" w:hAnsi="Arial" w:cs="Arial"/>
          <w:b/>
        </w:rPr>
      </w:pPr>
      <w:r w:rsidRPr="00D04D23">
        <w:rPr>
          <w:rFonts w:ascii="Arial" w:hAnsi="Arial" w:cs="Arial"/>
          <w:b/>
        </w:rPr>
        <w:t>Za účelem řádné realizace této smlouvy jmenují smluvní strany kontaktní a oprávněné osoby, a to:</w:t>
      </w:r>
    </w:p>
    <w:p w:rsidR="00983B13" w:rsidRPr="00D04D23" w:rsidRDefault="00983B13" w:rsidP="00983B13">
      <w:pPr>
        <w:pStyle w:val="Bezmezer"/>
        <w:spacing w:after="60" w:line="276" w:lineRule="auto"/>
        <w:jc w:val="both"/>
        <w:rPr>
          <w:rFonts w:ascii="Arial" w:hAnsi="Arial" w:cs="Arial"/>
          <w:b/>
          <w:u w:val="single"/>
        </w:rPr>
      </w:pPr>
      <w:r w:rsidRPr="00D04D23">
        <w:rPr>
          <w:rFonts w:ascii="Arial" w:hAnsi="Arial" w:cs="Arial"/>
          <w:b/>
          <w:u w:val="single"/>
        </w:rPr>
        <w:t>K</w:t>
      </w:r>
      <w:r w:rsidR="000B3455">
        <w:rPr>
          <w:rFonts w:ascii="Arial" w:hAnsi="Arial" w:cs="Arial"/>
          <w:b/>
          <w:u w:val="single"/>
        </w:rPr>
        <w:t>atastrální úřad pro Zlínský kraj</w:t>
      </w:r>
      <w:r w:rsidRPr="00D04D23">
        <w:rPr>
          <w:rFonts w:ascii="Arial" w:hAnsi="Arial" w:cs="Arial"/>
          <w:b/>
          <w:u w:val="single"/>
        </w:rPr>
        <w:t xml:space="preserve">: </w:t>
      </w:r>
    </w:p>
    <w:p w:rsidR="00983B13" w:rsidRPr="00D04D23" w:rsidRDefault="00983B13" w:rsidP="00983B13">
      <w:pPr>
        <w:pStyle w:val="Bezmezer"/>
        <w:spacing w:after="60" w:line="276" w:lineRule="auto"/>
        <w:jc w:val="both"/>
        <w:rPr>
          <w:rFonts w:ascii="Arial" w:hAnsi="Arial" w:cs="Arial"/>
        </w:rPr>
      </w:pPr>
    </w:p>
    <w:tbl>
      <w:tblPr>
        <w:tblStyle w:val="Mkatabulky"/>
        <w:tblW w:w="9164" w:type="dxa"/>
        <w:jc w:val="center"/>
        <w:tblLook w:val="04A0" w:firstRow="1" w:lastRow="0" w:firstColumn="1" w:lastColumn="0" w:noHBand="0" w:noVBand="1"/>
      </w:tblPr>
      <w:tblGrid>
        <w:gridCol w:w="2830"/>
        <w:gridCol w:w="2410"/>
        <w:gridCol w:w="1454"/>
        <w:gridCol w:w="2470"/>
      </w:tblGrid>
      <w:tr w:rsidR="00983B13" w:rsidRPr="000B3455" w:rsidTr="005C029C">
        <w:trPr>
          <w:trHeight w:val="642"/>
          <w:jc w:val="center"/>
        </w:trPr>
        <w:tc>
          <w:tcPr>
            <w:tcW w:w="2830" w:type="dxa"/>
            <w:vAlign w:val="center"/>
          </w:tcPr>
          <w:p w:rsidR="00983B13" w:rsidRPr="00D04D23" w:rsidRDefault="00983B13" w:rsidP="00C5337C">
            <w:pPr>
              <w:pStyle w:val="Bezmezer"/>
              <w:spacing w:line="276" w:lineRule="auto"/>
              <w:rPr>
                <w:rFonts w:ascii="Arial" w:hAnsi="Arial" w:cs="Arial"/>
                <w:b/>
              </w:rPr>
            </w:pPr>
          </w:p>
        </w:tc>
        <w:tc>
          <w:tcPr>
            <w:tcW w:w="2410" w:type="dxa"/>
            <w:vAlign w:val="center"/>
          </w:tcPr>
          <w:p w:rsidR="00983B13" w:rsidRPr="00D04D23" w:rsidRDefault="00983B13" w:rsidP="00C5337C">
            <w:pPr>
              <w:pStyle w:val="Bezmezer"/>
              <w:spacing w:after="60" w:line="276" w:lineRule="auto"/>
              <w:jc w:val="both"/>
              <w:rPr>
                <w:rFonts w:ascii="Arial" w:hAnsi="Arial" w:cs="Arial"/>
                <w:b/>
              </w:rPr>
            </w:pPr>
            <w:r w:rsidRPr="00D04D23">
              <w:rPr>
                <w:rFonts w:ascii="Arial" w:hAnsi="Arial" w:cs="Arial"/>
                <w:b/>
              </w:rPr>
              <w:t>jméno</w:t>
            </w:r>
          </w:p>
        </w:tc>
        <w:tc>
          <w:tcPr>
            <w:tcW w:w="1454" w:type="dxa"/>
            <w:vAlign w:val="center"/>
          </w:tcPr>
          <w:p w:rsidR="00983B13" w:rsidRPr="00D04D23" w:rsidRDefault="00983B13" w:rsidP="00C5337C">
            <w:pPr>
              <w:pStyle w:val="Bezmezer"/>
              <w:spacing w:after="60" w:line="276" w:lineRule="auto"/>
              <w:jc w:val="both"/>
              <w:rPr>
                <w:rFonts w:ascii="Arial" w:hAnsi="Arial" w:cs="Arial"/>
                <w:b/>
              </w:rPr>
            </w:pPr>
            <w:r w:rsidRPr="00D04D23">
              <w:rPr>
                <w:rFonts w:ascii="Arial" w:hAnsi="Arial" w:cs="Arial"/>
                <w:b/>
              </w:rPr>
              <w:t>telefon</w:t>
            </w:r>
          </w:p>
        </w:tc>
        <w:tc>
          <w:tcPr>
            <w:tcW w:w="2470" w:type="dxa"/>
            <w:vAlign w:val="center"/>
          </w:tcPr>
          <w:p w:rsidR="00983B13" w:rsidRPr="00D04D23" w:rsidRDefault="00983B13" w:rsidP="00C5337C">
            <w:pPr>
              <w:pStyle w:val="Bezmezer"/>
              <w:spacing w:after="60" w:line="276" w:lineRule="auto"/>
              <w:jc w:val="both"/>
              <w:rPr>
                <w:rFonts w:ascii="Arial" w:hAnsi="Arial" w:cs="Arial"/>
                <w:b/>
              </w:rPr>
            </w:pPr>
            <w:r w:rsidRPr="00D04D23">
              <w:rPr>
                <w:rFonts w:ascii="Arial" w:hAnsi="Arial" w:cs="Arial"/>
                <w:b/>
              </w:rPr>
              <w:t>e-mail</w:t>
            </w:r>
          </w:p>
        </w:tc>
      </w:tr>
      <w:tr w:rsidR="00F06902" w:rsidRPr="000B3455" w:rsidTr="00F06902">
        <w:trPr>
          <w:trHeight w:val="642"/>
          <w:jc w:val="center"/>
        </w:trPr>
        <w:tc>
          <w:tcPr>
            <w:tcW w:w="2830" w:type="dxa"/>
            <w:vAlign w:val="center"/>
          </w:tcPr>
          <w:p w:rsidR="00F06902" w:rsidRPr="005C029C" w:rsidRDefault="00F06902" w:rsidP="00F06902">
            <w:pPr>
              <w:pStyle w:val="Bezmezer"/>
              <w:spacing w:line="276" w:lineRule="auto"/>
              <w:rPr>
                <w:rFonts w:ascii="Arial" w:hAnsi="Arial" w:cs="Arial"/>
                <w:sz w:val="20"/>
                <w:szCs w:val="20"/>
              </w:rPr>
            </w:pPr>
            <w:r w:rsidRPr="005C029C">
              <w:rPr>
                <w:rFonts w:ascii="Arial" w:hAnsi="Arial" w:cs="Arial"/>
                <w:b/>
                <w:sz w:val="20"/>
                <w:szCs w:val="20"/>
              </w:rPr>
              <w:t>kontaktní osoba ve věcech administrativních</w:t>
            </w:r>
          </w:p>
        </w:tc>
        <w:tc>
          <w:tcPr>
            <w:tcW w:w="2410" w:type="dxa"/>
            <w:vAlign w:val="center"/>
          </w:tcPr>
          <w:p w:rsidR="00F06902" w:rsidRDefault="00F06902" w:rsidP="00F06902">
            <w:r w:rsidRPr="008E640F">
              <w:rPr>
                <w:rFonts w:cs="Arial"/>
                <w:sz w:val="20"/>
                <w:szCs w:val="20"/>
              </w:rPr>
              <w:t>XXXXXXXXXXXX</w:t>
            </w:r>
          </w:p>
        </w:tc>
        <w:tc>
          <w:tcPr>
            <w:tcW w:w="1454" w:type="dxa"/>
            <w:vAlign w:val="center"/>
          </w:tcPr>
          <w:p w:rsidR="00F06902" w:rsidRDefault="00F06902" w:rsidP="00F06902">
            <w:r w:rsidRPr="00A25CAB">
              <w:rPr>
                <w:rFonts w:cs="Arial"/>
                <w:sz w:val="20"/>
                <w:szCs w:val="20"/>
              </w:rPr>
              <w:t>XXXXXXX</w:t>
            </w:r>
          </w:p>
        </w:tc>
        <w:tc>
          <w:tcPr>
            <w:tcW w:w="2470" w:type="dxa"/>
            <w:vAlign w:val="center"/>
          </w:tcPr>
          <w:p w:rsidR="00F06902" w:rsidRDefault="00F06902" w:rsidP="00F06902">
            <w:r w:rsidRPr="00232E57">
              <w:rPr>
                <w:rFonts w:cs="Arial"/>
                <w:sz w:val="20"/>
                <w:szCs w:val="20"/>
              </w:rPr>
              <w:t>XXXXXXXXXXXX</w:t>
            </w:r>
          </w:p>
        </w:tc>
      </w:tr>
      <w:tr w:rsidR="00F06902" w:rsidRPr="000B3455" w:rsidTr="00F06902">
        <w:trPr>
          <w:trHeight w:val="642"/>
          <w:jc w:val="center"/>
        </w:trPr>
        <w:tc>
          <w:tcPr>
            <w:tcW w:w="2830" w:type="dxa"/>
            <w:vAlign w:val="center"/>
          </w:tcPr>
          <w:p w:rsidR="00F06902" w:rsidRPr="005C029C" w:rsidRDefault="00F06902" w:rsidP="00F06902">
            <w:pPr>
              <w:pStyle w:val="Bezmezer"/>
              <w:spacing w:line="276" w:lineRule="auto"/>
              <w:rPr>
                <w:rFonts w:ascii="Arial" w:hAnsi="Arial" w:cs="Arial"/>
                <w:b/>
                <w:sz w:val="20"/>
                <w:szCs w:val="20"/>
              </w:rPr>
            </w:pPr>
            <w:r w:rsidRPr="005C029C">
              <w:rPr>
                <w:rFonts w:ascii="Arial" w:hAnsi="Arial" w:cs="Arial"/>
                <w:b/>
                <w:sz w:val="20"/>
                <w:szCs w:val="20"/>
              </w:rPr>
              <w:t>kontaktní osoba ve věcech technických</w:t>
            </w:r>
          </w:p>
        </w:tc>
        <w:tc>
          <w:tcPr>
            <w:tcW w:w="2410" w:type="dxa"/>
            <w:vAlign w:val="center"/>
          </w:tcPr>
          <w:p w:rsidR="00F06902" w:rsidRDefault="00F06902" w:rsidP="00F06902">
            <w:r w:rsidRPr="008E640F">
              <w:rPr>
                <w:rFonts w:cs="Arial"/>
                <w:sz w:val="20"/>
                <w:szCs w:val="20"/>
              </w:rPr>
              <w:t>XXXXXXXXXXXX</w:t>
            </w:r>
          </w:p>
        </w:tc>
        <w:tc>
          <w:tcPr>
            <w:tcW w:w="1454" w:type="dxa"/>
            <w:vAlign w:val="center"/>
          </w:tcPr>
          <w:p w:rsidR="00F06902" w:rsidRDefault="00F06902" w:rsidP="00F06902">
            <w:r w:rsidRPr="00A25CAB">
              <w:rPr>
                <w:rFonts w:cs="Arial"/>
                <w:sz w:val="20"/>
                <w:szCs w:val="20"/>
              </w:rPr>
              <w:t>XXXXXXX</w:t>
            </w:r>
          </w:p>
        </w:tc>
        <w:tc>
          <w:tcPr>
            <w:tcW w:w="2470" w:type="dxa"/>
            <w:vAlign w:val="center"/>
          </w:tcPr>
          <w:p w:rsidR="00F06902" w:rsidRDefault="00F06902" w:rsidP="00F06902">
            <w:r w:rsidRPr="00232E57">
              <w:rPr>
                <w:rFonts w:cs="Arial"/>
                <w:sz w:val="20"/>
                <w:szCs w:val="20"/>
              </w:rPr>
              <w:t>XXXXXXXXXXXX</w:t>
            </w:r>
          </w:p>
        </w:tc>
      </w:tr>
      <w:tr w:rsidR="00F06902" w:rsidRPr="000B3455" w:rsidTr="00F06902">
        <w:trPr>
          <w:trHeight w:val="642"/>
          <w:jc w:val="center"/>
        </w:trPr>
        <w:tc>
          <w:tcPr>
            <w:tcW w:w="2830" w:type="dxa"/>
            <w:vAlign w:val="center"/>
          </w:tcPr>
          <w:p w:rsidR="00F06902" w:rsidRPr="005C029C" w:rsidRDefault="00F06902" w:rsidP="00F06902">
            <w:pPr>
              <w:pStyle w:val="Bezmezer"/>
              <w:spacing w:after="60" w:line="276" w:lineRule="auto"/>
              <w:rPr>
                <w:rFonts w:ascii="Arial" w:hAnsi="Arial" w:cs="Arial"/>
                <w:b/>
                <w:sz w:val="20"/>
                <w:szCs w:val="20"/>
              </w:rPr>
            </w:pPr>
            <w:r w:rsidRPr="005C029C">
              <w:rPr>
                <w:rFonts w:ascii="Arial" w:hAnsi="Arial" w:cs="Arial"/>
                <w:b/>
                <w:sz w:val="20"/>
                <w:szCs w:val="20"/>
              </w:rPr>
              <w:t>oprávněné osoby ve věcech akceptace</w:t>
            </w:r>
          </w:p>
        </w:tc>
        <w:tc>
          <w:tcPr>
            <w:tcW w:w="2410" w:type="dxa"/>
            <w:vAlign w:val="center"/>
          </w:tcPr>
          <w:p w:rsidR="00F06902" w:rsidRDefault="00F06902" w:rsidP="00F06902">
            <w:r w:rsidRPr="008E640F">
              <w:rPr>
                <w:rFonts w:cs="Arial"/>
                <w:sz w:val="20"/>
                <w:szCs w:val="20"/>
              </w:rPr>
              <w:t>XXXXXXXXXXXX</w:t>
            </w:r>
          </w:p>
        </w:tc>
        <w:tc>
          <w:tcPr>
            <w:tcW w:w="1454" w:type="dxa"/>
            <w:vAlign w:val="center"/>
          </w:tcPr>
          <w:p w:rsidR="00F06902" w:rsidRDefault="00F06902" w:rsidP="00F06902">
            <w:r w:rsidRPr="00A25CAB">
              <w:rPr>
                <w:rFonts w:cs="Arial"/>
                <w:sz w:val="20"/>
                <w:szCs w:val="20"/>
              </w:rPr>
              <w:t>XXXXXXX</w:t>
            </w:r>
          </w:p>
        </w:tc>
        <w:tc>
          <w:tcPr>
            <w:tcW w:w="2470" w:type="dxa"/>
            <w:vAlign w:val="center"/>
          </w:tcPr>
          <w:p w:rsidR="00F06902" w:rsidRDefault="00F06902" w:rsidP="00F06902">
            <w:r w:rsidRPr="00232E57">
              <w:rPr>
                <w:rFonts w:cs="Arial"/>
                <w:sz w:val="20"/>
                <w:szCs w:val="20"/>
              </w:rPr>
              <w:t>XXXXXXXXXXXX</w:t>
            </w:r>
          </w:p>
        </w:tc>
      </w:tr>
      <w:tr w:rsidR="00F06902" w:rsidRPr="000B3455" w:rsidTr="00F06902">
        <w:trPr>
          <w:trHeight w:val="642"/>
          <w:jc w:val="center"/>
        </w:trPr>
        <w:tc>
          <w:tcPr>
            <w:tcW w:w="2830" w:type="dxa"/>
            <w:vAlign w:val="center"/>
          </w:tcPr>
          <w:p w:rsidR="00F06902" w:rsidRPr="005C029C" w:rsidRDefault="00F06902" w:rsidP="00F06902">
            <w:pPr>
              <w:pStyle w:val="Bezmezer"/>
              <w:spacing w:after="60" w:line="276" w:lineRule="auto"/>
              <w:rPr>
                <w:rFonts w:ascii="Arial" w:hAnsi="Arial" w:cs="Arial"/>
                <w:b/>
                <w:sz w:val="20"/>
                <w:szCs w:val="20"/>
              </w:rPr>
            </w:pPr>
            <w:r w:rsidRPr="005C029C">
              <w:rPr>
                <w:rFonts w:ascii="Arial" w:hAnsi="Arial" w:cs="Arial"/>
                <w:b/>
                <w:sz w:val="20"/>
                <w:szCs w:val="20"/>
              </w:rPr>
              <w:t xml:space="preserve">oprávněná osoba ve věcech smluvních </w:t>
            </w:r>
          </w:p>
        </w:tc>
        <w:tc>
          <w:tcPr>
            <w:tcW w:w="2410" w:type="dxa"/>
            <w:vAlign w:val="center"/>
          </w:tcPr>
          <w:p w:rsidR="00F06902" w:rsidRDefault="00F06902" w:rsidP="00F06902">
            <w:r w:rsidRPr="008E640F">
              <w:rPr>
                <w:rFonts w:cs="Arial"/>
                <w:sz w:val="20"/>
                <w:szCs w:val="20"/>
              </w:rPr>
              <w:t>XXXXXXXXXXXX</w:t>
            </w:r>
          </w:p>
        </w:tc>
        <w:tc>
          <w:tcPr>
            <w:tcW w:w="1454" w:type="dxa"/>
            <w:vAlign w:val="center"/>
          </w:tcPr>
          <w:p w:rsidR="00F06902" w:rsidRDefault="00F06902" w:rsidP="00F06902">
            <w:r w:rsidRPr="00A25CAB">
              <w:rPr>
                <w:rFonts w:cs="Arial"/>
                <w:sz w:val="20"/>
                <w:szCs w:val="20"/>
              </w:rPr>
              <w:t>XXXXXXX</w:t>
            </w:r>
          </w:p>
        </w:tc>
        <w:tc>
          <w:tcPr>
            <w:tcW w:w="2470" w:type="dxa"/>
            <w:vAlign w:val="center"/>
          </w:tcPr>
          <w:p w:rsidR="00F06902" w:rsidRDefault="00F06902" w:rsidP="00F06902">
            <w:r w:rsidRPr="00232E57">
              <w:rPr>
                <w:rFonts w:cs="Arial"/>
                <w:sz w:val="20"/>
                <w:szCs w:val="20"/>
              </w:rPr>
              <w:t>XXXXXXXXXXXX</w:t>
            </w:r>
          </w:p>
        </w:tc>
      </w:tr>
    </w:tbl>
    <w:p w:rsidR="00983B13" w:rsidRPr="00D04D23" w:rsidRDefault="00983B13" w:rsidP="00983B13">
      <w:pPr>
        <w:pStyle w:val="Bezmezer"/>
        <w:spacing w:after="60" w:line="276" w:lineRule="auto"/>
        <w:jc w:val="both"/>
        <w:rPr>
          <w:rFonts w:ascii="Arial" w:hAnsi="Arial" w:cs="Arial"/>
        </w:rPr>
      </w:pPr>
      <w:r w:rsidRPr="00D04D23">
        <w:rPr>
          <w:rFonts w:ascii="Arial" w:hAnsi="Arial" w:cs="Arial"/>
        </w:rPr>
        <w:t xml:space="preserve">  </w:t>
      </w:r>
    </w:p>
    <w:p w:rsidR="00983B13" w:rsidRPr="009F776A" w:rsidRDefault="009F776A" w:rsidP="00983B13">
      <w:pPr>
        <w:pStyle w:val="Bezmezer"/>
        <w:spacing w:after="60" w:line="276" w:lineRule="auto"/>
        <w:jc w:val="both"/>
        <w:rPr>
          <w:rFonts w:ascii="Arial" w:hAnsi="Arial" w:cs="Arial"/>
          <w:b/>
          <w:u w:val="single"/>
        </w:rPr>
      </w:pPr>
      <w:r w:rsidRPr="009F776A">
        <w:rPr>
          <w:rFonts w:ascii="Arial" w:hAnsi="Arial" w:cs="Arial"/>
          <w:b/>
          <w:u w:val="single"/>
        </w:rPr>
        <w:t>SAFETY PRO s.r.o.</w:t>
      </w:r>
      <w:r>
        <w:rPr>
          <w:rFonts w:ascii="Arial" w:hAnsi="Arial" w:cs="Arial"/>
          <w:b/>
          <w:u w:val="single"/>
        </w:rPr>
        <w:t>:</w:t>
      </w:r>
    </w:p>
    <w:p w:rsidR="00983B13" w:rsidRPr="00D04D23" w:rsidRDefault="00983B13" w:rsidP="00983B13">
      <w:pPr>
        <w:pStyle w:val="Bezmezer"/>
        <w:spacing w:after="60" w:line="276" w:lineRule="auto"/>
        <w:jc w:val="both"/>
        <w:rPr>
          <w:rFonts w:ascii="Arial" w:hAnsi="Arial" w:cs="Arial"/>
          <w:i/>
          <w:u w:val="single"/>
        </w:rPr>
      </w:pPr>
    </w:p>
    <w:tbl>
      <w:tblPr>
        <w:tblStyle w:val="Mkatabulky"/>
        <w:tblW w:w="9067" w:type="dxa"/>
        <w:jc w:val="center"/>
        <w:tblLayout w:type="fixed"/>
        <w:tblLook w:val="04A0" w:firstRow="1" w:lastRow="0" w:firstColumn="1" w:lastColumn="0" w:noHBand="0" w:noVBand="1"/>
      </w:tblPr>
      <w:tblGrid>
        <w:gridCol w:w="2830"/>
        <w:gridCol w:w="2410"/>
        <w:gridCol w:w="1418"/>
        <w:gridCol w:w="2409"/>
      </w:tblGrid>
      <w:tr w:rsidR="00983B13" w:rsidRPr="000B3455" w:rsidTr="005C029C">
        <w:trPr>
          <w:trHeight w:val="678"/>
          <w:jc w:val="center"/>
        </w:trPr>
        <w:tc>
          <w:tcPr>
            <w:tcW w:w="2830" w:type="dxa"/>
            <w:vAlign w:val="center"/>
          </w:tcPr>
          <w:p w:rsidR="00983B13" w:rsidRPr="00D04D23" w:rsidRDefault="00983B13" w:rsidP="00C5337C">
            <w:pPr>
              <w:pStyle w:val="Bezmezer"/>
              <w:spacing w:line="276" w:lineRule="auto"/>
              <w:rPr>
                <w:rFonts w:ascii="Arial" w:hAnsi="Arial" w:cs="Arial"/>
                <w:b/>
              </w:rPr>
            </w:pPr>
          </w:p>
        </w:tc>
        <w:tc>
          <w:tcPr>
            <w:tcW w:w="2410" w:type="dxa"/>
            <w:vAlign w:val="center"/>
          </w:tcPr>
          <w:p w:rsidR="00983B13" w:rsidRPr="00D04D23" w:rsidRDefault="00983B13" w:rsidP="00C5337C">
            <w:pPr>
              <w:pStyle w:val="Bezmezer"/>
              <w:spacing w:after="60" w:line="276" w:lineRule="auto"/>
              <w:jc w:val="both"/>
              <w:rPr>
                <w:rFonts w:ascii="Arial" w:hAnsi="Arial" w:cs="Arial"/>
                <w:b/>
                <w:vertAlign w:val="superscript"/>
              </w:rPr>
            </w:pPr>
            <w:r w:rsidRPr="00D04D23">
              <w:rPr>
                <w:rFonts w:ascii="Arial" w:hAnsi="Arial" w:cs="Arial"/>
                <w:b/>
              </w:rPr>
              <w:t xml:space="preserve">jméno </w:t>
            </w:r>
          </w:p>
        </w:tc>
        <w:tc>
          <w:tcPr>
            <w:tcW w:w="1418" w:type="dxa"/>
            <w:vAlign w:val="center"/>
          </w:tcPr>
          <w:p w:rsidR="00983B13" w:rsidRPr="00D04D23" w:rsidRDefault="00983B13" w:rsidP="00C5337C">
            <w:pPr>
              <w:pStyle w:val="Bezmezer"/>
              <w:spacing w:after="60" w:line="276" w:lineRule="auto"/>
              <w:jc w:val="both"/>
              <w:rPr>
                <w:rFonts w:ascii="Arial" w:hAnsi="Arial" w:cs="Arial"/>
                <w:b/>
                <w:vertAlign w:val="superscript"/>
              </w:rPr>
            </w:pPr>
            <w:r w:rsidRPr="00D04D23">
              <w:rPr>
                <w:rFonts w:ascii="Arial" w:hAnsi="Arial" w:cs="Arial"/>
                <w:b/>
              </w:rPr>
              <w:t xml:space="preserve">telefon </w:t>
            </w:r>
          </w:p>
        </w:tc>
        <w:tc>
          <w:tcPr>
            <w:tcW w:w="2409" w:type="dxa"/>
            <w:vAlign w:val="center"/>
          </w:tcPr>
          <w:p w:rsidR="00983B13" w:rsidRPr="00D04D23" w:rsidRDefault="00983B13" w:rsidP="00C5337C">
            <w:pPr>
              <w:pStyle w:val="Bezmezer"/>
              <w:spacing w:after="60" w:line="276" w:lineRule="auto"/>
              <w:jc w:val="both"/>
              <w:rPr>
                <w:rFonts w:ascii="Arial" w:hAnsi="Arial" w:cs="Arial"/>
                <w:b/>
                <w:vertAlign w:val="superscript"/>
              </w:rPr>
            </w:pPr>
            <w:r w:rsidRPr="00D04D23">
              <w:rPr>
                <w:rFonts w:ascii="Arial" w:hAnsi="Arial" w:cs="Arial"/>
                <w:b/>
              </w:rPr>
              <w:t xml:space="preserve">e-mail </w:t>
            </w:r>
          </w:p>
        </w:tc>
      </w:tr>
      <w:tr w:rsidR="00F06902" w:rsidRPr="000B3455" w:rsidTr="00F06902">
        <w:trPr>
          <w:trHeight w:val="678"/>
          <w:jc w:val="center"/>
        </w:trPr>
        <w:tc>
          <w:tcPr>
            <w:tcW w:w="2830" w:type="dxa"/>
          </w:tcPr>
          <w:p w:rsidR="00F06902" w:rsidRPr="005C029C" w:rsidRDefault="00F06902" w:rsidP="00F06902">
            <w:pPr>
              <w:pStyle w:val="Bezmezer"/>
              <w:spacing w:line="276" w:lineRule="auto"/>
              <w:rPr>
                <w:rFonts w:ascii="Arial" w:hAnsi="Arial" w:cs="Arial"/>
                <w:sz w:val="20"/>
                <w:szCs w:val="20"/>
              </w:rPr>
            </w:pPr>
            <w:r w:rsidRPr="005C029C">
              <w:rPr>
                <w:rFonts w:ascii="Arial" w:hAnsi="Arial" w:cs="Arial"/>
                <w:b/>
                <w:sz w:val="20"/>
                <w:szCs w:val="20"/>
              </w:rPr>
              <w:t xml:space="preserve">kontaktní osoba ve věcech administrativních </w:t>
            </w:r>
          </w:p>
        </w:tc>
        <w:tc>
          <w:tcPr>
            <w:tcW w:w="2410" w:type="dxa"/>
            <w:shd w:val="clear" w:color="auto" w:fill="auto"/>
            <w:vAlign w:val="center"/>
          </w:tcPr>
          <w:p w:rsidR="00F06902" w:rsidRDefault="00F06902" w:rsidP="00F06902">
            <w:r w:rsidRPr="00C54D7B">
              <w:rPr>
                <w:rFonts w:cs="Arial"/>
                <w:sz w:val="20"/>
                <w:szCs w:val="20"/>
              </w:rPr>
              <w:t>XXXXXXXXXXXX</w:t>
            </w:r>
          </w:p>
        </w:tc>
        <w:tc>
          <w:tcPr>
            <w:tcW w:w="1418" w:type="dxa"/>
            <w:shd w:val="clear" w:color="auto" w:fill="auto"/>
            <w:vAlign w:val="center"/>
          </w:tcPr>
          <w:p w:rsidR="00F06902" w:rsidRDefault="00F06902" w:rsidP="00F06902">
            <w:r w:rsidRPr="00A25CAB">
              <w:rPr>
                <w:rFonts w:cs="Arial"/>
                <w:sz w:val="20"/>
                <w:szCs w:val="20"/>
              </w:rPr>
              <w:t>XXXXXXX</w:t>
            </w:r>
          </w:p>
        </w:tc>
        <w:tc>
          <w:tcPr>
            <w:tcW w:w="2409" w:type="dxa"/>
            <w:shd w:val="clear" w:color="auto" w:fill="auto"/>
            <w:vAlign w:val="center"/>
          </w:tcPr>
          <w:p w:rsidR="00F06902" w:rsidRDefault="00F06902" w:rsidP="00F06902">
            <w:r w:rsidRPr="00440B7F">
              <w:rPr>
                <w:rFonts w:cs="Arial"/>
                <w:sz w:val="20"/>
                <w:szCs w:val="20"/>
              </w:rPr>
              <w:t>XXXXXXXXXXXX</w:t>
            </w:r>
          </w:p>
        </w:tc>
      </w:tr>
      <w:tr w:rsidR="00F06902" w:rsidRPr="000B3455" w:rsidTr="00F06902">
        <w:trPr>
          <w:trHeight w:val="678"/>
          <w:jc w:val="center"/>
        </w:trPr>
        <w:tc>
          <w:tcPr>
            <w:tcW w:w="2830" w:type="dxa"/>
          </w:tcPr>
          <w:p w:rsidR="00F06902" w:rsidRPr="005C029C" w:rsidRDefault="00F06902" w:rsidP="00F06902">
            <w:pPr>
              <w:pStyle w:val="Bezmezer"/>
              <w:spacing w:line="276" w:lineRule="auto"/>
              <w:rPr>
                <w:rFonts w:ascii="Arial" w:hAnsi="Arial" w:cs="Arial"/>
                <w:b/>
                <w:sz w:val="20"/>
                <w:szCs w:val="20"/>
              </w:rPr>
            </w:pPr>
            <w:r w:rsidRPr="005C029C">
              <w:rPr>
                <w:rFonts w:ascii="Arial" w:hAnsi="Arial" w:cs="Arial"/>
                <w:b/>
                <w:sz w:val="20"/>
                <w:szCs w:val="20"/>
              </w:rPr>
              <w:t xml:space="preserve">kontaktní osoba ve věcech technických </w:t>
            </w:r>
          </w:p>
        </w:tc>
        <w:tc>
          <w:tcPr>
            <w:tcW w:w="2410" w:type="dxa"/>
            <w:shd w:val="clear" w:color="auto" w:fill="auto"/>
            <w:vAlign w:val="center"/>
          </w:tcPr>
          <w:p w:rsidR="00F06902" w:rsidRDefault="00F06902" w:rsidP="00F06902">
            <w:r w:rsidRPr="00C54D7B">
              <w:rPr>
                <w:rFonts w:cs="Arial"/>
                <w:sz w:val="20"/>
                <w:szCs w:val="20"/>
              </w:rPr>
              <w:t>XXXXXXXXXXXX</w:t>
            </w:r>
          </w:p>
        </w:tc>
        <w:tc>
          <w:tcPr>
            <w:tcW w:w="1418" w:type="dxa"/>
            <w:shd w:val="clear" w:color="auto" w:fill="auto"/>
            <w:vAlign w:val="center"/>
          </w:tcPr>
          <w:p w:rsidR="00F06902" w:rsidRDefault="00F06902" w:rsidP="00F06902">
            <w:r w:rsidRPr="00A25CAB">
              <w:rPr>
                <w:rFonts w:cs="Arial"/>
                <w:sz w:val="20"/>
                <w:szCs w:val="20"/>
              </w:rPr>
              <w:t>XXXXXXX</w:t>
            </w:r>
          </w:p>
        </w:tc>
        <w:tc>
          <w:tcPr>
            <w:tcW w:w="2409" w:type="dxa"/>
            <w:shd w:val="clear" w:color="auto" w:fill="auto"/>
            <w:vAlign w:val="center"/>
          </w:tcPr>
          <w:p w:rsidR="00F06902" w:rsidRDefault="00F06902" w:rsidP="00F06902">
            <w:r w:rsidRPr="00440B7F">
              <w:rPr>
                <w:rFonts w:cs="Arial"/>
                <w:sz w:val="20"/>
                <w:szCs w:val="20"/>
              </w:rPr>
              <w:t>XXXXXXXXXXXX</w:t>
            </w:r>
          </w:p>
        </w:tc>
      </w:tr>
      <w:tr w:rsidR="00F06902" w:rsidRPr="000B3455" w:rsidTr="00F06902">
        <w:trPr>
          <w:trHeight w:val="678"/>
          <w:jc w:val="center"/>
        </w:trPr>
        <w:tc>
          <w:tcPr>
            <w:tcW w:w="2830" w:type="dxa"/>
          </w:tcPr>
          <w:p w:rsidR="00F06902" w:rsidRPr="005C029C" w:rsidRDefault="00F06902" w:rsidP="00F06902">
            <w:pPr>
              <w:pStyle w:val="Bezmezer"/>
              <w:spacing w:after="60" w:line="276" w:lineRule="auto"/>
              <w:rPr>
                <w:rFonts w:ascii="Arial" w:hAnsi="Arial" w:cs="Arial"/>
                <w:b/>
                <w:sz w:val="20"/>
                <w:szCs w:val="20"/>
              </w:rPr>
            </w:pPr>
            <w:r w:rsidRPr="005C029C">
              <w:rPr>
                <w:rFonts w:ascii="Arial" w:hAnsi="Arial" w:cs="Arial"/>
                <w:b/>
                <w:sz w:val="20"/>
                <w:szCs w:val="20"/>
              </w:rPr>
              <w:t xml:space="preserve">oprávněná osoba ve věcech akceptace </w:t>
            </w:r>
          </w:p>
        </w:tc>
        <w:tc>
          <w:tcPr>
            <w:tcW w:w="2410" w:type="dxa"/>
            <w:shd w:val="clear" w:color="auto" w:fill="auto"/>
            <w:vAlign w:val="center"/>
          </w:tcPr>
          <w:p w:rsidR="00F06902" w:rsidRDefault="00F06902" w:rsidP="00F06902">
            <w:r w:rsidRPr="00C54D7B">
              <w:rPr>
                <w:rFonts w:cs="Arial"/>
                <w:sz w:val="20"/>
                <w:szCs w:val="20"/>
              </w:rPr>
              <w:t>XXXXXXXXXXXX</w:t>
            </w:r>
          </w:p>
        </w:tc>
        <w:tc>
          <w:tcPr>
            <w:tcW w:w="1418" w:type="dxa"/>
            <w:shd w:val="clear" w:color="auto" w:fill="auto"/>
            <w:vAlign w:val="center"/>
          </w:tcPr>
          <w:p w:rsidR="00F06902" w:rsidRDefault="00F06902" w:rsidP="00F06902">
            <w:r w:rsidRPr="00A25CAB">
              <w:rPr>
                <w:rFonts w:cs="Arial"/>
                <w:sz w:val="20"/>
                <w:szCs w:val="20"/>
              </w:rPr>
              <w:t>XXXXXXX</w:t>
            </w:r>
          </w:p>
        </w:tc>
        <w:tc>
          <w:tcPr>
            <w:tcW w:w="2409" w:type="dxa"/>
            <w:shd w:val="clear" w:color="auto" w:fill="auto"/>
            <w:vAlign w:val="center"/>
          </w:tcPr>
          <w:p w:rsidR="00F06902" w:rsidRDefault="00F06902" w:rsidP="00F06902">
            <w:r w:rsidRPr="00440B7F">
              <w:rPr>
                <w:rFonts w:cs="Arial"/>
                <w:sz w:val="20"/>
                <w:szCs w:val="20"/>
              </w:rPr>
              <w:t>XXXXXXXXXXXX</w:t>
            </w:r>
          </w:p>
        </w:tc>
      </w:tr>
      <w:tr w:rsidR="00F06902" w:rsidRPr="000B3455" w:rsidTr="00F06902">
        <w:trPr>
          <w:trHeight w:val="678"/>
          <w:jc w:val="center"/>
        </w:trPr>
        <w:tc>
          <w:tcPr>
            <w:tcW w:w="2830" w:type="dxa"/>
          </w:tcPr>
          <w:p w:rsidR="00F06902" w:rsidRPr="005C029C" w:rsidRDefault="00F06902" w:rsidP="00F06902">
            <w:pPr>
              <w:pStyle w:val="Bezmezer"/>
              <w:spacing w:after="60" w:line="276" w:lineRule="auto"/>
              <w:rPr>
                <w:rFonts w:ascii="Arial" w:hAnsi="Arial" w:cs="Arial"/>
                <w:b/>
                <w:sz w:val="20"/>
                <w:szCs w:val="20"/>
              </w:rPr>
            </w:pPr>
            <w:r w:rsidRPr="005C029C">
              <w:rPr>
                <w:rFonts w:ascii="Arial" w:hAnsi="Arial" w:cs="Arial"/>
                <w:b/>
                <w:sz w:val="20"/>
                <w:szCs w:val="20"/>
              </w:rPr>
              <w:t xml:space="preserve">oprávněná osoba ve věcech smluvních </w:t>
            </w:r>
          </w:p>
        </w:tc>
        <w:tc>
          <w:tcPr>
            <w:tcW w:w="2410" w:type="dxa"/>
            <w:shd w:val="clear" w:color="auto" w:fill="auto"/>
            <w:vAlign w:val="center"/>
          </w:tcPr>
          <w:p w:rsidR="00F06902" w:rsidRDefault="00F06902" w:rsidP="00F06902">
            <w:r w:rsidRPr="00C54D7B">
              <w:rPr>
                <w:rFonts w:cs="Arial"/>
                <w:sz w:val="20"/>
                <w:szCs w:val="20"/>
              </w:rPr>
              <w:t>XXXXXXXXXXXX</w:t>
            </w:r>
          </w:p>
        </w:tc>
        <w:tc>
          <w:tcPr>
            <w:tcW w:w="1418" w:type="dxa"/>
            <w:shd w:val="clear" w:color="auto" w:fill="auto"/>
            <w:vAlign w:val="center"/>
          </w:tcPr>
          <w:p w:rsidR="00F06902" w:rsidRDefault="00F06902" w:rsidP="00F06902">
            <w:r w:rsidRPr="00A25CAB">
              <w:rPr>
                <w:rFonts w:cs="Arial"/>
                <w:sz w:val="20"/>
                <w:szCs w:val="20"/>
              </w:rPr>
              <w:t>XXXXXXX</w:t>
            </w:r>
          </w:p>
        </w:tc>
        <w:tc>
          <w:tcPr>
            <w:tcW w:w="2409" w:type="dxa"/>
            <w:shd w:val="clear" w:color="auto" w:fill="auto"/>
            <w:vAlign w:val="center"/>
          </w:tcPr>
          <w:p w:rsidR="00F06902" w:rsidRDefault="00F06902" w:rsidP="00F06902">
            <w:r w:rsidRPr="00440B7F">
              <w:rPr>
                <w:rFonts w:cs="Arial"/>
                <w:sz w:val="20"/>
                <w:szCs w:val="20"/>
              </w:rPr>
              <w:t>XXXXXXXXXXXX</w:t>
            </w:r>
          </w:p>
        </w:tc>
      </w:tr>
    </w:tbl>
    <w:p w:rsidR="00983B13" w:rsidRPr="00D04D23" w:rsidRDefault="00983B13" w:rsidP="00983B13">
      <w:pPr>
        <w:pStyle w:val="Bezmezer"/>
        <w:spacing w:line="276" w:lineRule="auto"/>
        <w:jc w:val="both"/>
        <w:rPr>
          <w:rFonts w:ascii="Arial" w:hAnsi="Arial" w:cs="Arial"/>
          <w:i/>
        </w:rPr>
      </w:pPr>
    </w:p>
    <w:p w:rsidR="00983B13" w:rsidRPr="00547ECC" w:rsidRDefault="00983B13">
      <w:pPr>
        <w:rPr>
          <w:rFonts w:cs="Arial"/>
          <w:szCs w:val="22"/>
        </w:rPr>
      </w:pPr>
      <w:bookmarkStart w:id="2" w:name="_GoBack"/>
      <w:bookmarkEnd w:id="2"/>
    </w:p>
    <w:sectPr w:rsidR="00983B13" w:rsidRPr="00547ECC" w:rsidSect="006B779B">
      <w:headerReference w:type="default" r:id="rId8"/>
      <w:footerReference w:type="default" r:id="rId9"/>
      <w:footerReference w:type="first" r:id="rId10"/>
      <w:pgSz w:w="11906" w:h="16838" w:code="9"/>
      <w:pgMar w:top="1418" w:right="1418" w:bottom="1276" w:left="1418" w:header="426"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71C" w:rsidRDefault="0008071C">
      <w:pPr>
        <w:spacing w:before="0" w:line="240" w:lineRule="auto"/>
      </w:pPr>
      <w:r>
        <w:separator/>
      </w:r>
    </w:p>
  </w:endnote>
  <w:endnote w:type="continuationSeparator" w:id="0">
    <w:p w:rsidR="0008071C" w:rsidRDefault="0008071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BB" w:rsidRPr="00434E44" w:rsidRDefault="0029096D" w:rsidP="009D4B38">
    <w:pPr>
      <w:pStyle w:val="Zkladntextodsazen3"/>
      <w:spacing w:after="240" w:line="276" w:lineRule="auto"/>
      <w:ind w:left="0" w:firstLine="0"/>
      <w:rPr>
        <w:rFonts w:ascii="Arial" w:hAnsi="Arial" w:cs="Arial"/>
        <w:bCs/>
        <w:sz w:val="16"/>
        <w:szCs w:val="16"/>
      </w:rPr>
    </w:pPr>
    <w:r w:rsidRPr="00434E44">
      <w:rPr>
        <w:rFonts w:ascii="Arial" w:hAnsi="Arial" w:cs="Arial"/>
        <w:bCs/>
        <w:sz w:val="16"/>
        <w:szCs w:val="16"/>
      </w:rPr>
      <w:t>P</w:t>
    </w:r>
    <w:r>
      <w:rPr>
        <w:rFonts w:ascii="Arial" w:hAnsi="Arial" w:cs="Arial"/>
        <w:bCs/>
        <w:sz w:val="16"/>
        <w:szCs w:val="16"/>
      </w:rPr>
      <w:t>ROJEKT JE SPOLUFINANCOVÁN Z PROSTŘEDKŮ EVROPSKÉ UNIE</w:t>
    </w:r>
    <w:r w:rsidRPr="00434E44">
      <w:rPr>
        <w:rFonts w:ascii="Arial" w:hAnsi="Arial" w:cs="Arial"/>
        <w:bCs/>
        <w:sz w:val="16"/>
        <w:szCs w:val="16"/>
      </w:rPr>
      <w:t xml:space="preserve"> – </w:t>
    </w:r>
    <w:r>
      <w:rPr>
        <w:rFonts w:ascii="Arial" w:hAnsi="Arial" w:cs="Arial"/>
        <w:bCs/>
        <w:sz w:val="16"/>
        <w:szCs w:val="16"/>
      </w:rPr>
      <w:t>FONDEM SOUDRŽNOSTI</w:t>
    </w:r>
  </w:p>
  <w:p w:rsidR="00D834BB" w:rsidRDefault="0029096D" w:rsidP="005648C2">
    <w:pPr>
      <w:pStyle w:val="Zpat"/>
      <w:tabs>
        <w:tab w:val="clear" w:pos="4536"/>
      </w:tabs>
    </w:pPr>
    <w:r>
      <w:tab/>
    </w:r>
    <w:r>
      <w:fldChar w:fldCharType="begin"/>
    </w:r>
    <w:r>
      <w:instrText xml:space="preserve"> PAGE </w:instrText>
    </w:r>
    <w:r>
      <w:fldChar w:fldCharType="separate"/>
    </w:r>
    <w:r w:rsidR="00F0690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BB" w:rsidRDefault="00F06902">
    <w:pPr>
      <w:pStyle w:val="Zpat"/>
      <w:tabs>
        <w:tab w:val="clear" w:pos="4536"/>
        <w:tab w:val="clear" w:pos="9072"/>
        <w:tab w:val="left" w:pos="558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71C" w:rsidRDefault="0008071C">
      <w:pPr>
        <w:spacing w:before="0" w:line="240" w:lineRule="auto"/>
      </w:pPr>
      <w:r>
        <w:separator/>
      </w:r>
    </w:p>
  </w:footnote>
  <w:footnote w:type="continuationSeparator" w:id="0">
    <w:p w:rsidR="0008071C" w:rsidRDefault="0008071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BB" w:rsidRDefault="0029096D" w:rsidP="009D4B38">
    <w:pPr>
      <w:pStyle w:val="Zhlav"/>
      <w:pBdr>
        <w:bottom w:val="none" w:sz="0" w:space="0" w:color="auto"/>
      </w:pBdr>
    </w:pPr>
    <w:r w:rsidRPr="00FA5765">
      <w:rPr>
        <w:noProof/>
      </w:rPr>
      <w:drawing>
        <wp:inline distT="0" distB="0" distL="0" distR="0" wp14:anchorId="6E114C0D" wp14:editId="289F9167">
          <wp:extent cx="2381250" cy="776305"/>
          <wp:effectExtent l="0" t="0" r="0" b="5080"/>
          <wp:docPr id="5" name="Obrázek 5" descr="C:\Users\OHANKO~1\AppData\Local\Temp\7zO0F6062FD\CZ_RO_C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HANKO~1\AppData\Local\Temp\7zO0F6062FD\CZ_RO_C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978" cy="779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A58"/>
    <w:multiLevelType w:val="hybridMultilevel"/>
    <w:tmpl w:val="EDF80442"/>
    <w:lvl w:ilvl="0" w:tplc="BD4823A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271237"/>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54540E"/>
    <w:multiLevelType w:val="hybridMultilevel"/>
    <w:tmpl w:val="C922AD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F056018"/>
    <w:multiLevelType w:val="hybridMultilevel"/>
    <w:tmpl w:val="C8A86F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EB2A71"/>
    <w:multiLevelType w:val="hybridMultilevel"/>
    <w:tmpl w:val="D42E7896"/>
    <w:lvl w:ilvl="0" w:tplc="E572CF30">
      <w:numFmt w:val="bullet"/>
      <w:lvlText w:val="•"/>
      <w:lvlJc w:val="left"/>
      <w:pPr>
        <w:ind w:left="2826" w:hanging="705"/>
      </w:pPr>
      <w:rPr>
        <w:rFonts w:ascii="Calibri" w:eastAsiaTheme="minorHAnsi" w:hAnsi="Calibri" w:cs="Times New Roman" w:hint="default"/>
      </w:rPr>
    </w:lvl>
    <w:lvl w:ilvl="1" w:tplc="04050003">
      <w:start w:val="1"/>
      <w:numFmt w:val="bullet"/>
      <w:lvlText w:val="o"/>
      <w:lvlJc w:val="left"/>
      <w:pPr>
        <w:ind w:left="3201" w:hanging="360"/>
      </w:pPr>
      <w:rPr>
        <w:rFonts w:ascii="Courier New" w:hAnsi="Courier New" w:cs="Courier New" w:hint="default"/>
      </w:rPr>
    </w:lvl>
    <w:lvl w:ilvl="2" w:tplc="04050005">
      <w:start w:val="1"/>
      <w:numFmt w:val="bullet"/>
      <w:lvlText w:val=""/>
      <w:lvlJc w:val="left"/>
      <w:pPr>
        <w:ind w:left="3921" w:hanging="360"/>
      </w:pPr>
      <w:rPr>
        <w:rFonts w:ascii="Wingdings" w:hAnsi="Wingdings" w:hint="default"/>
      </w:rPr>
    </w:lvl>
    <w:lvl w:ilvl="3" w:tplc="04050001" w:tentative="1">
      <w:start w:val="1"/>
      <w:numFmt w:val="bullet"/>
      <w:lvlText w:val=""/>
      <w:lvlJc w:val="left"/>
      <w:pPr>
        <w:ind w:left="4641" w:hanging="360"/>
      </w:pPr>
      <w:rPr>
        <w:rFonts w:ascii="Symbol" w:hAnsi="Symbol" w:hint="default"/>
      </w:rPr>
    </w:lvl>
    <w:lvl w:ilvl="4" w:tplc="04050003" w:tentative="1">
      <w:start w:val="1"/>
      <w:numFmt w:val="bullet"/>
      <w:lvlText w:val="o"/>
      <w:lvlJc w:val="left"/>
      <w:pPr>
        <w:ind w:left="5361" w:hanging="360"/>
      </w:pPr>
      <w:rPr>
        <w:rFonts w:ascii="Courier New" w:hAnsi="Courier New" w:cs="Courier New" w:hint="default"/>
      </w:rPr>
    </w:lvl>
    <w:lvl w:ilvl="5" w:tplc="04050005" w:tentative="1">
      <w:start w:val="1"/>
      <w:numFmt w:val="bullet"/>
      <w:lvlText w:val=""/>
      <w:lvlJc w:val="left"/>
      <w:pPr>
        <w:ind w:left="6081" w:hanging="360"/>
      </w:pPr>
      <w:rPr>
        <w:rFonts w:ascii="Wingdings" w:hAnsi="Wingdings" w:hint="default"/>
      </w:rPr>
    </w:lvl>
    <w:lvl w:ilvl="6" w:tplc="04050001" w:tentative="1">
      <w:start w:val="1"/>
      <w:numFmt w:val="bullet"/>
      <w:lvlText w:val=""/>
      <w:lvlJc w:val="left"/>
      <w:pPr>
        <w:ind w:left="6801" w:hanging="360"/>
      </w:pPr>
      <w:rPr>
        <w:rFonts w:ascii="Symbol" w:hAnsi="Symbol" w:hint="default"/>
      </w:rPr>
    </w:lvl>
    <w:lvl w:ilvl="7" w:tplc="04050003" w:tentative="1">
      <w:start w:val="1"/>
      <w:numFmt w:val="bullet"/>
      <w:lvlText w:val="o"/>
      <w:lvlJc w:val="left"/>
      <w:pPr>
        <w:ind w:left="7521" w:hanging="360"/>
      </w:pPr>
      <w:rPr>
        <w:rFonts w:ascii="Courier New" w:hAnsi="Courier New" w:cs="Courier New" w:hint="default"/>
      </w:rPr>
    </w:lvl>
    <w:lvl w:ilvl="8" w:tplc="04050005" w:tentative="1">
      <w:start w:val="1"/>
      <w:numFmt w:val="bullet"/>
      <w:lvlText w:val=""/>
      <w:lvlJc w:val="left"/>
      <w:pPr>
        <w:ind w:left="8241" w:hanging="360"/>
      </w:pPr>
      <w:rPr>
        <w:rFonts w:ascii="Wingdings" w:hAnsi="Wingdings" w:hint="default"/>
      </w:rPr>
    </w:lvl>
  </w:abstractNum>
  <w:abstractNum w:abstractNumId="5" w15:restartNumberingAfterBreak="0">
    <w:nsid w:val="16C42379"/>
    <w:multiLevelType w:val="hybridMultilevel"/>
    <w:tmpl w:val="507631A8"/>
    <w:lvl w:ilvl="0" w:tplc="FC086C9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D160383"/>
    <w:multiLevelType w:val="hybridMultilevel"/>
    <w:tmpl w:val="CA56F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E44CD4"/>
    <w:multiLevelType w:val="hybridMultilevel"/>
    <w:tmpl w:val="C9322FDE"/>
    <w:lvl w:ilvl="0" w:tplc="8BDE5358">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F565BDA"/>
    <w:multiLevelType w:val="hybridMultilevel"/>
    <w:tmpl w:val="B9268C1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7F4081B"/>
    <w:multiLevelType w:val="hybridMultilevel"/>
    <w:tmpl w:val="38C2F38C"/>
    <w:lvl w:ilvl="0" w:tplc="C46E43B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D473F75"/>
    <w:multiLevelType w:val="hybridMultilevel"/>
    <w:tmpl w:val="B3F8D43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886B30"/>
    <w:multiLevelType w:val="hybridMultilevel"/>
    <w:tmpl w:val="F68880B8"/>
    <w:lvl w:ilvl="0" w:tplc="04050017">
      <w:start w:val="1"/>
      <w:numFmt w:val="lowerLetter"/>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DA23AA7"/>
    <w:multiLevelType w:val="hybridMultilevel"/>
    <w:tmpl w:val="B13864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92633C"/>
    <w:multiLevelType w:val="hybridMultilevel"/>
    <w:tmpl w:val="34AADDAC"/>
    <w:lvl w:ilvl="0" w:tplc="04050017">
      <w:start w:val="1"/>
      <w:numFmt w:val="lowerLetter"/>
      <w:lvlText w:val="%1)"/>
      <w:lvlJc w:val="left"/>
      <w:pPr>
        <w:ind w:left="1185" w:hanging="360"/>
      </w:p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14" w15:restartNumberingAfterBreak="0">
    <w:nsid w:val="521535C6"/>
    <w:multiLevelType w:val="hybridMultilevel"/>
    <w:tmpl w:val="666812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C37253"/>
    <w:multiLevelType w:val="multilevel"/>
    <w:tmpl w:val="4964F60A"/>
    <w:lvl w:ilvl="0">
      <w:start w:val="1"/>
      <w:numFmt w:val="upperRoman"/>
      <w:pStyle w:val="Nadpis1"/>
      <w:suff w:val="nothing"/>
      <w:lvlText w:val="Článek %1."/>
      <w:lvlJc w:val="left"/>
      <w:pPr>
        <w:ind w:left="3685" w:firstLine="0"/>
      </w:pPr>
      <w:rPr>
        <w:rFonts w:ascii="Arial" w:hAnsi="Arial" w:hint="default"/>
        <w:b/>
        <w:i w:val="0"/>
        <w:sz w:val="24"/>
      </w:rPr>
    </w:lvl>
    <w:lvl w:ilvl="1">
      <w:start w:val="1"/>
      <w:numFmt w:val="decimal"/>
      <w:pStyle w:val="Nadpis2"/>
      <w:lvlText w:val="%2."/>
      <w:lvlJc w:val="left"/>
      <w:pPr>
        <w:tabs>
          <w:tab w:val="num" w:pos="397"/>
        </w:tabs>
        <w:ind w:left="397" w:hanging="397"/>
      </w:pPr>
      <w:rPr>
        <w:rFonts w:ascii="Arial" w:hAnsi="Arial" w:hint="default"/>
        <w:b w:val="0"/>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pStyle w:val="Nadpis5"/>
      <w:lvlText w:val="%5)"/>
      <w:lvlJc w:val="left"/>
      <w:pPr>
        <w:tabs>
          <w:tab w:val="num" w:pos="644"/>
        </w:tabs>
        <w:ind w:left="624" w:hanging="340"/>
      </w:pPr>
      <w:rPr>
        <w:rFonts w:ascii="Arial" w:hAnsi="Arial"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7CD08DE"/>
    <w:multiLevelType w:val="multilevel"/>
    <w:tmpl w:val="DA98A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275A07"/>
    <w:multiLevelType w:val="hybridMultilevel"/>
    <w:tmpl w:val="7738279E"/>
    <w:lvl w:ilvl="0" w:tplc="66706264">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170FD5"/>
    <w:multiLevelType w:val="hybridMultilevel"/>
    <w:tmpl w:val="8B942C0A"/>
    <w:lvl w:ilvl="0" w:tplc="ECA29C2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52F77F2"/>
    <w:multiLevelType w:val="hybridMultilevel"/>
    <w:tmpl w:val="86D649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370267"/>
    <w:multiLevelType w:val="hybridMultilevel"/>
    <w:tmpl w:val="AB320F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FF3AC2"/>
    <w:multiLevelType w:val="hybridMultilevel"/>
    <w:tmpl w:val="07C20A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0453D7"/>
    <w:multiLevelType w:val="multilevel"/>
    <w:tmpl w:val="807EC66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A0148B"/>
    <w:multiLevelType w:val="hybridMultilevel"/>
    <w:tmpl w:val="DA14D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A0072F"/>
    <w:multiLevelType w:val="hybridMultilevel"/>
    <w:tmpl w:val="A08C8F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FAE0019"/>
    <w:multiLevelType w:val="hybridMultilevel"/>
    <w:tmpl w:val="C922AD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num>
  <w:num w:numId="2">
    <w:abstractNumId w:val="22"/>
  </w:num>
  <w:num w:numId="3">
    <w:abstractNumId w:val="4"/>
  </w:num>
  <w:num w:numId="4">
    <w:abstractNumId w:val="12"/>
  </w:num>
  <w:num w:numId="5">
    <w:abstractNumId w:val="13"/>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num>
  <w:num w:numId="14">
    <w:abstractNumId w:val="1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15"/>
  </w:num>
  <w:num w:numId="19">
    <w:abstractNumId w:val="24"/>
  </w:num>
  <w:num w:numId="20">
    <w:abstractNumId w:val="15"/>
  </w:num>
  <w:num w:numId="21">
    <w:abstractNumId w:val="15"/>
  </w:num>
  <w:num w:numId="22">
    <w:abstractNumId w:val="3"/>
  </w:num>
  <w:num w:numId="23">
    <w:abstractNumId w:val="15"/>
  </w:num>
  <w:num w:numId="24">
    <w:abstractNumId w:val="15"/>
  </w:num>
  <w:num w:numId="25">
    <w:abstractNumId w:val="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6"/>
  </w:num>
  <w:num w:numId="31">
    <w:abstractNumId w:val="15"/>
  </w:num>
  <w:num w:numId="32">
    <w:abstractNumId w:val="20"/>
  </w:num>
  <w:num w:numId="33">
    <w:abstractNumId w:val="15"/>
  </w:num>
  <w:num w:numId="34">
    <w:abstractNumId w:val="16"/>
  </w:num>
  <w:num w:numId="35">
    <w:abstractNumId w:val="15"/>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4"/>
  </w:num>
  <w:num w:numId="40">
    <w:abstractNumId w:val="15"/>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FC"/>
    <w:rsid w:val="00026A42"/>
    <w:rsid w:val="00077408"/>
    <w:rsid w:val="0008071C"/>
    <w:rsid w:val="000B3455"/>
    <w:rsid w:val="000C53FF"/>
    <w:rsid w:val="00131580"/>
    <w:rsid w:val="00162C73"/>
    <w:rsid w:val="001B2C3A"/>
    <w:rsid w:val="001C191B"/>
    <w:rsid w:val="001C1E2A"/>
    <w:rsid w:val="001F5995"/>
    <w:rsid w:val="001F7543"/>
    <w:rsid w:val="00223371"/>
    <w:rsid w:val="00233045"/>
    <w:rsid w:val="00270D2C"/>
    <w:rsid w:val="002764DC"/>
    <w:rsid w:val="002878E4"/>
    <w:rsid w:val="0029096D"/>
    <w:rsid w:val="002E1984"/>
    <w:rsid w:val="00306EB8"/>
    <w:rsid w:val="00354F54"/>
    <w:rsid w:val="0035672D"/>
    <w:rsid w:val="003A44FD"/>
    <w:rsid w:val="003C0070"/>
    <w:rsid w:val="003F5772"/>
    <w:rsid w:val="00434D23"/>
    <w:rsid w:val="0049337D"/>
    <w:rsid w:val="00496E91"/>
    <w:rsid w:val="004C28EF"/>
    <w:rsid w:val="004E19F4"/>
    <w:rsid w:val="00536565"/>
    <w:rsid w:val="00545D78"/>
    <w:rsid w:val="00546656"/>
    <w:rsid w:val="00547ECC"/>
    <w:rsid w:val="00583E75"/>
    <w:rsid w:val="005C029C"/>
    <w:rsid w:val="005D2E7C"/>
    <w:rsid w:val="005F494C"/>
    <w:rsid w:val="00604E74"/>
    <w:rsid w:val="0062055F"/>
    <w:rsid w:val="0064554A"/>
    <w:rsid w:val="00670E7C"/>
    <w:rsid w:val="006D0619"/>
    <w:rsid w:val="006F1898"/>
    <w:rsid w:val="007972D0"/>
    <w:rsid w:val="007C1271"/>
    <w:rsid w:val="007C7C63"/>
    <w:rsid w:val="007D3282"/>
    <w:rsid w:val="008202E0"/>
    <w:rsid w:val="0082386F"/>
    <w:rsid w:val="00834065"/>
    <w:rsid w:val="008366EE"/>
    <w:rsid w:val="008543A7"/>
    <w:rsid w:val="008643C9"/>
    <w:rsid w:val="0092348C"/>
    <w:rsid w:val="00927ABF"/>
    <w:rsid w:val="009620E4"/>
    <w:rsid w:val="0097228E"/>
    <w:rsid w:val="00983B13"/>
    <w:rsid w:val="009905FC"/>
    <w:rsid w:val="009A05FA"/>
    <w:rsid w:val="009C1F54"/>
    <w:rsid w:val="009F776A"/>
    <w:rsid w:val="009F7FDA"/>
    <w:rsid w:val="00A05049"/>
    <w:rsid w:val="00A06E6F"/>
    <w:rsid w:val="00A15A66"/>
    <w:rsid w:val="00A164C2"/>
    <w:rsid w:val="00A25C6F"/>
    <w:rsid w:val="00A77BC4"/>
    <w:rsid w:val="00AB2AFD"/>
    <w:rsid w:val="00AB7D21"/>
    <w:rsid w:val="00B8137A"/>
    <w:rsid w:val="00B836B4"/>
    <w:rsid w:val="00BD510D"/>
    <w:rsid w:val="00C0278B"/>
    <w:rsid w:val="00C11156"/>
    <w:rsid w:val="00C13912"/>
    <w:rsid w:val="00C2356E"/>
    <w:rsid w:val="00C61C19"/>
    <w:rsid w:val="00C81F6A"/>
    <w:rsid w:val="00CA2FB3"/>
    <w:rsid w:val="00CD7872"/>
    <w:rsid w:val="00D04D23"/>
    <w:rsid w:val="00D142A2"/>
    <w:rsid w:val="00D24584"/>
    <w:rsid w:val="00D30C5C"/>
    <w:rsid w:val="00D85BC4"/>
    <w:rsid w:val="00D93B5B"/>
    <w:rsid w:val="00DA01AF"/>
    <w:rsid w:val="00DD407F"/>
    <w:rsid w:val="00DE3BCA"/>
    <w:rsid w:val="00DF54D0"/>
    <w:rsid w:val="00E37CA7"/>
    <w:rsid w:val="00E4266C"/>
    <w:rsid w:val="00E426B3"/>
    <w:rsid w:val="00E443A7"/>
    <w:rsid w:val="00E60775"/>
    <w:rsid w:val="00E92A59"/>
    <w:rsid w:val="00F06902"/>
    <w:rsid w:val="00F3007D"/>
    <w:rsid w:val="00F33828"/>
    <w:rsid w:val="00F93828"/>
    <w:rsid w:val="00F95C93"/>
    <w:rsid w:val="00FE00FD"/>
    <w:rsid w:val="00FF0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0940"/>
  <w15:chartTrackingRefBased/>
  <w15:docId w15:val="{594950AD-C2F4-4852-8E37-D37D6B7A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05FC"/>
    <w:pPr>
      <w:spacing w:before="120" w:after="0" w:line="288" w:lineRule="auto"/>
      <w:jc w:val="both"/>
    </w:pPr>
    <w:rPr>
      <w:rFonts w:ascii="Arial" w:eastAsia="Times New Roman" w:hAnsi="Arial" w:cs="Times New Roman"/>
      <w:szCs w:val="24"/>
      <w:lang w:eastAsia="cs-CZ"/>
    </w:rPr>
  </w:style>
  <w:style w:type="paragraph" w:styleId="Nadpis1">
    <w:name w:val="heading 1"/>
    <w:basedOn w:val="Normln"/>
    <w:next w:val="Normln"/>
    <w:link w:val="Nadpis1Char"/>
    <w:qFormat/>
    <w:rsid w:val="009905FC"/>
    <w:pPr>
      <w:keepNext/>
      <w:numPr>
        <w:numId w:val="1"/>
      </w:numPr>
      <w:spacing w:before="720"/>
      <w:jc w:val="center"/>
      <w:outlineLvl w:val="0"/>
    </w:pPr>
    <w:rPr>
      <w:rFonts w:cs="Arial"/>
      <w:b/>
      <w:bCs/>
      <w:kern w:val="32"/>
      <w:sz w:val="24"/>
      <w:szCs w:val="32"/>
    </w:rPr>
  </w:style>
  <w:style w:type="paragraph" w:styleId="Nadpis2">
    <w:name w:val="heading 2"/>
    <w:basedOn w:val="Normln"/>
    <w:next w:val="Normln"/>
    <w:link w:val="Nadpis2Char"/>
    <w:qFormat/>
    <w:rsid w:val="009905FC"/>
    <w:pPr>
      <w:numPr>
        <w:ilvl w:val="1"/>
        <w:numId w:val="1"/>
      </w:numPr>
      <w:spacing w:before="240"/>
      <w:outlineLvl w:val="1"/>
    </w:pPr>
    <w:rPr>
      <w:rFonts w:cs="Arial"/>
      <w:bCs/>
      <w:iCs/>
      <w:szCs w:val="28"/>
    </w:rPr>
  </w:style>
  <w:style w:type="paragraph" w:styleId="Nadpis3">
    <w:name w:val="heading 3"/>
    <w:basedOn w:val="Normln"/>
    <w:next w:val="Normln"/>
    <w:link w:val="Nadpis3Char"/>
    <w:qFormat/>
    <w:rsid w:val="009905FC"/>
    <w:pPr>
      <w:numPr>
        <w:ilvl w:val="2"/>
        <w:numId w:val="1"/>
      </w:numPr>
      <w:outlineLvl w:val="2"/>
    </w:pPr>
    <w:rPr>
      <w:rFonts w:cs="Arial"/>
      <w:bCs/>
      <w:szCs w:val="26"/>
    </w:rPr>
  </w:style>
  <w:style w:type="paragraph" w:styleId="Nadpis4">
    <w:name w:val="heading 4"/>
    <w:basedOn w:val="Normln"/>
    <w:next w:val="Normln"/>
    <w:link w:val="Nadpis4Char"/>
    <w:qFormat/>
    <w:rsid w:val="009905FC"/>
    <w:pPr>
      <w:numPr>
        <w:ilvl w:val="3"/>
        <w:numId w:val="1"/>
      </w:numPr>
      <w:outlineLvl w:val="3"/>
    </w:pPr>
    <w:rPr>
      <w:bCs/>
      <w:szCs w:val="28"/>
    </w:rPr>
  </w:style>
  <w:style w:type="paragraph" w:styleId="Nadpis5">
    <w:name w:val="heading 5"/>
    <w:basedOn w:val="Normln"/>
    <w:next w:val="Normln"/>
    <w:link w:val="Nadpis5Char"/>
    <w:qFormat/>
    <w:rsid w:val="009905FC"/>
    <w:pPr>
      <w:numPr>
        <w:ilvl w:val="4"/>
        <w:numId w:val="1"/>
      </w:numPr>
      <w:tabs>
        <w:tab w:val="left" w:pos="737"/>
      </w:tabs>
      <w:outlineLvl w:val="4"/>
    </w:pPr>
    <w:rPr>
      <w:bCs/>
      <w:i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905FC"/>
    <w:rPr>
      <w:rFonts w:ascii="Arial" w:eastAsia="Times New Roman" w:hAnsi="Arial" w:cs="Arial"/>
      <w:b/>
      <w:bCs/>
      <w:kern w:val="32"/>
      <w:sz w:val="24"/>
      <w:szCs w:val="32"/>
      <w:lang w:eastAsia="cs-CZ"/>
    </w:rPr>
  </w:style>
  <w:style w:type="character" w:customStyle="1" w:styleId="Nadpis2Char">
    <w:name w:val="Nadpis 2 Char"/>
    <w:basedOn w:val="Standardnpsmoodstavce"/>
    <w:link w:val="Nadpis2"/>
    <w:rsid w:val="009905FC"/>
    <w:rPr>
      <w:rFonts w:ascii="Arial" w:eastAsia="Times New Roman" w:hAnsi="Arial" w:cs="Arial"/>
      <w:bCs/>
      <w:iCs/>
      <w:szCs w:val="28"/>
      <w:lang w:eastAsia="cs-CZ"/>
    </w:rPr>
  </w:style>
  <w:style w:type="character" w:customStyle="1" w:styleId="Nadpis3Char">
    <w:name w:val="Nadpis 3 Char"/>
    <w:basedOn w:val="Standardnpsmoodstavce"/>
    <w:link w:val="Nadpis3"/>
    <w:rsid w:val="009905FC"/>
    <w:rPr>
      <w:rFonts w:ascii="Arial" w:eastAsia="Times New Roman" w:hAnsi="Arial" w:cs="Arial"/>
      <w:bCs/>
      <w:szCs w:val="26"/>
      <w:lang w:eastAsia="cs-CZ"/>
    </w:rPr>
  </w:style>
  <w:style w:type="character" w:customStyle="1" w:styleId="Nadpis4Char">
    <w:name w:val="Nadpis 4 Char"/>
    <w:basedOn w:val="Standardnpsmoodstavce"/>
    <w:link w:val="Nadpis4"/>
    <w:rsid w:val="009905FC"/>
    <w:rPr>
      <w:rFonts w:ascii="Arial" w:eastAsia="Times New Roman" w:hAnsi="Arial" w:cs="Times New Roman"/>
      <w:bCs/>
      <w:szCs w:val="28"/>
      <w:lang w:eastAsia="cs-CZ"/>
    </w:rPr>
  </w:style>
  <w:style w:type="character" w:customStyle="1" w:styleId="Nadpis5Char">
    <w:name w:val="Nadpis 5 Char"/>
    <w:basedOn w:val="Standardnpsmoodstavce"/>
    <w:link w:val="Nadpis5"/>
    <w:rsid w:val="009905FC"/>
    <w:rPr>
      <w:rFonts w:ascii="Arial" w:eastAsia="Times New Roman" w:hAnsi="Arial" w:cs="Times New Roman"/>
      <w:bCs/>
      <w:iCs/>
      <w:szCs w:val="26"/>
      <w:lang w:eastAsia="cs-CZ"/>
    </w:rPr>
  </w:style>
  <w:style w:type="paragraph" w:styleId="Zhlav">
    <w:name w:val="header"/>
    <w:basedOn w:val="Normln"/>
    <w:link w:val="ZhlavChar"/>
    <w:rsid w:val="009905FC"/>
    <w:pPr>
      <w:pBdr>
        <w:bottom w:val="single" w:sz="2" w:space="1" w:color="auto"/>
      </w:pBdr>
      <w:tabs>
        <w:tab w:val="right" w:pos="9072"/>
      </w:tabs>
      <w:spacing w:before="0" w:line="240" w:lineRule="auto"/>
    </w:pPr>
    <w:rPr>
      <w:sz w:val="16"/>
    </w:rPr>
  </w:style>
  <w:style w:type="character" w:customStyle="1" w:styleId="ZhlavChar">
    <w:name w:val="Záhlaví Char"/>
    <w:basedOn w:val="Standardnpsmoodstavce"/>
    <w:link w:val="Zhlav"/>
    <w:rsid w:val="009905FC"/>
    <w:rPr>
      <w:rFonts w:ascii="Arial" w:eastAsia="Times New Roman" w:hAnsi="Arial" w:cs="Times New Roman"/>
      <w:sz w:val="16"/>
      <w:szCs w:val="24"/>
      <w:lang w:eastAsia="cs-CZ"/>
    </w:rPr>
  </w:style>
  <w:style w:type="paragraph" w:styleId="Zpat">
    <w:name w:val="footer"/>
    <w:basedOn w:val="Normln"/>
    <w:link w:val="ZpatChar"/>
    <w:uiPriority w:val="99"/>
    <w:rsid w:val="009905FC"/>
    <w:pPr>
      <w:tabs>
        <w:tab w:val="center" w:pos="4536"/>
        <w:tab w:val="right" w:pos="9072"/>
      </w:tabs>
      <w:spacing w:before="0" w:line="240" w:lineRule="auto"/>
    </w:pPr>
    <w:rPr>
      <w:sz w:val="16"/>
    </w:rPr>
  </w:style>
  <w:style w:type="character" w:customStyle="1" w:styleId="ZpatChar">
    <w:name w:val="Zápatí Char"/>
    <w:basedOn w:val="Standardnpsmoodstavce"/>
    <w:link w:val="Zpat"/>
    <w:uiPriority w:val="99"/>
    <w:rsid w:val="009905FC"/>
    <w:rPr>
      <w:rFonts w:ascii="Arial" w:eastAsia="Times New Roman" w:hAnsi="Arial" w:cs="Times New Roman"/>
      <w:sz w:val="16"/>
      <w:szCs w:val="24"/>
      <w:lang w:eastAsia="cs-CZ"/>
    </w:rPr>
  </w:style>
  <w:style w:type="paragraph" w:styleId="Nzev">
    <w:name w:val="Title"/>
    <w:basedOn w:val="Normln"/>
    <w:link w:val="NzevChar"/>
    <w:qFormat/>
    <w:rsid w:val="009905FC"/>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9905FC"/>
    <w:rPr>
      <w:rFonts w:ascii="Arial" w:eastAsia="Times New Roman" w:hAnsi="Arial" w:cs="Arial"/>
      <w:bCs/>
      <w:kern w:val="28"/>
      <w:sz w:val="32"/>
      <w:szCs w:val="32"/>
      <w:lang w:eastAsia="cs-CZ"/>
    </w:rPr>
  </w:style>
  <w:style w:type="paragraph" w:customStyle="1" w:styleId="Tlotextu">
    <w:name w:val="Tělo textu"/>
    <w:basedOn w:val="Normln"/>
    <w:semiHidden/>
    <w:rsid w:val="009905FC"/>
    <w:pPr>
      <w:spacing w:before="0" w:line="240" w:lineRule="auto"/>
    </w:pPr>
    <w:rPr>
      <w:rFonts w:ascii="Times New Roman" w:hAnsi="Times New Roman"/>
      <w:sz w:val="24"/>
      <w:lang w:bidi="en-US"/>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9905FC"/>
    <w:pPr>
      <w:ind w:left="720"/>
      <w:contextualSpacing/>
    </w:pPr>
  </w:style>
  <w:style w:type="paragraph" w:styleId="Zkladntextodsazen3">
    <w:name w:val="Body Text Indent 3"/>
    <w:basedOn w:val="Normln"/>
    <w:link w:val="Zkladntextodsazen3Char"/>
    <w:rsid w:val="009905FC"/>
    <w:pPr>
      <w:spacing w:before="0" w:line="240" w:lineRule="auto"/>
      <w:ind w:left="360" w:hanging="360"/>
    </w:pPr>
    <w:rPr>
      <w:rFonts w:ascii="Times New Roman" w:hAnsi="Times New Roman"/>
      <w:sz w:val="24"/>
    </w:rPr>
  </w:style>
  <w:style w:type="character" w:customStyle="1" w:styleId="Zkladntextodsazen3Char">
    <w:name w:val="Základní text odsazený 3 Char"/>
    <w:basedOn w:val="Standardnpsmoodstavce"/>
    <w:link w:val="Zkladntextodsazen3"/>
    <w:rsid w:val="009905FC"/>
    <w:rPr>
      <w:rFonts w:ascii="Times New Roman" w:eastAsia="Times New Roman" w:hAnsi="Times New Roman" w:cs="Times New Roman"/>
      <w:sz w:val="24"/>
      <w:szCs w:val="24"/>
      <w:lang w:eastAsia="cs-CZ"/>
    </w:rPr>
  </w:style>
  <w:style w:type="paragraph" w:styleId="Bezmezer">
    <w:name w:val="No Spacing"/>
    <w:aliases w:val="bez odsazeni"/>
    <w:link w:val="BezmezerChar"/>
    <w:uiPriority w:val="1"/>
    <w:qFormat/>
    <w:rsid w:val="00FF0653"/>
    <w:pPr>
      <w:spacing w:after="0" w:line="240" w:lineRule="auto"/>
    </w:pPr>
  </w:style>
  <w:style w:type="character" w:customStyle="1" w:styleId="BezmezerChar">
    <w:name w:val="Bez mezer Char"/>
    <w:aliases w:val="bez odsazeni Char"/>
    <w:link w:val="Bezmezer"/>
    <w:uiPriority w:val="1"/>
    <w:rsid w:val="00FF0653"/>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FE00FD"/>
    <w:rPr>
      <w:rFonts w:ascii="Arial" w:eastAsia="Times New Roman" w:hAnsi="Arial" w:cs="Times New Roman"/>
      <w:szCs w:val="24"/>
      <w:lang w:eastAsia="cs-CZ"/>
    </w:rPr>
  </w:style>
  <w:style w:type="character" w:styleId="Odkaznakoment">
    <w:name w:val="annotation reference"/>
    <w:basedOn w:val="Standardnpsmoodstavce"/>
    <w:uiPriority w:val="99"/>
    <w:unhideWhenUsed/>
    <w:rsid w:val="00DA01AF"/>
    <w:rPr>
      <w:sz w:val="16"/>
      <w:szCs w:val="16"/>
    </w:rPr>
  </w:style>
  <w:style w:type="character" w:customStyle="1" w:styleId="CharStyle5">
    <w:name w:val="Char Style 5"/>
    <w:basedOn w:val="Standardnpsmoodstavce"/>
    <w:link w:val="Style4"/>
    <w:uiPriority w:val="99"/>
    <w:locked/>
    <w:rsid w:val="00DA01AF"/>
    <w:rPr>
      <w:rFonts w:cs="Times New Roman"/>
      <w:shd w:val="clear" w:color="auto" w:fill="FFFFFF"/>
    </w:rPr>
  </w:style>
  <w:style w:type="character" w:customStyle="1" w:styleId="CharStyle6">
    <w:name w:val="Char Style 6"/>
    <w:basedOn w:val="CharStyle5"/>
    <w:uiPriority w:val="99"/>
    <w:rsid w:val="00DA01AF"/>
    <w:rPr>
      <w:rFonts w:cs="Times New Roman"/>
      <w:u w:val="single"/>
      <w:shd w:val="clear" w:color="auto" w:fill="FFFFFF"/>
    </w:rPr>
  </w:style>
  <w:style w:type="paragraph" w:customStyle="1" w:styleId="Style4">
    <w:name w:val="Style 4"/>
    <w:basedOn w:val="Normln"/>
    <w:link w:val="CharStyle5"/>
    <w:uiPriority w:val="99"/>
    <w:rsid w:val="00DA01AF"/>
    <w:pPr>
      <w:widowControl w:val="0"/>
      <w:shd w:val="clear" w:color="auto" w:fill="FFFFFF"/>
      <w:spacing w:before="160" w:after="160" w:line="312" w:lineRule="exact"/>
      <w:ind w:hanging="420"/>
    </w:pPr>
    <w:rPr>
      <w:rFonts w:asciiTheme="minorHAnsi" w:eastAsiaTheme="minorHAnsi" w:hAnsiTheme="minorHAnsi"/>
      <w:szCs w:val="22"/>
      <w:lang w:eastAsia="en-US"/>
    </w:rPr>
  </w:style>
  <w:style w:type="paragraph" w:styleId="Zkladntext">
    <w:name w:val="Body Text"/>
    <w:basedOn w:val="Normln"/>
    <w:link w:val="ZkladntextChar"/>
    <w:uiPriority w:val="99"/>
    <w:semiHidden/>
    <w:unhideWhenUsed/>
    <w:rsid w:val="0092348C"/>
    <w:pPr>
      <w:spacing w:after="120"/>
    </w:pPr>
  </w:style>
  <w:style w:type="character" w:customStyle="1" w:styleId="ZkladntextChar">
    <w:name w:val="Základní text Char"/>
    <w:basedOn w:val="Standardnpsmoodstavce"/>
    <w:link w:val="Zkladntext"/>
    <w:uiPriority w:val="99"/>
    <w:semiHidden/>
    <w:rsid w:val="0092348C"/>
    <w:rPr>
      <w:rFonts w:ascii="Arial" w:eastAsia="Times New Roman" w:hAnsi="Arial" w:cs="Times New Roman"/>
      <w:szCs w:val="24"/>
      <w:lang w:eastAsia="cs-CZ"/>
    </w:rPr>
  </w:style>
  <w:style w:type="character" w:styleId="Hypertextovodkaz">
    <w:name w:val="Hyperlink"/>
    <w:basedOn w:val="Standardnpsmoodstavce"/>
    <w:semiHidden/>
    <w:rsid w:val="007D3282"/>
    <w:rPr>
      <w:color w:val="0000FF"/>
      <w:u w:val="single"/>
    </w:rPr>
  </w:style>
  <w:style w:type="table" w:styleId="Mkatabulky">
    <w:name w:val="Table Grid"/>
    <w:basedOn w:val="Normlntabulka"/>
    <w:uiPriority w:val="59"/>
    <w:rsid w:val="0098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5">
    <w:name w:val="cl.5"/>
    <w:basedOn w:val="Normln"/>
    <w:rsid w:val="00F93828"/>
    <w:pPr>
      <w:widowControl w:val="0"/>
      <w:spacing w:after="200" w:line="252" w:lineRule="auto"/>
    </w:pPr>
    <w:rPr>
      <w:rFonts w:eastAsiaTheme="minorHAnsi" w:cs="Arial"/>
      <w:color w:val="000000"/>
      <w:sz w:val="20"/>
      <w:szCs w:val="20"/>
      <w:lang w:eastAsia="en-US"/>
    </w:rPr>
  </w:style>
  <w:style w:type="paragraph" w:styleId="Textbubliny">
    <w:name w:val="Balloon Text"/>
    <w:basedOn w:val="Normln"/>
    <w:link w:val="TextbublinyChar"/>
    <w:uiPriority w:val="99"/>
    <w:semiHidden/>
    <w:unhideWhenUsed/>
    <w:rsid w:val="0082386F"/>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386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7D10-644C-4ABB-8F0D-24B39F3A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5318</Words>
  <Characters>31382</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Šivicová Pavla</dc:creator>
  <cp:keywords/>
  <dc:description/>
  <cp:lastModifiedBy>Ludvík Jakub</cp:lastModifiedBy>
  <cp:revision>2</cp:revision>
  <dcterms:created xsi:type="dcterms:W3CDTF">2023-01-18T09:54:00Z</dcterms:created>
  <dcterms:modified xsi:type="dcterms:W3CDTF">2023-01-18T09:54:00Z</dcterms:modified>
</cp:coreProperties>
</file>