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94" w:rsidRDefault="00320D94" w:rsidP="00FC2095">
      <w:pPr>
        <w:jc w:val="center"/>
        <w:rPr>
          <w:rFonts w:asciiTheme="minorHAnsi" w:hAnsiTheme="minorHAnsi"/>
          <w:b/>
          <w:sz w:val="28"/>
          <w:szCs w:val="28"/>
        </w:rPr>
      </w:pPr>
    </w:p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850A37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320D94">
        <w:rPr>
          <w:rFonts w:asciiTheme="minorHAnsi" w:hAnsiTheme="minorHAnsi"/>
          <w:b/>
          <w:sz w:val="28"/>
          <w:szCs w:val="28"/>
        </w:rPr>
        <w:t>00108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>Mgr. I</w:t>
      </w:r>
      <w:r w:rsidR="00850A37">
        <w:rPr>
          <w:rFonts w:asciiTheme="minorHAnsi" w:hAnsiTheme="minorHAnsi"/>
          <w:sz w:val="22"/>
          <w:szCs w:val="22"/>
        </w:rPr>
        <w:t>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850A37">
        <w:rPr>
          <w:rFonts w:asciiTheme="minorHAnsi" w:hAnsiTheme="minorHAnsi"/>
          <w:sz w:val="22"/>
          <w:szCs w:val="22"/>
        </w:rPr>
        <w:t>sociálních věcí</w:t>
      </w:r>
      <w:r w:rsidR="007A01F4">
        <w:rPr>
          <w:rFonts w:asciiTheme="minorHAnsi" w:hAnsiTheme="minorHAnsi"/>
          <w:sz w:val="22"/>
          <w:szCs w:val="22"/>
        </w:rPr>
        <w:t xml:space="preserve"> </w:t>
      </w:r>
      <w:r w:rsidR="00CE66BD">
        <w:rPr>
          <w:rFonts w:asciiTheme="minorHAnsi" w:hAnsiTheme="minorHAnsi"/>
          <w:sz w:val="22"/>
          <w:szCs w:val="22"/>
        </w:rPr>
        <w:t xml:space="preserve">Magistrátu </w:t>
      </w:r>
      <w:r w:rsidR="00EE1818">
        <w:rPr>
          <w:rFonts w:asciiTheme="minorHAnsi" w:hAnsiTheme="minorHAnsi"/>
          <w:sz w:val="22"/>
          <w:szCs w:val="22"/>
        </w:rPr>
        <w:t>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125DD" w:rsidRPr="00940941" w:rsidRDefault="003125DD" w:rsidP="003125DD">
      <w:pPr>
        <w:pStyle w:val="Odstavecseseznamem"/>
        <w:widowControl w:val="0"/>
        <w:tabs>
          <w:tab w:val="left" w:pos="426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940941">
        <w:rPr>
          <w:rFonts w:ascii="Calibri" w:hAnsi="Calibri"/>
          <w:sz w:val="22"/>
          <w:szCs w:val="22"/>
        </w:rPr>
        <w:t xml:space="preserve">SH ČMS - Sbor dobrovolných hasičů </w:t>
      </w:r>
      <w:proofErr w:type="spellStart"/>
      <w:r w:rsidRPr="00940941">
        <w:rPr>
          <w:rFonts w:ascii="Calibri" w:hAnsi="Calibri"/>
          <w:sz w:val="22"/>
          <w:szCs w:val="22"/>
        </w:rPr>
        <w:t>Svítkov</w:t>
      </w:r>
      <w:proofErr w:type="spellEnd"/>
      <w:r w:rsidRPr="00940941">
        <w:rPr>
          <w:rFonts w:ascii="Calibri" w:hAnsi="Calibri"/>
          <w:sz w:val="22"/>
          <w:szCs w:val="22"/>
        </w:rPr>
        <w:t xml:space="preserve"> - Popkovice</w:t>
      </w:r>
      <w:r w:rsidRPr="00940941">
        <w:rPr>
          <w:rFonts w:ascii="Calibri" w:hAnsi="Calibri"/>
          <w:sz w:val="22"/>
          <w:szCs w:val="22"/>
        </w:rPr>
        <w:tab/>
      </w:r>
    </w:p>
    <w:p w:rsidR="003125DD" w:rsidRDefault="003125DD" w:rsidP="003125DD">
      <w:pPr>
        <w:pStyle w:val="Odstavecseseznamem"/>
        <w:widowControl w:val="0"/>
        <w:tabs>
          <w:tab w:val="left" w:pos="426"/>
        </w:tabs>
        <w:ind w:left="360"/>
        <w:jc w:val="both"/>
      </w:pPr>
      <w:r>
        <w:rPr>
          <w:rFonts w:ascii="Calibri" w:hAnsi="Calibri"/>
          <w:sz w:val="22"/>
          <w:szCs w:val="22"/>
        </w:rPr>
        <w:t xml:space="preserve"> </w:t>
      </w:r>
      <w:r w:rsidRPr="003125DD">
        <w:rPr>
          <w:rFonts w:ascii="Calibri" w:hAnsi="Calibri"/>
          <w:sz w:val="22"/>
          <w:szCs w:val="22"/>
        </w:rPr>
        <w:t xml:space="preserve">sídlo: Přerovská 527, </w:t>
      </w:r>
      <w:proofErr w:type="spellStart"/>
      <w:r w:rsidRPr="003125DD">
        <w:rPr>
          <w:rFonts w:ascii="Calibri" w:hAnsi="Calibri"/>
          <w:sz w:val="22"/>
          <w:szCs w:val="22"/>
        </w:rPr>
        <w:t>Svítkov</w:t>
      </w:r>
      <w:proofErr w:type="spellEnd"/>
      <w:r w:rsidRPr="003125DD">
        <w:rPr>
          <w:rFonts w:ascii="Calibri" w:hAnsi="Calibri"/>
          <w:sz w:val="22"/>
          <w:szCs w:val="22"/>
        </w:rPr>
        <w:t>, 530 06 Pardubice</w:t>
      </w:r>
    </w:p>
    <w:p w:rsidR="003125DD" w:rsidRDefault="003125DD" w:rsidP="003125DD">
      <w:pPr>
        <w:pStyle w:val="Odstavecseseznamem"/>
        <w:tabs>
          <w:tab w:val="left" w:pos="426"/>
        </w:tabs>
        <w:ind w:left="360"/>
      </w:pPr>
      <w:r>
        <w:rPr>
          <w:rFonts w:ascii="Calibri" w:hAnsi="Calibri"/>
          <w:sz w:val="22"/>
          <w:szCs w:val="22"/>
        </w:rPr>
        <w:t xml:space="preserve"> </w:t>
      </w:r>
      <w:r w:rsidRPr="003125DD">
        <w:rPr>
          <w:rFonts w:ascii="Calibri" w:hAnsi="Calibri"/>
          <w:sz w:val="22"/>
          <w:szCs w:val="22"/>
        </w:rPr>
        <w:t>IČ: 01465741</w:t>
      </w:r>
      <w:r w:rsidRPr="003125DD">
        <w:rPr>
          <w:rFonts w:ascii="Calibri" w:hAnsi="Calibri"/>
          <w:bCs/>
          <w:sz w:val="22"/>
          <w:szCs w:val="22"/>
        </w:rPr>
        <w:t>,</w:t>
      </w:r>
    </w:p>
    <w:p w:rsidR="003125DD" w:rsidRPr="003125DD" w:rsidRDefault="003125DD" w:rsidP="003125DD">
      <w:pPr>
        <w:pStyle w:val="Odstavecseseznamem"/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3125DD">
        <w:rPr>
          <w:rFonts w:ascii="Calibri" w:hAnsi="Calibri"/>
          <w:sz w:val="22"/>
          <w:szCs w:val="22"/>
        </w:rPr>
        <w:t>bankovní spojení: 7483969001/5500,</w:t>
      </w:r>
    </w:p>
    <w:p w:rsidR="003125DD" w:rsidRPr="003125DD" w:rsidRDefault="003125DD" w:rsidP="003125DD">
      <w:pPr>
        <w:pStyle w:val="Odstavecseseznamem"/>
        <w:tabs>
          <w:tab w:val="left" w:pos="426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3125DD">
        <w:rPr>
          <w:rFonts w:ascii="Calibri" w:hAnsi="Calibri"/>
          <w:sz w:val="22"/>
          <w:szCs w:val="22"/>
        </w:rPr>
        <w:t>zastoupený: Jiřím Chmelíkem</w:t>
      </w:r>
    </w:p>
    <w:p w:rsidR="00EB5E74" w:rsidRPr="003125DD" w:rsidRDefault="003125DD" w:rsidP="003125D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3125DD">
        <w:rPr>
          <w:rFonts w:ascii="Calibri" w:hAnsi="Calibr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</w:t>
      </w:r>
      <w:r w:rsidR="007D7A80">
        <w:rPr>
          <w:rFonts w:asciiTheme="minorHAnsi" w:hAnsiTheme="minorHAnsi"/>
          <w:sz w:val="22"/>
          <w:szCs w:val="22"/>
        </w:rPr>
        <w:t> Programu prevence kriminality a zvyšování bezpečnosti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B7536D">
        <w:rPr>
          <w:rFonts w:asciiTheme="minorHAnsi" w:hAnsiTheme="minorHAnsi"/>
          <w:sz w:val="22"/>
          <w:szCs w:val="22"/>
        </w:rPr>
        <w:t>441</w:t>
      </w:r>
      <w:r w:rsidR="007D7A80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B7536D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D7A80">
        <w:rPr>
          <w:rFonts w:asciiTheme="minorHAnsi" w:hAnsiTheme="minorHAnsi"/>
          <w:sz w:val="22"/>
          <w:szCs w:val="22"/>
        </w:rPr>
        <w:t> Programu prevence kriminality a zvyšování bezpečnosti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 rok 201</w:t>
      </w:r>
      <w:r w:rsidR="002B3971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D5347D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1D7D92">
        <w:rPr>
          <w:rFonts w:asciiTheme="minorHAnsi" w:hAnsiTheme="minorHAnsi"/>
          <w:b/>
          <w:sz w:val="22"/>
          <w:szCs w:val="22"/>
        </w:rPr>
        <w:t>55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1D7D92">
        <w:rPr>
          <w:rFonts w:asciiTheme="minorHAnsi" w:hAnsiTheme="minorHAnsi"/>
          <w:b/>
          <w:sz w:val="22"/>
          <w:szCs w:val="22"/>
        </w:rPr>
        <w:t>0</w:t>
      </w:r>
      <w:r w:rsidR="00126D25">
        <w:rPr>
          <w:rFonts w:asciiTheme="minorHAnsi" w:hAnsiTheme="minorHAnsi"/>
          <w:b/>
          <w:sz w:val="22"/>
          <w:szCs w:val="22"/>
        </w:rPr>
        <w:t>00</w:t>
      </w:r>
      <w:r w:rsidR="00772A39" w:rsidRPr="00BC41E3">
        <w:rPr>
          <w:rFonts w:asciiTheme="minorHAnsi" w:hAnsiTheme="minorHAnsi"/>
          <w:b/>
          <w:sz w:val="22"/>
          <w:szCs w:val="22"/>
        </w:rPr>
        <w:t>,00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6EFB">
        <w:rPr>
          <w:rFonts w:asciiTheme="minorHAnsi" w:hAnsiTheme="minorHAnsi"/>
          <w:sz w:val="22"/>
          <w:szCs w:val="22"/>
        </w:rPr>
        <w:t>Padesátpět</w:t>
      </w:r>
      <w:r w:rsidR="00EC510D" w:rsidRPr="002B3971">
        <w:rPr>
          <w:rFonts w:asciiTheme="minorHAnsi" w:hAnsiTheme="minorHAnsi"/>
          <w:sz w:val="22"/>
          <w:szCs w:val="22"/>
        </w:rPr>
        <w:t>tisíc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920272">
        <w:rPr>
          <w:rFonts w:asciiTheme="minorHAnsi" w:hAnsiTheme="minorHAnsi"/>
          <w:b/>
          <w:sz w:val="22"/>
          <w:szCs w:val="22"/>
        </w:rPr>
        <w:t>Věcné prostředky pro požární útok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Pr="00E21A6E" w:rsidRDefault="00126D25" w:rsidP="007D7A8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 xml:space="preserve">31. </w:t>
      </w:r>
      <w:r w:rsidR="0083233D">
        <w:rPr>
          <w:rFonts w:asciiTheme="minorHAnsi" w:hAnsiTheme="minorHAnsi"/>
          <w:sz w:val="22"/>
          <w:szCs w:val="22"/>
        </w:rPr>
        <w:t>12</w:t>
      </w:r>
      <w:r w:rsidR="002B3971">
        <w:rPr>
          <w:rFonts w:asciiTheme="minorHAnsi" w:hAnsiTheme="minorHAnsi"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FA5B72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FA5B7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84E8E" w:rsidRPr="00FA5B72">
        <w:rPr>
          <w:rFonts w:asciiTheme="minorHAnsi" w:hAnsiTheme="minorHAnsi"/>
          <w:sz w:val="22"/>
          <w:szCs w:val="22"/>
        </w:rPr>
        <w:t>2</w:t>
      </w:r>
      <w:r w:rsidR="00335278">
        <w:rPr>
          <w:rFonts w:asciiTheme="minorHAnsi" w:hAnsiTheme="minorHAnsi"/>
          <w:sz w:val="22"/>
          <w:szCs w:val="22"/>
        </w:rPr>
        <w:t>2</w:t>
      </w:r>
      <w:r w:rsidR="00484E8E" w:rsidRPr="00FA5B72">
        <w:rPr>
          <w:rFonts w:asciiTheme="minorHAnsi" w:hAnsiTheme="minorHAnsi"/>
          <w:sz w:val="22"/>
          <w:szCs w:val="22"/>
        </w:rPr>
        <w:t>.</w:t>
      </w:r>
      <w:r w:rsidR="00721B64">
        <w:rPr>
          <w:rFonts w:asciiTheme="minorHAnsi" w:hAnsiTheme="minorHAnsi"/>
          <w:sz w:val="22"/>
          <w:szCs w:val="22"/>
        </w:rPr>
        <w:t xml:space="preserve"> </w:t>
      </w:r>
      <w:r w:rsidR="00FB151F" w:rsidRPr="00FA5B72">
        <w:rPr>
          <w:rFonts w:asciiTheme="minorHAnsi" w:hAnsiTheme="minorHAnsi"/>
          <w:sz w:val="22"/>
          <w:szCs w:val="22"/>
        </w:rPr>
        <w:t>02</w:t>
      </w:r>
      <w:r w:rsidR="00322DD6" w:rsidRPr="00FA5B72">
        <w:rPr>
          <w:rFonts w:asciiTheme="minorHAnsi" w:hAnsiTheme="minorHAnsi"/>
          <w:sz w:val="22"/>
          <w:szCs w:val="22"/>
        </w:rPr>
        <w:t>.</w:t>
      </w:r>
      <w:r w:rsidR="00721B64">
        <w:rPr>
          <w:rFonts w:asciiTheme="minorHAnsi" w:hAnsiTheme="minorHAnsi"/>
          <w:sz w:val="22"/>
          <w:szCs w:val="22"/>
        </w:rPr>
        <w:t xml:space="preserve"> </w:t>
      </w:r>
      <w:r w:rsidR="00322DD6" w:rsidRPr="00FA5B72">
        <w:rPr>
          <w:rFonts w:asciiTheme="minorHAnsi" w:hAnsiTheme="minorHAnsi"/>
          <w:sz w:val="22"/>
          <w:szCs w:val="22"/>
        </w:rPr>
        <w:t>201</w:t>
      </w:r>
      <w:r w:rsidR="00FB151F" w:rsidRPr="00FA5B72">
        <w:rPr>
          <w:rFonts w:asciiTheme="minorHAnsi" w:hAnsiTheme="minorHAnsi"/>
          <w:sz w:val="22"/>
          <w:szCs w:val="22"/>
        </w:rPr>
        <w:t>7</w:t>
      </w:r>
      <w:r w:rsidR="00FA2CBA" w:rsidRPr="00FA5B72">
        <w:rPr>
          <w:rFonts w:asciiTheme="minorHAnsi" w:hAnsiTheme="minorHAnsi"/>
          <w:sz w:val="22"/>
          <w:szCs w:val="22"/>
        </w:rPr>
        <w:t xml:space="preserve"> </w:t>
      </w:r>
      <w:r w:rsidRPr="00FA5B72">
        <w:rPr>
          <w:rFonts w:asciiTheme="minorHAnsi" w:hAnsiTheme="minorHAnsi"/>
          <w:sz w:val="22"/>
          <w:szCs w:val="22"/>
        </w:rPr>
        <w:t>a zaevidované poskytovatelem pod č.</w:t>
      </w:r>
      <w:r w:rsidR="00721B64">
        <w:rPr>
          <w:rFonts w:asciiTheme="minorHAnsi" w:hAnsiTheme="minorHAnsi"/>
          <w:sz w:val="22"/>
          <w:szCs w:val="22"/>
        </w:rPr>
        <w:t xml:space="preserve"> </w:t>
      </w:r>
      <w:r w:rsidRPr="00FA5B72">
        <w:rPr>
          <w:rFonts w:asciiTheme="minorHAnsi" w:hAnsiTheme="minorHAnsi"/>
          <w:sz w:val="22"/>
          <w:szCs w:val="22"/>
        </w:rPr>
        <w:t xml:space="preserve">j. </w:t>
      </w:r>
      <w:r w:rsidR="00FB151F" w:rsidRPr="00FA5B72">
        <w:rPr>
          <w:rFonts w:asciiTheme="minorHAnsi" w:hAnsiTheme="minorHAnsi"/>
          <w:sz w:val="22"/>
          <w:szCs w:val="22"/>
        </w:rPr>
        <w:t>15</w:t>
      </w:r>
      <w:r w:rsidR="009B6935">
        <w:rPr>
          <w:rFonts w:asciiTheme="minorHAnsi" w:hAnsiTheme="minorHAnsi"/>
          <w:sz w:val="22"/>
          <w:szCs w:val="22"/>
        </w:rPr>
        <w:t>900</w:t>
      </w:r>
      <w:r w:rsidR="00FA2CBA" w:rsidRPr="00FA5B72">
        <w:rPr>
          <w:rFonts w:asciiTheme="minorHAnsi" w:hAnsiTheme="minorHAnsi"/>
          <w:sz w:val="22"/>
          <w:szCs w:val="22"/>
        </w:rPr>
        <w:t>/201</w:t>
      </w:r>
      <w:r w:rsidR="00FB151F" w:rsidRPr="00FA5B72">
        <w:rPr>
          <w:rFonts w:asciiTheme="minorHAnsi" w:hAnsiTheme="minorHAnsi"/>
          <w:sz w:val="22"/>
          <w:szCs w:val="22"/>
        </w:rPr>
        <w:t>7</w:t>
      </w:r>
      <w:r w:rsidRPr="00FA5B72">
        <w:rPr>
          <w:rFonts w:asciiTheme="minorHAnsi" w:hAnsiTheme="minorHAnsi"/>
          <w:sz w:val="22"/>
          <w:szCs w:val="22"/>
        </w:rPr>
        <w:t xml:space="preserve">, </w:t>
      </w:r>
    </w:p>
    <w:p w:rsidR="00FA5B72" w:rsidRPr="0077759E" w:rsidRDefault="00FA5B72" w:rsidP="00FA5B7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smlouvy,</w:t>
      </w:r>
    </w:p>
    <w:p w:rsidR="000A0147" w:rsidRPr="0077759E" w:rsidRDefault="000A0147" w:rsidP="00985DD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83233D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F874A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Pr="0079621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 xml:space="preserve">v rámci projektu nepropagovat žádné politické strany a hnutí, jejich program, a vyvinout veškeré úsilí k eliminaci obdobných projevů v průběhu pořádané akce. 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62BD3" w:rsidRPr="00662BD3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  <w:r w:rsidR="00571C32"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0A0147" w:rsidRPr="00662BD3" w:rsidRDefault="00BC20D4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</w:t>
      </w:r>
      <w:r w:rsidR="00D67640" w:rsidRPr="00662BD3">
        <w:rPr>
          <w:rFonts w:ascii="Calibri" w:hAnsi="Calibri"/>
          <w:sz w:val="22"/>
          <w:szCs w:val="22"/>
        </w:rPr>
        <w:t>provedení</w:t>
      </w:r>
      <w:r w:rsidRPr="00662BD3">
        <w:rPr>
          <w:rFonts w:ascii="Calibri" w:hAnsi="Calibri"/>
          <w:sz w:val="22"/>
          <w:szCs w:val="22"/>
        </w:rPr>
        <w:t xml:space="preserve"> kontrol</w:t>
      </w:r>
      <w:r w:rsidR="00D67640" w:rsidRPr="00662BD3">
        <w:rPr>
          <w:rFonts w:ascii="Calibri" w:hAnsi="Calibri"/>
          <w:sz w:val="22"/>
          <w:szCs w:val="22"/>
        </w:rPr>
        <w:t>y</w:t>
      </w:r>
      <w:r w:rsidRPr="00662BD3">
        <w:rPr>
          <w:rFonts w:ascii="Calibri" w:hAnsi="Calibri"/>
          <w:sz w:val="22"/>
          <w:szCs w:val="22"/>
        </w:rPr>
        <w:t xml:space="preserve"> v místě a  čase konání</w:t>
      </w:r>
      <w:r w:rsidR="00D67640" w:rsidRPr="00662BD3">
        <w:rPr>
          <w:rFonts w:ascii="Calibri" w:hAnsi="Calibri"/>
          <w:sz w:val="22"/>
          <w:szCs w:val="22"/>
        </w:rPr>
        <w:t xml:space="preserve"> akcí</w:t>
      </w:r>
      <w:r w:rsidR="00B075D7" w:rsidRPr="00662BD3">
        <w:rPr>
          <w:rFonts w:ascii="Calibri" w:hAnsi="Calibri"/>
          <w:sz w:val="22"/>
          <w:szCs w:val="22"/>
        </w:rPr>
        <w:t xml:space="preserve"> realizovaných v rámci dotovaného projektu</w:t>
      </w:r>
      <w:r w:rsidRPr="00662BD3">
        <w:rPr>
          <w:rFonts w:ascii="Calibri" w:hAnsi="Calibri"/>
          <w:sz w:val="22"/>
          <w:szCs w:val="22"/>
        </w:rPr>
        <w:t xml:space="preserve">. 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83233D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83233D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83233D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FA1473" w:rsidRDefault="000A0147" w:rsidP="00FA1473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83233D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C8227D">
      <w:pPr>
        <w:numPr>
          <w:ilvl w:val="0"/>
          <w:numId w:val="10"/>
        </w:numPr>
        <w:tabs>
          <w:tab w:val="left" w:pos="284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C8227D">
      <w:pPr>
        <w:numPr>
          <w:ilvl w:val="1"/>
          <w:numId w:val="10"/>
        </w:numPr>
        <w:tabs>
          <w:tab w:val="left" w:pos="284"/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</w:t>
      </w:r>
      <w:r w:rsidR="007A112D">
        <w:rPr>
          <w:rFonts w:asciiTheme="minorHAnsi" w:hAnsiTheme="minorHAnsi" w:cs="Tahoma"/>
          <w:sz w:val="22"/>
          <w:szCs w:val="22"/>
        </w:rPr>
        <w:t>v</w:t>
      </w:r>
      <w:r w:rsidR="00BC5983">
        <w:rPr>
          <w:rFonts w:asciiTheme="minorHAnsi" w:hAnsiTheme="minorHAnsi" w:cs="Tahoma"/>
          <w:sz w:val="22"/>
          <w:szCs w:val="22"/>
        </w:rPr>
        <w:t>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C8227D">
      <w:pPr>
        <w:numPr>
          <w:ilvl w:val="1"/>
          <w:numId w:val="10"/>
        </w:numPr>
        <w:tabs>
          <w:tab w:val="clear" w:pos="1440"/>
          <w:tab w:val="left" w:pos="284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C8227D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C8227D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DD5DF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C8227D">
      <w:pPr>
        <w:pStyle w:val="Odstavecseseznamem"/>
        <w:numPr>
          <w:ilvl w:val="0"/>
          <w:numId w:val="11"/>
        </w:numPr>
        <w:ind w:left="567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C8227D">
      <w:pPr>
        <w:pStyle w:val="Odstavecseseznamem"/>
        <w:numPr>
          <w:ilvl w:val="0"/>
          <w:numId w:val="11"/>
        </w:numPr>
        <w:ind w:left="567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FA1473" w:rsidRDefault="00FA1473" w:rsidP="000A0147">
      <w:pPr>
        <w:jc w:val="center"/>
        <w:rPr>
          <w:rFonts w:asciiTheme="minorHAnsi" w:hAnsiTheme="minorHAnsi"/>
          <w:b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85644D" w:rsidRDefault="002B3971" w:rsidP="0085644D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</w:t>
      </w:r>
      <w:r w:rsidR="00910478">
        <w:rPr>
          <w:rFonts w:ascii="Calibri" w:hAnsi="Calibri"/>
          <w:sz w:val="22"/>
          <w:szCs w:val="22"/>
        </w:rPr>
        <w:t>s</w:t>
      </w:r>
      <w:r w:rsidRPr="002F0776">
        <w:rPr>
          <w:rFonts w:ascii="Calibri" w:hAnsi="Calibri"/>
          <w:sz w:val="22"/>
          <w:szCs w:val="22"/>
        </w:rPr>
        <w:t>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FA1473" w:rsidRDefault="00FA1473" w:rsidP="00484E8E">
      <w:pPr>
        <w:jc w:val="both"/>
        <w:rPr>
          <w:rFonts w:asciiTheme="minorHAnsi" w:hAnsiTheme="minorHAnsi"/>
          <w:sz w:val="22"/>
          <w:szCs w:val="22"/>
        </w:rPr>
      </w:pPr>
    </w:p>
    <w:p w:rsidR="00721B64" w:rsidRDefault="00721B64" w:rsidP="00484E8E">
      <w:pPr>
        <w:jc w:val="both"/>
        <w:rPr>
          <w:rFonts w:asciiTheme="minorHAnsi" w:hAnsiTheme="minorHAnsi"/>
          <w:sz w:val="22"/>
          <w:szCs w:val="22"/>
        </w:rPr>
      </w:pPr>
    </w:p>
    <w:p w:rsidR="00FA1473" w:rsidRDefault="00FA1473" w:rsidP="00484E8E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FA1473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AF6AEB">
        <w:rPr>
          <w:rFonts w:ascii="Calibri" w:hAnsi="Calibri"/>
          <w:sz w:val="22"/>
          <w:szCs w:val="22"/>
        </w:rPr>
        <w:t>Jiří Chmelík</w:t>
      </w:r>
      <w:r w:rsidR="00FA1473">
        <w:rPr>
          <w:rFonts w:asciiTheme="minorHAnsi" w:hAnsiTheme="minorHAnsi"/>
          <w:sz w:val="22"/>
          <w:szCs w:val="22"/>
        </w:rPr>
        <w:t xml:space="preserve"> 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3802F8" w:rsidRPr="005629B3" w:rsidRDefault="003802F8" w:rsidP="00275261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 Z/1727/2017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27.04.2017</w:t>
      </w:r>
      <w:proofErr w:type="gramEnd"/>
      <w:r>
        <w:rPr>
          <w:rFonts w:asciiTheme="minorHAnsi" w:hAnsiTheme="minorHAnsi"/>
          <w:sz w:val="20"/>
          <w:szCs w:val="20"/>
        </w:rPr>
        <w:t>.</w:t>
      </w:r>
      <w:r w:rsidRPr="005629B3">
        <w:rPr>
          <w:rFonts w:asciiTheme="minorHAnsi" w:hAnsiTheme="minorHAnsi"/>
          <w:sz w:val="20"/>
          <w:szCs w:val="20"/>
        </w:rPr>
        <w:t xml:space="preserve"> </w:t>
      </w:r>
    </w:p>
    <w:p w:rsidR="003802F8" w:rsidRDefault="003802F8" w:rsidP="003802F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Pr="009840BC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úsek ekonomický a rozvojových koncepcí odboru sociálních věcí Magistrátu města Pardubic</w:t>
      </w:r>
    </w:p>
    <w:tbl>
      <w:tblPr>
        <w:tblW w:w="11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980"/>
        <w:gridCol w:w="2140"/>
        <w:gridCol w:w="1060"/>
        <w:gridCol w:w="1060"/>
      </w:tblGrid>
      <w:tr w:rsidR="00E61407" w:rsidRPr="00E61407" w:rsidTr="0046676C">
        <w:trPr>
          <w:trHeight w:val="405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Default="00E61407" w:rsidP="00E6140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02F8" w:rsidRDefault="003802F8" w:rsidP="00E6140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02F8" w:rsidRDefault="003802F8" w:rsidP="00E61407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61407">
              <w:rPr>
                <w:rFonts w:ascii="Calibri" w:hAnsi="Calibri" w:cs="Arial"/>
                <w:b/>
                <w:bCs/>
                <w:sz w:val="28"/>
                <w:szCs w:val="28"/>
              </w:rPr>
              <w:t>Prevence kriminality a zvyšování bezpečnosti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</w:rPr>
            </w:pPr>
            <w:r w:rsidRPr="00E61407">
              <w:rPr>
                <w:rFonts w:ascii="Calibri" w:hAnsi="Calibri" w:cs="Arial"/>
                <w:b/>
                <w:bCs/>
              </w:rPr>
              <w:t>Dotační titul: Prevence požární ochrany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</w:rPr>
            </w:pPr>
            <w:r w:rsidRPr="00E61407">
              <w:rPr>
                <w:rFonts w:ascii="Calibri" w:hAnsi="Calibri" w:cs="Arial"/>
                <w:b/>
                <w:bCs/>
              </w:rPr>
              <w:t>Žadatel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6140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SDH </w:t>
            </w:r>
            <w:proofErr w:type="spellStart"/>
            <w:r w:rsidRPr="00E61407">
              <w:rPr>
                <w:rFonts w:ascii="Calibri" w:hAnsi="Calibri" w:cs="Arial"/>
                <w:b/>
                <w:bCs/>
                <w:sz w:val="28"/>
                <w:szCs w:val="28"/>
              </w:rPr>
              <w:t>Svítkov</w:t>
            </w:r>
            <w:proofErr w:type="spellEnd"/>
            <w:r w:rsidRPr="00E6140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- Popkovice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</w:rPr>
            </w:pPr>
            <w:r w:rsidRPr="00E61407">
              <w:rPr>
                <w:rFonts w:ascii="Calibri" w:hAnsi="Calibri" w:cs="Arial"/>
                <w:b/>
                <w:bCs/>
              </w:rPr>
              <w:t>Název projektu</w:t>
            </w:r>
          </w:p>
        </w:tc>
        <w:tc>
          <w:tcPr>
            <w:tcW w:w="4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61407">
              <w:rPr>
                <w:rFonts w:ascii="Calibri" w:hAnsi="Calibri" w:cs="Arial"/>
                <w:b/>
                <w:bCs/>
                <w:sz w:val="28"/>
                <w:szCs w:val="28"/>
              </w:rPr>
              <w:t>Věcné prostředky pro požární útok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</w:rPr>
            </w:pPr>
            <w:r w:rsidRPr="00E61407">
              <w:rPr>
                <w:rFonts w:ascii="Calibri" w:hAnsi="Calibri" w:cs="Arial"/>
                <w:b/>
                <w:bCs/>
              </w:rPr>
              <w:t>Rozpočet projektu na období</w:t>
            </w:r>
          </w:p>
        </w:tc>
        <w:tc>
          <w:tcPr>
            <w:tcW w:w="41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E61407">
              <w:rPr>
                <w:rFonts w:ascii="Calibri" w:hAnsi="Calibri" w:cs="Arial"/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51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E61407">
              <w:rPr>
                <w:rFonts w:ascii="Calibri" w:hAnsi="Calibri" w:cs="Arial"/>
                <w:sz w:val="22"/>
                <w:szCs w:val="22"/>
              </w:rPr>
              <w:t>Věnujte,prosím</w:t>
            </w:r>
            <w:proofErr w:type="spellEnd"/>
            <w:proofErr w:type="gramEnd"/>
            <w:r w:rsidRPr="00E61407">
              <w:rPr>
                <w:rFonts w:ascii="Calibri" w:hAnsi="Calibri" w:cs="Arial"/>
                <w:sz w:val="22"/>
                <w:szCs w:val="22"/>
              </w:rPr>
              <w:t>, sestavení Rozpočtu pozornost. Dle něj pak bude požadováno Vyúčtování, a to na položky uvedené ve sloupci 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51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i/>
                <w:iCs/>
                <w:color w:val="FF0000"/>
              </w:rPr>
            </w:pPr>
            <w:r w:rsidRPr="00E61407">
              <w:rPr>
                <w:rFonts w:ascii="Calibri" w:hAnsi="Calibri" w:cs="Arial"/>
                <w:b/>
                <w:bCs/>
                <w:i/>
                <w:iCs/>
                <w:color w:val="FF0000"/>
              </w:rPr>
              <w:t>U čísel vyplňujte pouze oranžová pole, ostatní se dopočítá automaticky!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750"/>
        </w:trPr>
        <w:tc>
          <w:tcPr>
            <w:tcW w:w="5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rok 2017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Požadovaná dotace ze statutárního města Pardubice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135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6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1. Provozní náklady 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55 000,00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55 000,00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1.1 Materiálové náklady 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55 000,00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55 000,00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100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        1.1.1 pořízení materiálu a </w:t>
            </w:r>
            <w:proofErr w:type="spellStart"/>
            <w:r w:rsidRPr="00E61407">
              <w:rPr>
                <w:rFonts w:ascii="Calibri" w:hAnsi="Calibri" w:cs="Arial"/>
                <w:sz w:val="22"/>
                <w:szCs w:val="22"/>
              </w:rPr>
              <w:t>tech</w:t>
            </w:r>
            <w:proofErr w:type="spellEnd"/>
            <w:r w:rsidRPr="00E61407">
              <w:rPr>
                <w:rFonts w:ascii="Calibri" w:hAnsi="Calibri" w:cs="Arial"/>
                <w:sz w:val="22"/>
                <w:szCs w:val="22"/>
              </w:rPr>
              <w:t>. zabezpečení na pořádané sportovní a kulturní akce - vypište slovně: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61407">
              <w:rPr>
                <w:rFonts w:ascii="Calibri" w:hAnsi="Calibri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61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      1.1.2 vybavení DDHM [1] do 40 000 Kč vypište slovně: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54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1.2 Nemateriálové náklady celkem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     1.2.1 školení, semináře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555"/>
        </w:trPr>
        <w:tc>
          <w:tcPr>
            <w:tcW w:w="5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     1.2.2 opravy a udržování: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58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 1.2.3 pořízení DDNM [2] do 60 000 Kč vypište slovně: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Požární hadice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20 000,00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20 000,00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Rozdělovač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7 500,00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7 500,00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Hydrantový nástavec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8 800,00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8 800,00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9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Proudnice C52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6 000,00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6 000,00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3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 xml:space="preserve">Proudnice C52 pěnotvorná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9 000,00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9 000,00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E61407">
              <w:rPr>
                <w:rFonts w:ascii="Calibri" w:hAnsi="Calibri" w:cs="Arial"/>
                <w:sz w:val="22"/>
                <w:szCs w:val="22"/>
              </w:rPr>
              <w:t>Přiměšovací</w:t>
            </w:r>
            <w:proofErr w:type="spellEnd"/>
            <w:r w:rsidRPr="00E61407">
              <w:rPr>
                <w:rFonts w:ascii="Calibri" w:hAnsi="Calibri" w:cs="Arial"/>
                <w:sz w:val="22"/>
                <w:szCs w:val="22"/>
              </w:rPr>
              <w:t xml:space="preserve"> tubus Mix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3 700,00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3 700,00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1.2.4 jiné provozní náklady - vypište slovně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00"/>
        </w:trPr>
        <w:tc>
          <w:tcPr>
            <w:tcW w:w="5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1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CELKOVÉ NÁKLADY NA REALIZACI PROJEKTU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55 000,00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61407">
              <w:rPr>
                <w:rFonts w:ascii="Calibri" w:hAnsi="Calibri" w:cs="Arial"/>
                <w:b/>
                <w:bCs/>
                <w:sz w:val="22"/>
                <w:szCs w:val="22"/>
              </w:rPr>
              <w:t>55 000,00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[1] DDHM - drobný dlouhodobý hmotný majetek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61407" w:rsidRPr="00E61407" w:rsidTr="00E61407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  <w:r w:rsidRPr="00E61407">
              <w:rPr>
                <w:rFonts w:ascii="Calibri" w:hAnsi="Calibri" w:cs="Arial"/>
                <w:sz w:val="22"/>
                <w:szCs w:val="22"/>
              </w:rPr>
              <w:t>[2] DDNM - drobný nehmotný majetek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407" w:rsidRPr="00E61407" w:rsidRDefault="00E61407" w:rsidP="00E6140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775EB1" w:rsidRDefault="00775EB1" w:rsidP="00D64D3F">
      <w:pPr>
        <w:rPr>
          <w:rFonts w:asciiTheme="minorHAnsi" w:hAnsiTheme="minorHAnsi"/>
          <w:sz w:val="20"/>
          <w:szCs w:val="20"/>
        </w:rPr>
      </w:pPr>
    </w:p>
    <w:sectPr w:rsidR="00775EB1" w:rsidSect="00BC41E3">
      <w:footerReference w:type="even" r:id="rId10"/>
      <w:footerReference w:type="default" r:id="rId11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BF" w:rsidRDefault="00B67BBF">
      <w:r>
        <w:separator/>
      </w:r>
    </w:p>
  </w:endnote>
  <w:endnote w:type="continuationSeparator" w:id="0">
    <w:p w:rsidR="00B67BBF" w:rsidRDefault="00B6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3802F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3802F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BF" w:rsidRDefault="00B67BBF">
      <w:r>
        <w:separator/>
      </w:r>
    </w:p>
  </w:footnote>
  <w:footnote w:type="continuationSeparator" w:id="0">
    <w:p w:rsidR="00B67BBF" w:rsidRDefault="00B6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0E59E6"/>
    <w:rsid w:val="001001C1"/>
    <w:rsid w:val="00113C3D"/>
    <w:rsid w:val="00126D25"/>
    <w:rsid w:val="00156F3F"/>
    <w:rsid w:val="00161C77"/>
    <w:rsid w:val="00164740"/>
    <w:rsid w:val="00177B9D"/>
    <w:rsid w:val="00196C43"/>
    <w:rsid w:val="001A6EFB"/>
    <w:rsid w:val="001A7479"/>
    <w:rsid w:val="001B1447"/>
    <w:rsid w:val="001C42DC"/>
    <w:rsid w:val="001C4966"/>
    <w:rsid w:val="001D7D92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125DD"/>
    <w:rsid w:val="00320D94"/>
    <w:rsid w:val="00322DD6"/>
    <w:rsid w:val="00335278"/>
    <w:rsid w:val="00346869"/>
    <w:rsid w:val="00347987"/>
    <w:rsid w:val="003802F8"/>
    <w:rsid w:val="003B5C4F"/>
    <w:rsid w:val="003E591D"/>
    <w:rsid w:val="003F7AC8"/>
    <w:rsid w:val="00401B23"/>
    <w:rsid w:val="00420D16"/>
    <w:rsid w:val="0046676C"/>
    <w:rsid w:val="00484E8E"/>
    <w:rsid w:val="004B190A"/>
    <w:rsid w:val="004C2811"/>
    <w:rsid w:val="005501FD"/>
    <w:rsid w:val="005629B3"/>
    <w:rsid w:val="00571C32"/>
    <w:rsid w:val="005A0A3E"/>
    <w:rsid w:val="005A0E57"/>
    <w:rsid w:val="005F7BF3"/>
    <w:rsid w:val="006021C0"/>
    <w:rsid w:val="00604D57"/>
    <w:rsid w:val="00621543"/>
    <w:rsid w:val="00624AB9"/>
    <w:rsid w:val="00651F35"/>
    <w:rsid w:val="00662BD3"/>
    <w:rsid w:val="00696A0E"/>
    <w:rsid w:val="006B1844"/>
    <w:rsid w:val="006D3843"/>
    <w:rsid w:val="006D5456"/>
    <w:rsid w:val="00701867"/>
    <w:rsid w:val="007109EF"/>
    <w:rsid w:val="00714C9F"/>
    <w:rsid w:val="00721B64"/>
    <w:rsid w:val="00724CAC"/>
    <w:rsid w:val="00772A39"/>
    <w:rsid w:val="00775EB1"/>
    <w:rsid w:val="007A01F4"/>
    <w:rsid w:val="007A112D"/>
    <w:rsid w:val="007B70EC"/>
    <w:rsid w:val="007C648F"/>
    <w:rsid w:val="007D7A80"/>
    <w:rsid w:val="007F765A"/>
    <w:rsid w:val="008149BC"/>
    <w:rsid w:val="0083233D"/>
    <w:rsid w:val="00844BB2"/>
    <w:rsid w:val="00850A37"/>
    <w:rsid w:val="0085644D"/>
    <w:rsid w:val="00861368"/>
    <w:rsid w:val="00877910"/>
    <w:rsid w:val="008B131C"/>
    <w:rsid w:val="008B3F83"/>
    <w:rsid w:val="008C22A2"/>
    <w:rsid w:val="008D53F1"/>
    <w:rsid w:val="008D796A"/>
    <w:rsid w:val="008D7FF1"/>
    <w:rsid w:val="008E7E19"/>
    <w:rsid w:val="00910478"/>
    <w:rsid w:val="00920272"/>
    <w:rsid w:val="00932B78"/>
    <w:rsid w:val="00940941"/>
    <w:rsid w:val="00947F9C"/>
    <w:rsid w:val="00980E62"/>
    <w:rsid w:val="009810E7"/>
    <w:rsid w:val="00985DDF"/>
    <w:rsid w:val="009A5052"/>
    <w:rsid w:val="009B6935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AF6AEB"/>
    <w:rsid w:val="00B075D7"/>
    <w:rsid w:val="00B426A5"/>
    <w:rsid w:val="00B46E3A"/>
    <w:rsid w:val="00B67BBF"/>
    <w:rsid w:val="00B7536D"/>
    <w:rsid w:val="00B9295E"/>
    <w:rsid w:val="00B92DD8"/>
    <w:rsid w:val="00BB297F"/>
    <w:rsid w:val="00BC20D4"/>
    <w:rsid w:val="00BC41E3"/>
    <w:rsid w:val="00BC5983"/>
    <w:rsid w:val="00C16208"/>
    <w:rsid w:val="00C27F1F"/>
    <w:rsid w:val="00C8227D"/>
    <w:rsid w:val="00C8265D"/>
    <w:rsid w:val="00CD34B4"/>
    <w:rsid w:val="00CE66BD"/>
    <w:rsid w:val="00CF2BB9"/>
    <w:rsid w:val="00D31897"/>
    <w:rsid w:val="00D330DD"/>
    <w:rsid w:val="00D33593"/>
    <w:rsid w:val="00D37FCA"/>
    <w:rsid w:val="00D46FC5"/>
    <w:rsid w:val="00D5347D"/>
    <w:rsid w:val="00D64D3F"/>
    <w:rsid w:val="00D67640"/>
    <w:rsid w:val="00D76457"/>
    <w:rsid w:val="00DA3B85"/>
    <w:rsid w:val="00DB16DF"/>
    <w:rsid w:val="00DD5DF0"/>
    <w:rsid w:val="00DE74F5"/>
    <w:rsid w:val="00DF458C"/>
    <w:rsid w:val="00E10816"/>
    <w:rsid w:val="00E21A6E"/>
    <w:rsid w:val="00E61407"/>
    <w:rsid w:val="00E66F2A"/>
    <w:rsid w:val="00E77A44"/>
    <w:rsid w:val="00E85EBF"/>
    <w:rsid w:val="00EB5E74"/>
    <w:rsid w:val="00EC510D"/>
    <w:rsid w:val="00ED2D4B"/>
    <w:rsid w:val="00EE1818"/>
    <w:rsid w:val="00EF4BE6"/>
    <w:rsid w:val="00F53D8A"/>
    <w:rsid w:val="00F5783E"/>
    <w:rsid w:val="00F63730"/>
    <w:rsid w:val="00F874AD"/>
    <w:rsid w:val="00FA1473"/>
    <w:rsid w:val="00FA2CBA"/>
    <w:rsid w:val="00FA5B72"/>
    <w:rsid w:val="00FB151F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62D3-97CB-44F1-8026-62D565D9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2272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Víznerová Daniela</cp:lastModifiedBy>
  <cp:revision>48</cp:revision>
  <cp:lastPrinted>2017-04-19T06:15:00Z</cp:lastPrinted>
  <dcterms:created xsi:type="dcterms:W3CDTF">2017-03-16T06:04:00Z</dcterms:created>
  <dcterms:modified xsi:type="dcterms:W3CDTF">2017-05-26T06:57:00Z</dcterms:modified>
</cp:coreProperties>
</file>