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E0" w:rsidRPr="00E44BE0" w:rsidRDefault="00F92AF1" w:rsidP="00E44BE0">
      <w:pPr>
        <w:pStyle w:val="Nadpis2"/>
        <w:jc w:val="center"/>
        <w:rPr>
          <w:sz w:val="28"/>
        </w:rPr>
      </w:pPr>
      <w:r>
        <w:rPr>
          <w:sz w:val="28"/>
        </w:rPr>
        <w:t>Kupní smlouva</w:t>
      </w:r>
      <w:r w:rsidR="00873E61">
        <w:rPr>
          <w:sz w:val="28"/>
        </w:rPr>
        <w:t xml:space="preserve"> </w:t>
      </w:r>
      <w:r w:rsidR="00424EB4">
        <w:rPr>
          <w:sz w:val="28"/>
        </w:rPr>
        <w:t>SM/</w:t>
      </w:r>
      <w:r w:rsidR="007F5DD9">
        <w:rPr>
          <w:sz w:val="28"/>
        </w:rPr>
        <w:t>0575</w:t>
      </w:r>
      <w:r w:rsidR="00424EB4">
        <w:rPr>
          <w:sz w:val="28"/>
        </w:rPr>
        <w:t>/2017</w:t>
      </w:r>
    </w:p>
    <w:p w:rsidR="00E44BE0" w:rsidRPr="00E44BE0" w:rsidRDefault="00E44BE0" w:rsidP="00E44BE0"/>
    <w:p w:rsidR="00873E61" w:rsidRDefault="00873E61" w:rsidP="00873E61">
      <w:pPr>
        <w:jc w:val="center"/>
      </w:pPr>
      <w:r>
        <w:t>Uzavřená dle</w:t>
      </w:r>
      <w:r w:rsidR="004128D4">
        <w:t xml:space="preserve"> </w:t>
      </w:r>
      <w:r w:rsidR="00E44BE0">
        <w:rPr>
          <w:szCs w:val="20"/>
        </w:rPr>
        <w:t>ustanovení § 2079</w:t>
      </w:r>
      <w:r w:rsidR="004128D4" w:rsidRPr="00B55328">
        <w:rPr>
          <w:szCs w:val="20"/>
        </w:rPr>
        <w:t xml:space="preserve"> a násl.,</w:t>
      </w:r>
      <w:r w:rsidR="004128D4">
        <w:rPr>
          <w:szCs w:val="20"/>
        </w:rPr>
        <w:t xml:space="preserve"> </w:t>
      </w:r>
      <w:r w:rsidR="004128D4" w:rsidRPr="00B55328">
        <w:rPr>
          <w:szCs w:val="20"/>
        </w:rPr>
        <w:t xml:space="preserve">zákona č. 89/2012 Sb., </w:t>
      </w:r>
      <w:r w:rsidR="004128D4">
        <w:rPr>
          <w:szCs w:val="20"/>
        </w:rPr>
        <w:br/>
      </w:r>
      <w:r w:rsidR="004128D4" w:rsidRPr="00B55328">
        <w:rPr>
          <w:szCs w:val="20"/>
        </w:rPr>
        <w:t>Občanský zákoník, v platném znění</w:t>
      </w:r>
      <w:r w:rsidR="004128D4">
        <w:rPr>
          <w:szCs w:val="20"/>
        </w:rPr>
        <w:t xml:space="preserve"> </w:t>
      </w:r>
      <w:r>
        <w:t>mezi:</w:t>
      </w:r>
    </w:p>
    <w:p w:rsidR="00873E61" w:rsidRDefault="00873E61" w:rsidP="00424EB4"/>
    <w:p w:rsidR="00873E61" w:rsidRDefault="00873E61" w:rsidP="00424EB4"/>
    <w:p w:rsidR="00873E61" w:rsidRDefault="00873E61" w:rsidP="00873E61">
      <w:pPr>
        <w:numPr>
          <w:ilvl w:val="0"/>
          <w:numId w:val="1"/>
        </w:numPr>
      </w:pPr>
      <w:r>
        <w:rPr>
          <w:rStyle w:val="tsubjname"/>
        </w:rPr>
        <w:t>Moderní škola s.</w:t>
      </w:r>
      <w:r w:rsidR="00ED56D2">
        <w:rPr>
          <w:rStyle w:val="tsubjname"/>
        </w:rPr>
        <w:t xml:space="preserve"> </w:t>
      </w:r>
      <w:r>
        <w:rPr>
          <w:rStyle w:val="tsubjname"/>
        </w:rPr>
        <w:t>r.</w:t>
      </w:r>
      <w:r w:rsidR="00ED56D2">
        <w:rPr>
          <w:rStyle w:val="tsubjname"/>
        </w:rPr>
        <w:t xml:space="preserve"> </w:t>
      </w:r>
      <w:r>
        <w:rPr>
          <w:rStyle w:val="tsubjname"/>
        </w:rPr>
        <w:t>o.</w:t>
      </w:r>
    </w:p>
    <w:p w:rsidR="00873E61" w:rsidRDefault="00873E61" w:rsidP="00873E61">
      <w:pPr>
        <w:ind w:firstLine="360"/>
      </w:pPr>
      <w:r>
        <w:t xml:space="preserve">se sídlem podnikání: </w:t>
      </w:r>
      <w:r w:rsidR="00782449">
        <w:t>K Rybníčkům 332, 747 81 Otice</w:t>
      </w:r>
    </w:p>
    <w:p w:rsidR="00873E61" w:rsidRDefault="00873E61" w:rsidP="00873E61">
      <w:pPr>
        <w:ind w:firstLine="360"/>
      </w:pPr>
      <w:r>
        <w:t xml:space="preserve">zastoupená: </w:t>
      </w:r>
      <w:bookmarkStart w:id="0" w:name="OLE_LINK3"/>
      <w:bookmarkStart w:id="1" w:name="OLE_LINK4"/>
      <w:r w:rsidR="00877DF5">
        <w:t>Jarmilou Branichovou - jednatelem</w:t>
      </w:r>
      <w:bookmarkEnd w:id="0"/>
      <w:bookmarkEnd w:id="1"/>
    </w:p>
    <w:p w:rsidR="00873E61" w:rsidRDefault="00873E61" w:rsidP="00873E61">
      <w:pPr>
        <w:ind w:firstLine="360"/>
      </w:pPr>
      <w:r>
        <w:t>IČO: 28607376</w:t>
      </w:r>
    </w:p>
    <w:p w:rsidR="00873E61" w:rsidRDefault="00873E61" w:rsidP="00873E61">
      <w:pPr>
        <w:ind w:firstLine="360"/>
      </w:pPr>
      <w:r>
        <w:t>DIČ: CZ28607376</w:t>
      </w:r>
    </w:p>
    <w:p w:rsidR="00D005CD" w:rsidRDefault="00873E61" w:rsidP="00873E61">
      <w:pPr>
        <w:ind w:firstLine="360"/>
        <w:rPr>
          <w:rFonts w:cs="Arial"/>
          <w:color w:val="656565"/>
          <w:szCs w:val="20"/>
        </w:rPr>
      </w:pPr>
      <w:r>
        <w:t>Bankovní spojení:</w:t>
      </w:r>
    </w:p>
    <w:p w:rsidR="00873E61" w:rsidRDefault="00873E61" w:rsidP="00873E61">
      <w:pPr>
        <w:ind w:firstLine="360"/>
        <w:rPr>
          <w:i/>
          <w:iCs/>
        </w:rPr>
      </w:pPr>
      <w:r>
        <w:rPr>
          <w:i/>
          <w:iCs/>
        </w:rPr>
        <w:t>- dále jen zhotovitel na straně jedné</w:t>
      </w:r>
    </w:p>
    <w:p w:rsidR="00873E61" w:rsidRDefault="00873E61" w:rsidP="00873E61"/>
    <w:p w:rsidR="00873E61" w:rsidRDefault="00873E61" w:rsidP="00873E61"/>
    <w:p w:rsidR="00873E61" w:rsidRDefault="00873E61" w:rsidP="00873E61">
      <w:pPr>
        <w:tabs>
          <w:tab w:val="left" w:pos="1418"/>
        </w:tabs>
      </w:pPr>
    </w:p>
    <w:p w:rsidR="00873E61" w:rsidRDefault="00877DF5" w:rsidP="00873E61">
      <w:pPr>
        <w:numPr>
          <w:ilvl w:val="0"/>
          <w:numId w:val="1"/>
        </w:numPr>
      </w:pPr>
      <w:r>
        <w:t>Město Jindřichův Hradec</w:t>
      </w:r>
    </w:p>
    <w:p w:rsidR="00873E61" w:rsidRDefault="00424EB4" w:rsidP="00424EB4">
      <w:pPr>
        <w:ind w:firstLine="360"/>
      </w:pPr>
      <w:r>
        <w:t>sídl</w:t>
      </w:r>
      <w:r w:rsidR="00873E61">
        <w:t xml:space="preserve">o: </w:t>
      </w:r>
      <w:r w:rsidR="00877DF5">
        <w:t>Klášterská 135/II, 377 22 Jindřichův Hradec</w:t>
      </w:r>
    </w:p>
    <w:p w:rsidR="00873E61" w:rsidRDefault="00873E61" w:rsidP="00873E61">
      <w:pPr>
        <w:ind w:firstLine="360"/>
      </w:pPr>
      <w:r>
        <w:t xml:space="preserve">zastoupená:  </w:t>
      </w:r>
      <w:r w:rsidR="00877DF5">
        <w:t>Ing. Stanislavem Mrvkou - starostou</w:t>
      </w:r>
    </w:p>
    <w:p w:rsidR="00873E61" w:rsidRDefault="00873E61" w:rsidP="00873E61">
      <w:pPr>
        <w:ind w:firstLine="360"/>
      </w:pPr>
      <w:r>
        <w:t xml:space="preserve">IČO: </w:t>
      </w:r>
      <w:r w:rsidR="00877DF5">
        <w:t>00246875</w:t>
      </w:r>
    </w:p>
    <w:p w:rsidR="00873E61" w:rsidRDefault="00877DF5" w:rsidP="00873E61">
      <w:pPr>
        <w:ind w:firstLine="360"/>
      </w:pPr>
      <w:r>
        <w:t>DIČ: CZ00246875</w:t>
      </w:r>
    </w:p>
    <w:p w:rsidR="00873E61" w:rsidRDefault="00873E61" w:rsidP="00873E61">
      <w:pPr>
        <w:ind w:firstLine="360"/>
      </w:pPr>
      <w:r>
        <w:t xml:space="preserve">Bankovní spojení: </w:t>
      </w:r>
      <w:r w:rsidR="00ED56D2" w:rsidRPr="00ED56D2">
        <w:rPr>
          <w:szCs w:val="20"/>
        </w:rPr>
        <w:t xml:space="preserve">Česká spořitelna a.s., </w:t>
      </w:r>
      <w:proofErr w:type="spellStart"/>
      <w:proofErr w:type="gramStart"/>
      <w:r w:rsidR="00ED56D2" w:rsidRPr="00ED56D2">
        <w:rPr>
          <w:szCs w:val="20"/>
        </w:rPr>
        <w:t>č.ú</w:t>
      </w:r>
      <w:proofErr w:type="spellEnd"/>
      <w:r w:rsidR="00ED56D2" w:rsidRPr="00ED56D2">
        <w:rPr>
          <w:szCs w:val="20"/>
        </w:rPr>
        <w:t>.: 27</w:t>
      </w:r>
      <w:proofErr w:type="gramEnd"/>
      <w:r w:rsidR="00ED56D2" w:rsidRPr="00ED56D2">
        <w:rPr>
          <w:szCs w:val="20"/>
        </w:rPr>
        <w:t>-0603140379/0800</w:t>
      </w:r>
    </w:p>
    <w:p w:rsidR="00873E61" w:rsidRDefault="00873E61" w:rsidP="00873E61">
      <w:pPr>
        <w:ind w:firstLine="360"/>
        <w:rPr>
          <w:i/>
          <w:iCs/>
        </w:rPr>
      </w:pPr>
      <w:r>
        <w:rPr>
          <w:i/>
          <w:iCs/>
        </w:rPr>
        <w:t>- dále jen objednatel na straně druhé</w:t>
      </w:r>
    </w:p>
    <w:p w:rsidR="00873E61" w:rsidRDefault="00873E61" w:rsidP="00424EB4">
      <w:pPr>
        <w:widowControl w:val="0"/>
        <w:rPr>
          <w:b/>
          <w:sz w:val="24"/>
        </w:rPr>
      </w:pPr>
    </w:p>
    <w:p w:rsidR="00873E61" w:rsidRDefault="00873E61" w:rsidP="00424EB4">
      <w:pPr>
        <w:widowControl w:val="0"/>
        <w:rPr>
          <w:b/>
          <w:sz w:val="24"/>
        </w:rPr>
      </w:pPr>
    </w:p>
    <w:p w:rsidR="00873E61" w:rsidRDefault="00873E61" w:rsidP="00873E61">
      <w:pPr>
        <w:pStyle w:val="Nadpis2"/>
        <w:jc w:val="center"/>
      </w:pPr>
      <w:r>
        <w:t>I. Předmět smlouvy</w:t>
      </w:r>
    </w:p>
    <w:p w:rsidR="00873E61" w:rsidRDefault="00873E61" w:rsidP="00873E61">
      <w:pPr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Za podmínek v této smlouvě obsažených se zavazuje zhotovitel uskutečnit dopravu, dodávku a montáž </w:t>
      </w:r>
      <w:r w:rsidR="00877DF5">
        <w:rPr>
          <w:rFonts w:cs="Arial"/>
          <w:snapToGrid w:val="0"/>
          <w:szCs w:val="20"/>
        </w:rPr>
        <w:t xml:space="preserve">školního nábytku </w:t>
      </w:r>
      <w:r>
        <w:rPr>
          <w:rFonts w:cs="Arial"/>
          <w:snapToGrid w:val="0"/>
          <w:szCs w:val="20"/>
        </w:rPr>
        <w:t xml:space="preserve">dle </w:t>
      </w:r>
      <w:r w:rsidR="00877DF5">
        <w:rPr>
          <w:rFonts w:cs="Arial"/>
          <w:snapToGrid w:val="0"/>
          <w:szCs w:val="20"/>
        </w:rPr>
        <w:t>specifikace uvedené ve výzvě k </w:t>
      </w:r>
      <w:r w:rsidR="000E3BF0">
        <w:rPr>
          <w:rFonts w:cs="Arial"/>
          <w:snapToGrid w:val="0"/>
          <w:szCs w:val="20"/>
        </w:rPr>
        <w:t xml:space="preserve"> </w:t>
      </w:r>
      <w:r w:rsidR="00877DF5">
        <w:rPr>
          <w:rFonts w:cs="Arial"/>
          <w:snapToGrid w:val="0"/>
          <w:szCs w:val="20"/>
        </w:rPr>
        <w:t>podání nabídky. Cenová</w:t>
      </w:r>
      <w:r w:rsidR="000E3BF0">
        <w:rPr>
          <w:rFonts w:cs="Arial"/>
          <w:snapToGrid w:val="0"/>
          <w:szCs w:val="20"/>
        </w:rPr>
        <w:t xml:space="preserve"> </w:t>
      </w:r>
      <w:r w:rsidR="00877DF5">
        <w:rPr>
          <w:rFonts w:cs="Arial"/>
          <w:snapToGrid w:val="0"/>
          <w:szCs w:val="20"/>
        </w:rPr>
        <w:t>nabídka</w:t>
      </w:r>
      <w:r w:rsidR="00424EB4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č.</w:t>
      </w:r>
      <w:r w:rsidR="000E3BF0">
        <w:rPr>
          <w:rFonts w:cs="Arial"/>
          <w:snapToGrid w:val="0"/>
          <w:szCs w:val="20"/>
        </w:rPr>
        <w:t xml:space="preserve"> </w:t>
      </w:r>
      <w:r w:rsidR="00877DF5">
        <w:rPr>
          <w:rFonts w:cs="Arial"/>
          <w:snapToGrid w:val="0"/>
          <w:szCs w:val="20"/>
        </w:rPr>
        <w:t>2017100</w:t>
      </w:r>
      <w:r>
        <w:rPr>
          <w:rFonts w:cs="Arial"/>
          <w:snapToGrid w:val="0"/>
          <w:szCs w:val="20"/>
        </w:rPr>
        <w:t xml:space="preserve"> </w:t>
      </w:r>
      <w:r w:rsidR="00877DF5">
        <w:rPr>
          <w:rFonts w:cs="Arial"/>
          <w:snapToGrid w:val="0"/>
          <w:szCs w:val="20"/>
        </w:rPr>
        <w:t>je nedílnou součástí této smlouvy.</w:t>
      </w:r>
    </w:p>
    <w:p w:rsidR="00873E61" w:rsidRDefault="00873E61" w:rsidP="00873E61">
      <w:pPr>
        <w:pStyle w:val="Zkladntext"/>
        <w:rPr>
          <w:rFonts w:cs="Arial"/>
          <w:szCs w:val="20"/>
        </w:rPr>
      </w:pPr>
      <w:r>
        <w:rPr>
          <w:rFonts w:cs="Arial"/>
          <w:szCs w:val="20"/>
        </w:rPr>
        <w:t xml:space="preserve">Objednatel </w:t>
      </w:r>
      <w:proofErr w:type="gramStart"/>
      <w:r>
        <w:rPr>
          <w:rFonts w:cs="Arial"/>
          <w:szCs w:val="20"/>
        </w:rPr>
        <w:t>se</w:t>
      </w:r>
      <w:proofErr w:type="gramEnd"/>
      <w:r>
        <w:rPr>
          <w:rFonts w:cs="Arial"/>
          <w:szCs w:val="20"/>
        </w:rPr>
        <w:t xml:space="preserve"> zavazuje </w:t>
      </w:r>
      <w:proofErr w:type="gramStart"/>
      <w:r w:rsidR="00F92AF1">
        <w:rPr>
          <w:rFonts w:cs="Arial"/>
          <w:szCs w:val="20"/>
        </w:rPr>
        <w:t>zakázku</w:t>
      </w:r>
      <w:proofErr w:type="gramEnd"/>
      <w:r>
        <w:rPr>
          <w:rFonts w:cs="Arial"/>
          <w:szCs w:val="20"/>
        </w:rPr>
        <w:t>, kter</w:t>
      </w:r>
      <w:r w:rsidR="008C4D36">
        <w:rPr>
          <w:rFonts w:cs="Arial"/>
          <w:szCs w:val="20"/>
        </w:rPr>
        <w:t>á</w:t>
      </w:r>
      <w:r>
        <w:rPr>
          <w:rFonts w:cs="Arial"/>
          <w:szCs w:val="20"/>
        </w:rPr>
        <w:t xml:space="preserve"> je předmětem této smlouvy</w:t>
      </w:r>
      <w:r w:rsidR="008C4D3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převzít a zaplatit dohodnutou cenu díla.</w:t>
      </w:r>
    </w:p>
    <w:p w:rsidR="00873E61" w:rsidRDefault="00873E61" w:rsidP="000E3BF0">
      <w:pPr>
        <w:widowControl w:val="0"/>
        <w:rPr>
          <w:b/>
          <w:sz w:val="24"/>
        </w:rPr>
      </w:pPr>
    </w:p>
    <w:p w:rsidR="00873E61" w:rsidRDefault="00873E61" w:rsidP="00873E61">
      <w:pPr>
        <w:pStyle w:val="Nadpis2"/>
        <w:jc w:val="center"/>
      </w:pPr>
      <w:r>
        <w:t>II. Termín a způsob dodávky</w:t>
      </w:r>
    </w:p>
    <w:p w:rsidR="00873E61" w:rsidRDefault="00873E61" w:rsidP="000E3BF0">
      <w:pPr>
        <w:pStyle w:val="Zkladntext"/>
        <w:rPr>
          <w:rFonts w:cs="Arial"/>
        </w:rPr>
      </w:pPr>
      <w:r>
        <w:rPr>
          <w:rFonts w:cs="Arial"/>
          <w:szCs w:val="20"/>
        </w:rPr>
        <w:t>Zhotovitel se tímto</w:t>
      </w:r>
      <w:r w:rsidR="000E3BF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zavazuje</w:t>
      </w:r>
      <w:r w:rsidR="000E3BF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ke splnění předmě</w:t>
      </w:r>
      <w:r w:rsidR="000E3BF0">
        <w:rPr>
          <w:rFonts w:cs="Arial"/>
          <w:szCs w:val="20"/>
        </w:rPr>
        <w:t xml:space="preserve">tné veřejné zakázky v období od 3. července </w:t>
      </w:r>
      <w:r w:rsidR="008C4D36">
        <w:rPr>
          <w:rFonts w:cs="Arial"/>
          <w:szCs w:val="20"/>
        </w:rPr>
        <w:t>do</w:t>
      </w:r>
      <w:r w:rsidR="000E3BF0">
        <w:rPr>
          <w:rFonts w:cs="Arial"/>
          <w:szCs w:val="20"/>
        </w:rPr>
        <w:t xml:space="preserve"> 21. července 2017.</w:t>
      </w:r>
    </w:p>
    <w:p w:rsidR="00873E61" w:rsidRDefault="00873E61" w:rsidP="00873E61">
      <w:pPr>
        <w:pStyle w:val="Zkladntextodsazen"/>
        <w:ind w:left="0" w:firstLine="0"/>
        <w:jc w:val="left"/>
        <w:rPr>
          <w:rFonts w:ascii="Arial" w:hAnsi="Arial" w:cs="Arial"/>
        </w:rPr>
      </w:pPr>
    </w:p>
    <w:p w:rsidR="00873E61" w:rsidRDefault="00873E61" w:rsidP="00873E61">
      <w:pPr>
        <w:pStyle w:val="Zkladntextodsazen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 předání </w:t>
      </w:r>
      <w:r w:rsidR="00F92AF1">
        <w:rPr>
          <w:rFonts w:ascii="Arial" w:hAnsi="Arial" w:cs="Arial"/>
        </w:rPr>
        <w:t>předmětu zakázky</w:t>
      </w:r>
      <w:r w:rsidR="000E3BF0">
        <w:rPr>
          <w:rFonts w:ascii="Arial" w:hAnsi="Arial" w:cs="Arial"/>
        </w:rPr>
        <w:t xml:space="preserve"> se sepíše předávací protokol. </w:t>
      </w:r>
      <w:r w:rsidR="00C67DD8">
        <w:rPr>
          <w:rFonts w:ascii="Arial" w:hAnsi="Arial" w:cs="Arial"/>
        </w:rPr>
        <w:t xml:space="preserve">Případné vady zjištěné při </w:t>
      </w:r>
      <w:r>
        <w:rPr>
          <w:rFonts w:ascii="Arial" w:hAnsi="Arial" w:cs="Arial"/>
        </w:rPr>
        <w:t xml:space="preserve">předávání </w:t>
      </w:r>
      <w:r w:rsidR="00F92AF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musí bý</w:t>
      </w:r>
      <w:r w:rsidR="00424EB4">
        <w:rPr>
          <w:rFonts w:ascii="Arial" w:hAnsi="Arial" w:cs="Arial"/>
        </w:rPr>
        <w:t>t v protokolu výslovně uvedeny.</w:t>
      </w:r>
    </w:p>
    <w:p w:rsidR="00EF6775" w:rsidRDefault="00EF6775"/>
    <w:p w:rsidR="00873E61" w:rsidRPr="00873E61" w:rsidRDefault="00873E61" w:rsidP="000E3BF0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t>III. Cena díla</w:t>
      </w:r>
    </w:p>
    <w:p w:rsidR="00873E61" w:rsidRPr="00873E61" w:rsidRDefault="00873E61" w:rsidP="00873E61">
      <w:pPr>
        <w:jc w:val="center"/>
      </w:pPr>
      <w:r w:rsidRPr="00873E61">
        <w:t>Cena je stanovena dle z.č. 526/90 Sb. jako smluvní ve výši</w:t>
      </w:r>
    </w:p>
    <w:p w:rsidR="00873E61" w:rsidRPr="00873E61" w:rsidRDefault="00AB22C0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91.060,-- Kč bez DPH       19.123,-- Kč DPH       110.183</w:t>
      </w:r>
      <w:r w:rsidR="00873E61" w:rsidRPr="00873E61">
        <w:rPr>
          <w:rFonts w:cs="Arial"/>
          <w:b/>
          <w:bCs/>
          <w:iCs/>
          <w:szCs w:val="28"/>
        </w:rPr>
        <w:t>,-</w:t>
      </w:r>
      <w:r>
        <w:rPr>
          <w:rFonts w:cs="Arial"/>
          <w:b/>
          <w:bCs/>
          <w:iCs/>
          <w:szCs w:val="28"/>
        </w:rPr>
        <w:t>-</w:t>
      </w:r>
      <w:r w:rsidR="00873E61" w:rsidRPr="00873E61">
        <w:rPr>
          <w:rFonts w:cs="Arial"/>
          <w:b/>
          <w:bCs/>
          <w:iCs/>
          <w:szCs w:val="28"/>
        </w:rPr>
        <w:t xml:space="preserve"> Kč vč. DPH </w:t>
      </w:r>
    </w:p>
    <w:p w:rsidR="00873E61" w:rsidRPr="00873E61" w:rsidRDefault="00873E61" w:rsidP="00873E61">
      <w:pPr>
        <w:jc w:val="center"/>
      </w:pPr>
      <w:r w:rsidRPr="00873E61">
        <w:t xml:space="preserve">slovy: </w:t>
      </w:r>
      <w:r w:rsidR="00AB22C0">
        <w:t xml:space="preserve">stodesettisícstoosmdesáttři </w:t>
      </w:r>
      <w:r w:rsidRPr="00873E61">
        <w:t>korun</w:t>
      </w:r>
      <w:r w:rsidR="00AB22C0">
        <w:t xml:space="preserve"> českých</w:t>
      </w:r>
      <w:bookmarkStart w:id="2" w:name="_GoBack"/>
      <w:bookmarkEnd w:id="2"/>
    </w:p>
    <w:p w:rsidR="00873E61" w:rsidRPr="00873E61" w:rsidRDefault="00873E61" w:rsidP="00424EB4"/>
    <w:p w:rsidR="00873E61" w:rsidRPr="00873E61" w:rsidRDefault="00873E61" w:rsidP="00873E61">
      <w:r w:rsidRPr="00873E61">
        <w:t xml:space="preserve">Výše uvedená celková cena </w:t>
      </w:r>
      <w:r w:rsidR="00F92AF1">
        <w:t>zakázky</w:t>
      </w:r>
      <w:r w:rsidRPr="00873E61">
        <w:t xml:space="preserve"> je cenou pevnou a</w:t>
      </w:r>
      <w:r w:rsidRPr="00873E61">
        <w:rPr>
          <w:effect w:val="antsRed"/>
        </w:rPr>
        <w:t xml:space="preserve"> zahrnuje</w:t>
      </w:r>
      <w:r w:rsidRPr="00873E61">
        <w:t xml:space="preserve"> již náklady za dopravu a montáž výrobků.</w:t>
      </w:r>
    </w:p>
    <w:p w:rsidR="00873E61" w:rsidRPr="00873E61" w:rsidRDefault="00873E61" w:rsidP="00873E61"/>
    <w:p w:rsidR="00873E61" w:rsidRPr="00873E61" w:rsidRDefault="00873E61" w:rsidP="00873E61">
      <w:pPr>
        <w:rPr>
          <w:rFonts w:cs="Arial"/>
          <w:snapToGrid w:val="0"/>
          <w:szCs w:val="20"/>
        </w:rPr>
      </w:pPr>
      <w:r w:rsidRPr="00873E61">
        <w:rPr>
          <w:rFonts w:cs="Arial"/>
          <w:snapToGrid w:val="0"/>
          <w:szCs w:val="20"/>
        </w:rPr>
        <w:t>Nabídkovou cenu lze překročit nebo snížit pouze v případě, že:</w:t>
      </w:r>
    </w:p>
    <w:p w:rsidR="00873E61" w:rsidRPr="00873E61" w:rsidRDefault="00873E61" w:rsidP="00873E61">
      <w:pPr>
        <w:numPr>
          <w:ilvl w:val="0"/>
          <w:numId w:val="3"/>
        </w:numPr>
        <w:jc w:val="left"/>
        <w:rPr>
          <w:rFonts w:cs="Arial"/>
          <w:szCs w:val="20"/>
        </w:rPr>
      </w:pPr>
      <w:r w:rsidRPr="00873E61">
        <w:rPr>
          <w:rFonts w:cs="Arial"/>
          <w:szCs w:val="20"/>
        </w:rPr>
        <w:t xml:space="preserve">Dojde před nebo v průběhu realizace veřejné zakázky ke změnám sazeb DPH nebo ke změnám jiných daňových předpisů majících vliv na cenu </w:t>
      </w:r>
      <w:r w:rsidR="00F92AF1">
        <w:rPr>
          <w:rFonts w:cs="Arial"/>
          <w:szCs w:val="20"/>
        </w:rPr>
        <w:t>zakázky</w:t>
      </w:r>
    </w:p>
    <w:p w:rsidR="00873E61" w:rsidRPr="00873E61" w:rsidRDefault="00873E61" w:rsidP="00873E61">
      <w:pPr>
        <w:numPr>
          <w:ilvl w:val="0"/>
          <w:numId w:val="3"/>
        </w:numPr>
        <w:jc w:val="left"/>
        <w:rPr>
          <w:rFonts w:cs="Arial"/>
          <w:snapToGrid w:val="0"/>
          <w:szCs w:val="20"/>
        </w:rPr>
      </w:pPr>
      <w:r w:rsidRPr="00873E61">
        <w:rPr>
          <w:rFonts w:cs="Arial"/>
          <w:snapToGrid w:val="0"/>
          <w:szCs w:val="20"/>
        </w:rPr>
        <w:t>Objednatel bude písemně požadovat dodání prvků, které nebyly součástí sjednaného předmětu plnění.</w:t>
      </w:r>
    </w:p>
    <w:p w:rsidR="00873E61" w:rsidRPr="00873E61" w:rsidRDefault="00873E61" w:rsidP="00873E61"/>
    <w:p w:rsidR="00873E61" w:rsidRDefault="00873E61" w:rsidP="000E3BF0">
      <w:r w:rsidRPr="00873E61">
        <w:t>Případné vícepráce budou řešeny dodatkem k této smlouvě a cena víceprací bude stanovena po vzájemném schválení skutečných nákladů.</w:t>
      </w:r>
    </w:p>
    <w:p w:rsidR="000E3BF0" w:rsidRPr="000E3BF0" w:rsidRDefault="000E3BF0" w:rsidP="000E3BF0"/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lastRenderedPageBreak/>
        <w:t>IV. Záruční podmínky</w:t>
      </w:r>
    </w:p>
    <w:p w:rsidR="00873E61" w:rsidRPr="00873E61" w:rsidRDefault="00873E61" w:rsidP="00873E61">
      <w:r w:rsidRPr="00873E61">
        <w:t xml:space="preserve">Záruční lhůta na nábytek a mechanické části je 24 měsíců, na pevné kovové části nábytku 10 let. Záruka je platná </w:t>
      </w:r>
      <w:r w:rsidR="000E3BF0">
        <w:t xml:space="preserve">od data dodávky a převzetí díla. </w:t>
      </w:r>
      <w:r w:rsidRPr="00873E61">
        <w:t>Jakákoliv závada zjištěná v průběhu záruční doby, s výjimkou úmyslného a násilného poškození věci uživatelem, bude opravena do 30 pracovních dnů od data nahlášení závady, tzn. od obdržení písemné zprávy zhotovitelem. Pokud však hrozí nebezpečí z prodlení, u poškozené položky, bude závada odstraněna do 10 pracovních dnů, od data nahlášení závady, tzn. od obdržení písemné zprávy zhotovitelem.</w:t>
      </w:r>
    </w:p>
    <w:p w:rsidR="00873E61" w:rsidRPr="00873E61" w:rsidRDefault="00873E61" w:rsidP="00873E61"/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t>V. Platební podmínky</w:t>
      </w:r>
    </w:p>
    <w:p w:rsidR="00873E61" w:rsidRDefault="00873E61" w:rsidP="00873E61">
      <w:r w:rsidRPr="00873E61">
        <w:t xml:space="preserve">Na provedení </w:t>
      </w:r>
      <w:r w:rsidR="00F92AF1">
        <w:t>zakázky</w:t>
      </w:r>
      <w:r w:rsidRPr="00873E61">
        <w:t xml:space="preserve"> zhotovitel </w:t>
      </w:r>
      <w:r w:rsidRPr="00873E61">
        <w:rPr>
          <w:effect w:val="antsRed"/>
        </w:rPr>
        <w:t>nepožaduje zálohu</w:t>
      </w:r>
      <w:r w:rsidRPr="00873E61">
        <w:t xml:space="preserve">. Po řádném předání a převzetí </w:t>
      </w:r>
      <w:r w:rsidR="00F92AF1">
        <w:t>zakázky</w:t>
      </w:r>
      <w:r w:rsidRPr="00873E61">
        <w:t xml:space="preserve"> bude provedena fakturace do výše částky uvedené v bodě </w:t>
      </w:r>
      <w:r w:rsidR="00242CA1">
        <w:t>III</w:t>
      </w:r>
      <w:r w:rsidRPr="00873E61">
        <w:t>.</w:t>
      </w:r>
      <w:r w:rsidR="00242CA1">
        <w:t xml:space="preserve"> </w:t>
      </w:r>
      <w:r w:rsidRPr="00873E61">
        <w:t>Splatnost fa</w:t>
      </w:r>
      <w:r w:rsidR="00242CA1">
        <w:t>ktury bude 14</w:t>
      </w:r>
      <w:r w:rsidRPr="00873E61">
        <w:t xml:space="preserve"> dnů po převzetí </w:t>
      </w:r>
      <w:r w:rsidR="000E3BF0">
        <w:t>kompletního díla. Faktura bude proplacena na základě jejího</w:t>
      </w:r>
      <w:r w:rsidRPr="00873E61">
        <w:t xml:space="preserve"> předání nebo zaslání.</w:t>
      </w:r>
    </w:p>
    <w:p w:rsidR="000E3BF0" w:rsidRPr="00873E61" w:rsidRDefault="000E3BF0" w:rsidP="00873E61"/>
    <w:p w:rsidR="00873E61" w:rsidRPr="00873E61" w:rsidRDefault="00873E61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 w:rsidRPr="00873E61">
        <w:rPr>
          <w:rFonts w:cs="Arial"/>
          <w:b/>
          <w:bCs/>
          <w:iCs/>
          <w:szCs w:val="28"/>
        </w:rPr>
        <w:t>VI. Majetkové sankce</w:t>
      </w:r>
    </w:p>
    <w:p w:rsidR="00873E61" w:rsidRPr="00873E61" w:rsidRDefault="00873E61" w:rsidP="00873E61">
      <w:r w:rsidRPr="00873E61">
        <w:t xml:space="preserve">Zhotovitel v případě nedodržení sjednaného termínu dodávky zboží (sortiment, množství a kvalita) a montáže zaplatí objednateli za každý den prodlení smluvní pokutu ve výši 0,05% z celkové hodnoty </w:t>
      </w:r>
      <w:r w:rsidR="00F92AF1">
        <w:t>zakázky</w:t>
      </w:r>
      <w:r w:rsidRPr="00873E61">
        <w:t>.</w:t>
      </w:r>
    </w:p>
    <w:p w:rsidR="00873E61" w:rsidRPr="00873E61" w:rsidRDefault="00873E61" w:rsidP="00873E61">
      <w:r w:rsidRPr="00873E61">
        <w:t xml:space="preserve">Pokud objednatel nedodrží platební podmínky - bod V. - uhradí pokutu ve výši 0,05% z celkové hodnoty </w:t>
      </w:r>
      <w:r w:rsidR="00F92AF1">
        <w:t>zakázky</w:t>
      </w:r>
      <w:r w:rsidRPr="00873E61">
        <w:t xml:space="preserve"> a to za každý den prodlení. V případě nedodržení splatnosti faktury o více jak 14 dnů, může zhotovitel upla</w:t>
      </w:r>
      <w:r w:rsidR="00F05DD6">
        <w:t>tnit sankční pokutu ve výši 0,1</w:t>
      </w:r>
      <w:r w:rsidRPr="00873E61">
        <w:t xml:space="preserve">% z celkové hodnoty </w:t>
      </w:r>
      <w:r w:rsidR="00F92AF1">
        <w:t>zakázky</w:t>
      </w:r>
      <w:r w:rsidRPr="00873E61">
        <w:t xml:space="preserve"> a to za každý den prodlení (počínaje 15.</w:t>
      </w:r>
      <w:r w:rsidR="00242CA1">
        <w:t xml:space="preserve"> </w:t>
      </w:r>
      <w:r w:rsidRPr="00873E61">
        <w:t xml:space="preserve">dnem prodlení). </w:t>
      </w:r>
    </w:p>
    <w:p w:rsidR="00873E61" w:rsidRPr="00873E61" w:rsidRDefault="00873E61" w:rsidP="00873E61">
      <w:r w:rsidRPr="00873E61">
        <w:t>Vlastnictví dodaných výrobků přejde na objednatele až úplným zaplacením kupní ceny.</w:t>
      </w:r>
    </w:p>
    <w:p w:rsidR="00873E61" w:rsidRPr="00873E61" w:rsidRDefault="00873E61" w:rsidP="00873E61"/>
    <w:p w:rsidR="00873E61" w:rsidRPr="00873E61" w:rsidRDefault="000E3BF0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V</w:t>
      </w:r>
      <w:r w:rsidR="00873E61" w:rsidRPr="00873E61">
        <w:rPr>
          <w:rFonts w:cs="Arial"/>
          <w:b/>
          <w:bCs/>
          <w:iCs/>
          <w:szCs w:val="28"/>
        </w:rPr>
        <w:t>II. Povinnosti zhotovitele</w:t>
      </w:r>
    </w:p>
    <w:p w:rsidR="00873E61" w:rsidRPr="00873E61" w:rsidRDefault="00873E61" w:rsidP="00873E61">
      <w:r w:rsidRPr="00873E61">
        <w:t xml:space="preserve">Zhotovitel je při provádění </w:t>
      </w:r>
      <w:r w:rsidR="00F92AF1">
        <w:t>zakázky</w:t>
      </w:r>
      <w:r w:rsidRPr="00873E61">
        <w:t xml:space="preserve"> povinen dodržovat veškerá bezpečnostní a protipožární opatření vyplývající z platných právních norem.</w:t>
      </w:r>
    </w:p>
    <w:p w:rsidR="00873E61" w:rsidRPr="00873E61" w:rsidRDefault="00873E61" w:rsidP="00873E61">
      <w:r w:rsidRPr="00873E61">
        <w:t>Zhotovitel je povinen udržovat na svém pracovišti pořádek a odstranit odpadky a nečistoty vzniklé jeho pracemi.</w:t>
      </w:r>
    </w:p>
    <w:p w:rsidR="00873E61" w:rsidRPr="00873E61" w:rsidRDefault="00873E61" w:rsidP="00873E61"/>
    <w:p w:rsidR="00873E61" w:rsidRPr="00873E61" w:rsidRDefault="000E3BF0" w:rsidP="00873E61">
      <w:pPr>
        <w:keepNext/>
        <w:spacing w:before="240" w:after="60"/>
        <w:jc w:val="center"/>
        <w:outlineLvl w:val="1"/>
        <w:rPr>
          <w:rFonts w:cs="Arial"/>
          <w:b/>
          <w:bCs/>
          <w:iCs/>
          <w:szCs w:val="28"/>
        </w:rPr>
      </w:pPr>
      <w:r>
        <w:rPr>
          <w:rFonts w:cs="Arial"/>
          <w:b/>
          <w:bCs/>
          <w:iCs/>
          <w:szCs w:val="28"/>
        </w:rPr>
        <w:t>VIII</w:t>
      </w:r>
      <w:r w:rsidR="00873E61" w:rsidRPr="00873E61">
        <w:rPr>
          <w:rFonts w:cs="Arial"/>
          <w:b/>
          <w:bCs/>
          <w:iCs/>
          <w:szCs w:val="28"/>
        </w:rPr>
        <w:t>. Ostatní ujednání</w:t>
      </w:r>
    </w:p>
    <w:p w:rsidR="00873E61" w:rsidRPr="00873E61" w:rsidRDefault="00873E61" w:rsidP="00873E61">
      <w:r w:rsidRPr="00873E61">
        <w:t xml:space="preserve">Náležitosti výslovně neuvedené v této smlouvě se řídí platným </w:t>
      </w:r>
      <w:r w:rsidR="00EF532F">
        <w:t>Občanským zákoníkem.</w:t>
      </w:r>
    </w:p>
    <w:p w:rsidR="00873E61" w:rsidRPr="00873E61" w:rsidRDefault="00873E61" w:rsidP="00873E61">
      <w:r w:rsidRPr="00873E61">
        <w:t>Smlouva nabývá účinnosti podpisem obou smluvních stran.</w:t>
      </w:r>
    </w:p>
    <w:p w:rsidR="007F5DD9" w:rsidRDefault="00873E61" w:rsidP="00873E61">
      <w:r w:rsidRPr="00873E61">
        <w:t xml:space="preserve">Smlouva je </w:t>
      </w:r>
      <w:r w:rsidR="00424EB4">
        <w:t>v</w:t>
      </w:r>
      <w:r w:rsidRPr="00873E61">
        <w:t xml:space="preserve">e dvou </w:t>
      </w:r>
      <w:r w:rsidR="00424EB4">
        <w:t>vyhotoveních, obě vyhotovení mají platnost originálu.</w:t>
      </w:r>
      <w:r w:rsidRPr="00873E61">
        <w:t xml:space="preserve"> </w:t>
      </w:r>
      <w:r w:rsidR="00424EB4">
        <w:t>Jedno vyhotovení obdrží</w:t>
      </w:r>
      <w:r w:rsidRPr="00873E61">
        <w:t xml:space="preserve"> objednatel a </w:t>
      </w:r>
      <w:r w:rsidR="00424EB4">
        <w:t xml:space="preserve">jedno </w:t>
      </w:r>
      <w:r w:rsidRPr="00873E61">
        <w:t>zhotovitel.</w:t>
      </w:r>
    </w:p>
    <w:p w:rsidR="00873E61" w:rsidRDefault="007F5DD9" w:rsidP="00873E61">
      <w:r>
        <w:t>Návrh zadání veřejné zakázky byl schválen usnesením Rady města Jindřichův Hradec č. 232/9R/2017 ze dne 15. 3. 2017.</w:t>
      </w:r>
    </w:p>
    <w:p w:rsidR="008C4D36" w:rsidRPr="00873E61" w:rsidRDefault="008C4D36" w:rsidP="00873E61">
      <w:r>
        <w:t>Zadání zakázky</w:t>
      </w:r>
      <w:r w:rsidR="00404B35">
        <w:t xml:space="preserve"> a uz</w:t>
      </w:r>
      <w:r>
        <w:t xml:space="preserve">avření smlouvy bylo schváleno Radou města Jindřichův Hradec usnesením č. </w:t>
      </w:r>
      <w:r w:rsidR="007F5DD9">
        <w:t xml:space="preserve">378/14R/2017 ze </w:t>
      </w:r>
      <w:r w:rsidR="002D735E">
        <w:t>dne 3. 5. 2017.</w:t>
      </w: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952912" w:rsidP="000E3BF0">
      <w:pPr>
        <w:rPr>
          <w:sz w:val="24"/>
        </w:rPr>
      </w:pPr>
      <w:r>
        <w:t xml:space="preserve">V </w:t>
      </w:r>
      <w:proofErr w:type="spellStart"/>
      <w:r>
        <w:t>Oticích</w:t>
      </w:r>
      <w:proofErr w:type="spellEnd"/>
      <w:r w:rsidR="000E3BF0">
        <w:t xml:space="preserve"> dne</w:t>
      </w:r>
      <w:r w:rsidR="00424EB4">
        <w:t xml:space="preserve">               </w:t>
      </w:r>
      <w:r w:rsidR="000E299A">
        <w:t>12.5.2017</w:t>
      </w:r>
      <w:r w:rsidR="00424EB4">
        <w:t xml:space="preserve">   </w:t>
      </w:r>
      <w:r w:rsidR="000E3BF0">
        <w:tab/>
      </w:r>
      <w:r w:rsidR="000E3BF0">
        <w:tab/>
      </w:r>
      <w:r w:rsidR="000E3BF0">
        <w:tab/>
      </w:r>
      <w:r w:rsidR="000E3BF0">
        <w:tab/>
        <w:t>V Jindřichově Hradci dne</w:t>
      </w:r>
      <w:r w:rsidR="00551060">
        <w:t xml:space="preserve">       </w:t>
      </w:r>
      <w:r w:rsidR="00873E61" w:rsidRPr="00873E61">
        <w:t xml:space="preserve"> </w:t>
      </w: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widowControl w:val="0"/>
        <w:rPr>
          <w:sz w:val="24"/>
        </w:rPr>
      </w:pPr>
    </w:p>
    <w:p w:rsidR="00873E61" w:rsidRDefault="00873E61" w:rsidP="00873E61">
      <w:pPr>
        <w:widowControl w:val="0"/>
        <w:rPr>
          <w:sz w:val="24"/>
        </w:rPr>
      </w:pPr>
    </w:p>
    <w:p w:rsidR="00116CE8" w:rsidRDefault="00116CE8" w:rsidP="00873E61">
      <w:pPr>
        <w:widowControl w:val="0"/>
        <w:rPr>
          <w:sz w:val="24"/>
        </w:rPr>
      </w:pPr>
    </w:p>
    <w:p w:rsidR="00873E61" w:rsidRPr="00873E61" w:rsidRDefault="00873E61" w:rsidP="00873E61">
      <w:pPr>
        <w:tabs>
          <w:tab w:val="center" w:pos="1620"/>
          <w:tab w:val="center" w:pos="6300"/>
        </w:tabs>
      </w:pPr>
      <w:r w:rsidRPr="00873E61">
        <w:t>…......................................................</w:t>
      </w:r>
      <w:r w:rsidRPr="00873E61">
        <w:tab/>
        <w:t>…......................................................</w:t>
      </w:r>
    </w:p>
    <w:p w:rsidR="00873E61" w:rsidRDefault="00873E61" w:rsidP="00873E61">
      <w:pPr>
        <w:tabs>
          <w:tab w:val="center" w:pos="1620"/>
          <w:tab w:val="center" w:pos="6300"/>
        </w:tabs>
      </w:pPr>
      <w:r w:rsidRPr="00873E61">
        <w:tab/>
        <w:t>za zhotovitele</w:t>
      </w:r>
      <w:r w:rsidRPr="00873E61">
        <w:tab/>
        <w:t>za objednatele</w:t>
      </w:r>
    </w:p>
    <w:p w:rsidR="000E3BF0" w:rsidRDefault="00F92AF1" w:rsidP="00873E61">
      <w:pPr>
        <w:tabs>
          <w:tab w:val="center" w:pos="1620"/>
          <w:tab w:val="center" w:pos="6300"/>
        </w:tabs>
      </w:pPr>
      <w:r>
        <w:tab/>
      </w:r>
      <w:r w:rsidR="000E3BF0">
        <w:t>Jarmila Branichová, jednatel</w:t>
      </w:r>
      <w:r w:rsidR="006F6473">
        <w:tab/>
        <w:t>Ing. Stanislav Mrvka, starosta</w:t>
      </w:r>
    </w:p>
    <w:p w:rsidR="00CB62D1" w:rsidRDefault="00CB62D1">
      <w:pPr>
        <w:spacing w:after="200" w:line="276" w:lineRule="auto"/>
        <w:jc w:val="left"/>
      </w:pPr>
      <w:r>
        <w:br w:type="pag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300"/>
        <w:gridCol w:w="1263"/>
        <w:gridCol w:w="4086"/>
        <w:gridCol w:w="343"/>
        <w:gridCol w:w="832"/>
        <w:gridCol w:w="499"/>
        <w:gridCol w:w="651"/>
        <w:gridCol w:w="1089"/>
        <w:gridCol w:w="1211"/>
      </w:tblGrid>
      <w:tr w:rsidR="00CB62D1" w:rsidRPr="00CB62D1" w:rsidTr="00CB62D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  <w:r>
              <w:rPr>
                <w:rFonts w:ascii="Arial CE" w:hAnsi="Arial CE" w:cs="Arial CE"/>
                <w:noProof/>
                <w:szCs w:val="20"/>
              </w:rPr>
              <w:lastRenderedPageBreak/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-382905</wp:posOffset>
                  </wp:positionH>
                  <wp:positionV relativeFrom="paragraph">
                    <wp:posOffset>-93345</wp:posOffset>
                  </wp:positionV>
                  <wp:extent cx="7923530" cy="1200150"/>
                  <wp:effectExtent l="19050" t="0" r="1270" b="0"/>
                  <wp:wrapNone/>
                  <wp:docPr id="3" name="Skupina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6675" y="0"/>
                            <a:ext cx="7915275" cy="1181100"/>
                            <a:chOff x="66675" y="0"/>
                            <a:chExt cx="7915275" cy="1181100"/>
                          </a:xfrm>
                        </a:grpSpPr>
                        <a:grpSp>
                          <a:nvGrpSpPr>
                            <a:cNvPr id="0" name=""/>
                            <a:cNvGrpSpPr/>
                          </a:nvGrpSpPr>
                          <a:grpSpPr>
                            <a:xfrm>
                              <a:off x="0" y="0"/>
                              <a:ext cx="7915275" cy="1181100"/>
                              <a:chOff x="0" y="0"/>
                              <a:chExt cx="7915275" cy="1181100"/>
                            </a:xfrm>
                          </a:grpSpPr>
                          <a:pic>
                            <a:nvPicPr>
                              <a:cNvPr id="8260" name="Obrázek 5"/>
                              <a:cNvPicPr>
                                <a:picLocks noChangeAspect="1"/>
                              </a:cNvPicPr>
                            </a:nvPicPr>
                            <a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0" y="0"/>
                                <a:ext cx="7915275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</a:pic>
                          <a:sp>
                            <a:nvSpPr>
                              <a:cNvPr id="10" name="TextovéPole 9"/>
                              <a:cNvSpPr txBox="1"/>
                            </a:nvSpPr>
                            <a:spPr>
                              <a:xfrm>
                                <a:off x="132387" y="104775"/>
                                <a:ext cx="4032915" cy="990600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vertOverflow="clip" horzOverflow="clip" wrap="square" rtlCol="0" anchor="t">
                                  <a:noAutofit/>
                                </a:bodyPr>
                                <a:lstStyle>
                                  <a:lvl1pPr marL="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cs-CZ" sz="1100" b="0" i="0" u="none" strike="noStrike">
                                    <a:solidFill>
                                      <a:schemeClr val="bg1"/>
                                    </a:solidFill>
                                    <a:effectLst/>
                                    <a:latin typeface="+mn-lt"/>
                                    <a:ea typeface="+mn-ea"/>
                                    <a:cs typeface="+mn-cs"/>
                                  </a:endParaRPr>
                                </a:p>
                                <a:p>
                                  <a:r>
                                    <a:rPr lang="cs-CZ" sz="1200" b="1" i="0" u="none" strike="noStrike">
                                      <a:solidFill>
                                        <a:schemeClr val="bg1"/>
                                      </a:solidFill>
                                      <a:effectLst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Moderní škola s.r.o.</a:t>
                                  </a:r>
                                </a:p>
                                <a:p>
                                  <a:r>
                                    <a:rPr lang="cs-CZ" sz="1200" b="1" i="0" u="none" strike="noStrike">
                                      <a:solidFill>
                                        <a:schemeClr val="bg1"/>
                                      </a:solidFill>
                                      <a:effectLst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K Rybníčkům 332</a:t>
                                  </a:r>
                                </a:p>
                                <a:p>
                                  <a:r>
                                    <a:rPr lang="cs-CZ" sz="1200" b="1" i="0" u="none" strike="noStrike">
                                      <a:solidFill>
                                        <a:schemeClr val="bg1"/>
                                      </a:solidFill>
                                      <a:effectLst/>
                                      <a:latin typeface="+mn-lt"/>
                                      <a:ea typeface="+mn-ea"/>
                                      <a:cs typeface="+mn-cs"/>
                                    </a:rPr>
                                    <a:t>747 81 Otice</a:t>
                                  </a:r>
                                  <a:endParaRPr lang="cs-CZ" sz="1200" b="1">
                                    <a:solidFill>
                                      <a:schemeClr val="bg1"/>
                                    </a:solidFill>
                                    <a:latin typeface="+mn-lt"/>
                                  </a:endParaRPr>
                                </a:p>
                                <a:p>
                                  <a:endParaRPr lang="cs-CZ" sz="1100" b="1">
                                    <a:solidFill>
                                      <a:schemeClr val="bg1"/>
                                    </a:solidFill>
                                  </a:endParaRPr>
                                </a:p>
                              </a:txBody>
                              <a:useSpRect/>
                            </a:txSp>
                            <a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a:style>
                          </a:sp>
                        </a:grp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0"/>
            </w:tblGrid>
            <w:tr w:rsidR="00CB62D1" w:rsidRPr="00CB62D1">
              <w:trPr>
                <w:trHeight w:val="255"/>
                <w:tblCellSpacing w:w="0" w:type="dxa"/>
              </w:trPr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62D1" w:rsidRPr="00CB62D1" w:rsidRDefault="00CB62D1" w:rsidP="00CB62D1">
                  <w:pPr>
                    <w:jc w:val="left"/>
                    <w:rPr>
                      <w:rFonts w:ascii="Arial CE" w:hAnsi="Arial CE" w:cs="Arial CE"/>
                      <w:szCs w:val="20"/>
                    </w:rPr>
                  </w:pPr>
                </w:p>
              </w:tc>
            </w:tr>
          </w:tbl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FFFFF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</w:tr>
      <w:tr w:rsidR="00CB62D1" w:rsidRPr="00CB62D1" w:rsidTr="00CB62D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color w:val="5A5A5A"/>
                <w:sz w:val="36"/>
                <w:szCs w:val="36"/>
              </w:rPr>
            </w:pPr>
            <w:r w:rsidRPr="00CB62D1">
              <w:rPr>
                <w:rFonts w:ascii="Calibri" w:hAnsi="Calibri" w:cs="Arial CE"/>
                <w:b/>
                <w:bCs/>
                <w:color w:val="5A5A5A"/>
                <w:sz w:val="36"/>
                <w:szCs w:val="36"/>
              </w:rPr>
              <w:t xml:space="preserve">Cenová nabídka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</w:tr>
      <w:tr w:rsidR="00CB62D1" w:rsidRPr="00CB62D1" w:rsidTr="00CB62D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 w:val="24"/>
              </w:rPr>
            </w:pPr>
            <w:r w:rsidRPr="00CB62D1">
              <w:rPr>
                <w:rFonts w:ascii="Calibri" w:hAnsi="Calibri" w:cs="Arial CE"/>
                <w:b/>
                <w:bCs/>
                <w:sz w:val="24"/>
              </w:rPr>
              <w:t>č. 2017100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color w:val="00008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</w:tr>
      <w:tr w:rsidR="00CB62D1" w:rsidRPr="00CB62D1" w:rsidTr="00CB62D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color w:val="00008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Zadavatel: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  <w:r w:rsidRPr="00CB62D1">
              <w:rPr>
                <w:rFonts w:ascii="Calibri" w:hAnsi="Calibri" w:cs="Arial CE"/>
                <w:color w:val="0F253F"/>
                <w:sz w:val="22"/>
                <w:szCs w:val="22"/>
              </w:rPr>
              <w:t>Město Jindřichův Hradec</w:t>
            </w: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  <w:r w:rsidRPr="00CB62D1">
              <w:rPr>
                <w:rFonts w:ascii="Calibri" w:hAnsi="Calibri" w:cs="Arial CE"/>
                <w:color w:val="0F253F"/>
                <w:sz w:val="22"/>
                <w:szCs w:val="22"/>
              </w:rPr>
              <w:t>Klášterská 135/II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  <w:r w:rsidRPr="00CB62D1">
              <w:rPr>
                <w:rFonts w:ascii="Calibri" w:hAnsi="Calibri" w:cs="Arial CE"/>
                <w:color w:val="0F253F"/>
                <w:sz w:val="22"/>
                <w:szCs w:val="22"/>
              </w:rPr>
              <w:t>377 22 Jindřichův Hradec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  <w:r w:rsidRPr="00CB62D1">
              <w:rPr>
                <w:rFonts w:ascii="Calibri" w:hAnsi="Calibri" w:cs="Arial CE"/>
                <w:color w:val="0F253F"/>
                <w:sz w:val="22"/>
                <w:szCs w:val="22"/>
              </w:rPr>
              <w:t>IČ 00246875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F253F"/>
                <w:sz w:val="22"/>
              </w:rPr>
            </w:pPr>
          </w:p>
        </w:tc>
      </w:tr>
      <w:tr w:rsidR="00CB62D1" w:rsidRPr="00CB62D1" w:rsidTr="00CB62D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označení: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Název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ks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proofErr w:type="spellStart"/>
            <w:proofErr w:type="gramStart"/>
            <w:r w:rsidRPr="00CB62D1">
              <w:rPr>
                <w:rFonts w:ascii="Calibri" w:hAnsi="Calibri" w:cs="Arial CE"/>
                <w:b/>
                <w:bCs/>
                <w:szCs w:val="20"/>
              </w:rPr>
              <w:t>J.cena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proofErr w:type="spellStart"/>
            <w:proofErr w:type="gramStart"/>
            <w:r w:rsidRPr="00CB62D1">
              <w:rPr>
                <w:rFonts w:ascii="Calibri" w:hAnsi="Calibri" w:cs="Arial CE"/>
                <w:b/>
                <w:bCs/>
                <w:szCs w:val="20"/>
              </w:rPr>
              <w:t>J.cena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Celkem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Celkem</w:t>
            </w:r>
          </w:p>
        </w:tc>
      </w:tr>
      <w:tr w:rsidR="00CB62D1" w:rsidRPr="00CB62D1" w:rsidTr="00CB62D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s DPH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bez DPH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s DPH</w:t>
            </w:r>
          </w:p>
        </w:tc>
      </w:tr>
      <w:tr w:rsidR="00CB62D1" w:rsidRPr="00CB62D1" w:rsidTr="00CB62D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Školní nábytek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</w:tr>
      <w:tr w:rsidR="00CB62D1" w:rsidRPr="00CB62D1" w:rsidTr="00CB62D1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proofErr w:type="gramStart"/>
            <w:r w:rsidRPr="00CB62D1">
              <w:rPr>
                <w:rFonts w:ascii="Calibri" w:hAnsi="Calibri" w:cs="Arial CE"/>
                <w:szCs w:val="20"/>
              </w:rPr>
              <w:t>vel.6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Lavice dvoumístná</w:t>
            </w:r>
            <w:r w:rsidRPr="00CB62D1">
              <w:rPr>
                <w:rFonts w:ascii="Calibri" w:hAnsi="Calibri" w:cs="Arial CE"/>
                <w:szCs w:val="20"/>
              </w:rPr>
              <w:t xml:space="preserve">, pevná, </w:t>
            </w:r>
            <w:proofErr w:type="spellStart"/>
            <w:proofErr w:type="gramStart"/>
            <w:r w:rsidRPr="00CB62D1">
              <w:rPr>
                <w:rFonts w:ascii="Calibri" w:hAnsi="Calibri" w:cs="Arial CE"/>
                <w:szCs w:val="20"/>
              </w:rPr>
              <w:t>prac</w:t>
            </w:r>
            <w:proofErr w:type="gramEnd"/>
            <w:r w:rsidRPr="00CB62D1">
              <w:rPr>
                <w:rFonts w:ascii="Calibri" w:hAnsi="Calibri" w:cs="Arial CE"/>
                <w:szCs w:val="20"/>
              </w:rPr>
              <w:t>.</w:t>
            </w:r>
            <w:proofErr w:type="gramStart"/>
            <w:r w:rsidRPr="00CB62D1">
              <w:rPr>
                <w:rFonts w:ascii="Calibri" w:hAnsi="Calibri" w:cs="Arial CE"/>
                <w:szCs w:val="20"/>
              </w:rPr>
              <w:t>deska</w:t>
            </w:r>
            <w:proofErr w:type="spellEnd"/>
            <w:proofErr w:type="gramEnd"/>
            <w:r w:rsidRPr="00CB62D1">
              <w:rPr>
                <w:rFonts w:ascii="Calibri" w:hAnsi="Calibri" w:cs="Arial CE"/>
                <w:szCs w:val="20"/>
              </w:rPr>
              <w:t xml:space="preserve"> MDF s PUR hranou </w:t>
            </w:r>
            <w:proofErr w:type="spellStart"/>
            <w:r w:rsidRPr="00CB62D1">
              <w:rPr>
                <w:rFonts w:ascii="Calibri" w:hAnsi="Calibri" w:cs="Arial CE"/>
                <w:szCs w:val="20"/>
              </w:rPr>
              <w:t>tl</w:t>
            </w:r>
            <w:proofErr w:type="spellEnd"/>
            <w:r w:rsidRPr="00CB62D1">
              <w:rPr>
                <w:rFonts w:ascii="Calibri" w:hAnsi="Calibri" w:cs="Arial CE"/>
                <w:szCs w:val="20"/>
              </w:rPr>
              <w:t xml:space="preserve">. 18 mm 130x50 cm, 2x háček, bez úl.prostoru, kovová konstrukce </w:t>
            </w:r>
            <w:proofErr w:type="spellStart"/>
            <w:r w:rsidRPr="00CB62D1">
              <w:rPr>
                <w:rFonts w:ascii="Calibri" w:hAnsi="Calibri" w:cs="Arial CE"/>
                <w:szCs w:val="20"/>
              </w:rPr>
              <w:t>plochoovál</w:t>
            </w:r>
            <w:proofErr w:type="spellEnd"/>
            <w:r w:rsidRPr="00CB62D1">
              <w:rPr>
                <w:rFonts w:ascii="Calibri" w:hAnsi="Calibri" w:cs="Arial CE"/>
                <w:szCs w:val="20"/>
              </w:rPr>
              <w:t xml:space="preserve">, RAL </w:t>
            </w:r>
            <w:proofErr w:type="gramStart"/>
            <w:r w:rsidRPr="00CB62D1">
              <w:rPr>
                <w:rFonts w:ascii="Calibri" w:hAnsi="Calibri" w:cs="Arial CE"/>
                <w:szCs w:val="20"/>
              </w:rPr>
              <w:t>3000-červená</w:t>
            </w:r>
            <w:proofErr w:type="gramEnd"/>
            <w:r w:rsidRPr="00CB62D1">
              <w:rPr>
                <w:rFonts w:ascii="Calibri" w:hAnsi="Calibri" w:cs="Arial CE"/>
                <w:szCs w:val="20"/>
              </w:rPr>
              <w:t>, černé plasty, rektifikační šrouby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26 160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31 654</w:t>
            </w:r>
          </w:p>
        </w:tc>
      </w:tr>
      <w:tr w:rsidR="00CB62D1" w:rsidRPr="00CB62D1" w:rsidTr="00CB62D1">
        <w:trPr>
          <w:trHeight w:val="12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proofErr w:type="gramStart"/>
            <w:r w:rsidRPr="00CB62D1">
              <w:rPr>
                <w:rFonts w:ascii="Calibri" w:hAnsi="Calibri" w:cs="Arial CE"/>
                <w:szCs w:val="20"/>
              </w:rPr>
              <w:t>vel.6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Lavice dvoumístná</w:t>
            </w:r>
            <w:r w:rsidRPr="00CB62D1">
              <w:rPr>
                <w:rFonts w:ascii="Calibri" w:hAnsi="Calibri" w:cs="Arial CE"/>
                <w:szCs w:val="20"/>
              </w:rPr>
              <w:t xml:space="preserve">, pevná, </w:t>
            </w:r>
            <w:proofErr w:type="spellStart"/>
            <w:proofErr w:type="gramStart"/>
            <w:r w:rsidRPr="00CB62D1">
              <w:rPr>
                <w:rFonts w:ascii="Calibri" w:hAnsi="Calibri" w:cs="Arial CE"/>
                <w:szCs w:val="20"/>
              </w:rPr>
              <w:t>prac</w:t>
            </w:r>
            <w:proofErr w:type="gramEnd"/>
            <w:r w:rsidRPr="00CB62D1">
              <w:rPr>
                <w:rFonts w:ascii="Calibri" w:hAnsi="Calibri" w:cs="Arial CE"/>
                <w:szCs w:val="20"/>
              </w:rPr>
              <w:t>.</w:t>
            </w:r>
            <w:proofErr w:type="gramStart"/>
            <w:r w:rsidRPr="00CB62D1">
              <w:rPr>
                <w:rFonts w:ascii="Calibri" w:hAnsi="Calibri" w:cs="Arial CE"/>
                <w:szCs w:val="20"/>
              </w:rPr>
              <w:t>deska</w:t>
            </w:r>
            <w:proofErr w:type="spellEnd"/>
            <w:proofErr w:type="gramEnd"/>
            <w:r w:rsidRPr="00CB62D1">
              <w:rPr>
                <w:rFonts w:ascii="Calibri" w:hAnsi="Calibri" w:cs="Arial CE"/>
                <w:szCs w:val="20"/>
              </w:rPr>
              <w:t xml:space="preserve"> MDF s PUR hranou </w:t>
            </w:r>
            <w:proofErr w:type="spellStart"/>
            <w:r w:rsidRPr="00CB62D1">
              <w:rPr>
                <w:rFonts w:ascii="Calibri" w:hAnsi="Calibri" w:cs="Arial CE"/>
                <w:szCs w:val="20"/>
              </w:rPr>
              <w:t>tl</w:t>
            </w:r>
            <w:proofErr w:type="spellEnd"/>
            <w:r w:rsidRPr="00CB62D1">
              <w:rPr>
                <w:rFonts w:ascii="Calibri" w:hAnsi="Calibri" w:cs="Arial CE"/>
                <w:szCs w:val="20"/>
              </w:rPr>
              <w:t xml:space="preserve">. 18 mm 130x50 cm, 2x háček, bez úl.prostoru, kovová konstrukce </w:t>
            </w:r>
            <w:proofErr w:type="spellStart"/>
            <w:r w:rsidRPr="00CB62D1">
              <w:rPr>
                <w:rFonts w:ascii="Calibri" w:hAnsi="Calibri" w:cs="Arial CE"/>
                <w:szCs w:val="20"/>
              </w:rPr>
              <w:t>plochoovál</w:t>
            </w:r>
            <w:proofErr w:type="spellEnd"/>
            <w:r w:rsidRPr="00CB62D1">
              <w:rPr>
                <w:rFonts w:ascii="Calibri" w:hAnsi="Calibri" w:cs="Arial CE"/>
                <w:szCs w:val="20"/>
              </w:rPr>
              <w:t xml:space="preserve">, RAL </w:t>
            </w:r>
            <w:proofErr w:type="gramStart"/>
            <w:r w:rsidRPr="00CB62D1">
              <w:rPr>
                <w:rFonts w:ascii="Calibri" w:hAnsi="Calibri" w:cs="Arial CE"/>
                <w:szCs w:val="20"/>
              </w:rPr>
              <w:t>6018-zelená</w:t>
            </w:r>
            <w:proofErr w:type="gramEnd"/>
            <w:r w:rsidRPr="00CB62D1">
              <w:rPr>
                <w:rFonts w:ascii="Calibri" w:hAnsi="Calibri" w:cs="Arial CE"/>
                <w:szCs w:val="20"/>
              </w:rPr>
              <w:t>,  černé plasty, rektifikační šrouby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32 700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39 567</w:t>
            </w:r>
          </w:p>
        </w:tc>
      </w:tr>
      <w:tr w:rsidR="00CB62D1" w:rsidRPr="00CB62D1" w:rsidTr="00CB62D1">
        <w:trPr>
          <w:trHeight w:val="10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proofErr w:type="gramStart"/>
            <w:r w:rsidRPr="00CB62D1">
              <w:rPr>
                <w:rFonts w:ascii="Calibri" w:hAnsi="Calibri" w:cs="Arial CE"/>
                <w:szCs w:val="20"/>
              </w:rPr>
              <w:t>vel.6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 xml:space="preserve">Židle pevná, konstrukce z </w:t>
            </w:r>
            <w:proofErr w:type="spellStart"/>
            <w:r w:rsidRPr="00CB62D1">
              <w:rPr>
                <w:rFonts w:ascii="Calibri" w:hAnsi="Calibri" w:cs="Arial CE"/>
                <w:szCs w:val="20"/>
              </w:rPr>
              <w:t>plochooválných</w:t>
            </w:r>
            <w:proofErr w:type="spellEnd"/>
            <w:r w:rsidRPr="00CB62D1">
              <w:rPr>
                <w:rFonts w:ascii="Calibri" w:hAnsi="Calibri" w:cs="Arial CE"/>
                <w:szCs w:val="20"/>
              </w:rPr>
              <w:t xml:space="preserve"> profilů, ergonomicky tvarovaný sedák a opěrák z bukové překližky, krempa, ocelové nýty, černé plasty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1 198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29 700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35 937</w:t>
            </w:r>
          </w:p>
        </w:tc>
      </w:tr>
      <w:tr w:rsidR="00CB62D1" w:rsidRPr="00CB62D1" w:rsidTr="00CB62D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88 560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107 158</w:t>
            </w:r>
          </w:p>
        </w:tc>
      </w:tr>
      <w:tr w:rsidR="00CB62D1" w:rsidRPr="00CB62D1" w:rsidTr="00CB62D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Montáž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605</w:t>
            </w:r>
          </w:p>
        </w:tc>
      </w:tr>
      <w:tr w:rsidR="00CB62D1" w:rsidRPr="00CB62D1" w:rsidTr="00CB62D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Doprava montáže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2 420</w:t>
            </w:r>
          </w:p>
        </w:tc>
      </w:tr>
      <w:tr w:rsidR="00CB62D1" w:rsidRPr="00CB62D1" w:rsidTr="00CB62D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Arial CE" w:hAnsi="Arial CE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3 025</w:t>
            </w: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b/>
                <w:bCs/>
                <w:sz w:val="24"/>
              </w:rPr>
            </w:pPr>
            <w:r w:rsidRPr="00CB62D1">
              <w:rPr>
                <w:rFonts w:ascii="Calibri" w:hAnsi="Calibri" w:cs="Arial CE"/>
                <w:b/>
                <w:bCs/>
                <w:sz w:val="24"/>
              </w:rPr>
              <w:t>Celkem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  <w:r w:rsidRPr="00CB62D1">
              <w:rPr>
                <w:rFonts w:ascii="Calibri" w:hAnsi="Calibri" w:cs="Arial CE"/>
                <w:b/>
                <w:bCs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b/>
                <w:bCs/>
                <w:sz w:val="24"/>
              </w:rPr>
            </w:pPr>
            <w:r w:rsidRPr="00CB62D1">
              <w:rPr>
                <w:rFonts w:ascii="Calibri" w:hAnsi="Calibri" w:cs="Arial CE"/>
                <w:b/>
                <w:bCs/>
                <w:sz w:val="24"/>
              </w:rPr>
              <w:t>91 060 Kč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B62D1" w:rsidRPr="00CB62D1" w:rsidRDefault="00CB62D1" w:rsidP="00CB62D1">
            <w:pPr>
              <w:jc w:val="right"/>
              <w:rPr>
                <w:rFonts w:ascii="Calibri" w:hAnsi="Calibri" w:cs="Arial CE"/>
                <w:b/>
                <w:bCs/>
                <w:sz w:val="24"/>
              </w:rPr>
            </w:pPr>
            <w:r w:rsidRPr="00CB62D1">
              <w:rPr>
                <w:rFonts w:ascii="Calibri" w:hAnsi="Calibri" w:cs="Arial CE"/>
                <w:b/>
                <w:bCs/>
                <w:sz w:val="24"/>
              </w:rPr>
              <w:t>110 183 Kč</w:t>
            </w: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szCs w:val="20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 xml:space="preserve">Dodací lhůty: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00000"/>
                <w:szCs w:val="20"/>
              </w:rPr>
            </w:pPr>
            <w:r w:rsidRPr="00CB62D1">
              <w:rPr>
                <w:rFonts w:ascii="Calibri" w:hAnsi="Calibri" w:cs="Arial CE"/>
                <w:color w:val="000000"/>
                <w:szCs w:val="20"/>
              </w:rPr>
              <w:t>6 - 8 týdnů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 xml:space="preserve">Platnost </w:t>
            </w:r>
            <w:proofErr w:type="spellStart"/>
            <w:r w:rsidRPr="00CB62D1">
              <w:rPr>
                <w:rFonts w:ascii="Calibri" w:hAnsi="Calibri" w:cs="Arial CE"/>
                <w:szCs w:val="20"/>
              </w:rPr>
              <w:t>nab</w:t>
            </w:r>
            <w:proofErr w:type="spellEnd"/>
            <w:r w:rsidRPr="00CB62D1">
              <w:rPr>
                <w:rFonts w:ascii="Calibri" w:hAnsi="Calibri" w:cs="Arial CE"/>
                <w:szCs w:val="20"/>
              </w:rPr>
              <w:t xml:space="preserve">.: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color w:val="000000"/>
                <w:szCs w:val="20"/>
              </w:rPr>
            </w:pPr>
            <w:proofErr w:type="gramStart"/>
            <w:r w:rsidRPr="00CB62D1">
              <w:rPr>
                <w:rFonts w:ascii="Calibri" w:hAnsi="Calibri" w:cs="Arial CE"/>
                <w:color w:val="000000"/>
                <w:szCs w:val="20"/>
              </w:rPr>
              <w:t>31.7.2017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center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b/>
                <w:bCs/>
                <w:color w:val="000080"/>
                <w:sz w:val="16"/>
                <w:szCs w:val="16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Záruční doba je 24 měsíců na veškerý nábytek, na kovové části nábytku 10 let.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Záruka se nevztahuje na úmyslné poškození ze strany uživatele.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Případná reklamace musí proběhnout písemnou formou.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</w:tr>
      <w:tr w:rsidR="00CB62D1" w:rsidRPr="00CB62D1" w:rsidTr="00CB62D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2D1" w:rsidRPr="00CB62D1" w:rsidRDefault="00CB62D1" w:rsidP="00CB62D1">
            <w:pPr>
              <w:jc w:val="left"/>
              <w:rPr>
                <w:rFonts w:ascii="Arial Narrow" w:hAnsi="Arial Narrow" w:cs="Arial CE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  <w:r w:rsidRPr="00CB62D1">
              <w:rPr>
                <w:rFonts w:ascii="Calibri" w:hAnsi="Calibri" w:cs="Arial CE"/>
                <w:szCs w:val="20"/>
              </w:rPr>
              <w:t>Servis do 7 pracovních dnů.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2D1" w:rsidRPr="00CB62D1" w:rsidRDefault="00CB62D1" w:rsidP="00CB62D1">
            <w:pPr>
              <w:jc w:val="left"/>
              <w:rPr>
                <w:rFonts w:ascii="Calibri" w:hAnsi="Calibri" w:cs="Arial CE"/>
                <w:sz w:val="16"/>
                <w:szCs w:val="16"/>
              </w:rPr>
            </w:pPr>
          </w:p>
        </w:tc>
      </w:tr>
    </w:tbl>
    <w:p w:rsidR="00CB62D1" w:rsidRPr="00873E61" w:rsidRDefault="00CB62D1" w:rsidP="00873E61">
      <w:pPr>
        <w:tabs>
          <w:tab w:val="center" w:pos="1620"/>
          <w:tab w:val="center" w:pos="6300"/>
        </w:tabs>
      </w:pPr>
    </w:p>
    <w:sectPr w:rsidR="00CB62D1" w:rsidRPr="00873E61" w:rsidSect="002D735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68A" w:rsidRDefault="00B4568A" w:rsidP="002F441A">
      <w:r>
        <w:separator/>
      </w:r>
    </w:p>
  </w:endnote>
  <w:endnote w:type="continuationSeparator" w:id="0">
    <w:p w:rsidR="00B4568A" w:rsidRDefault="00B4568A" w:rsidP="002F4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68A" w:rsidRDefault="00B4568A" w:rsidP="002F441A">
      <w:r>
        <w:separator/>
      </w:r>
    </w:p>
  </w:footnote>
  <w:footnote w:type="continuationSeparator" w:id="0">
    <w:p w:rsidR="00B4568A" w:rsidRDefault="00B4568A" w:rsidP="002F4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1DA0"/>
    <w:multiLevelType w:val="hybridMultilevel"/>
    <w:tmpl w:val="A15A6CC0"/>
    <w:lvl w:ilvl="0" w:tplc="5D9ED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1D51669"/>
    <w:multiLevelType w:val="multilevel"/>
    <w:tmpl w:val="9DC88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33A7"/>
    <w:multiLevelType w:val="hybridMultilevel"/>
    <w:tmpl w:val="8710F16A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BF683F"/>
    <w:multiLevelType w:val="hybridMultilevel"/>
    <w:tmpl w:val="01DCC75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73E61"/>
    <w:rsid w:val="000C3E81"/>
    <w:rsid w:val="000E299A"/>
    <w:rsid w:val="000E3BF0"/>
    <w:rsid w:val="000E5A6D"/>
    <w:rsid w:val="00112CC6"/>
    <w:rsid w:val="00116CE8"/>
    <w:rsid w:val="00201312"/>
    <w:rsid w:val="00242CA1"/>
    <w:rsid w:val="00247575"/>
    <w:rsid w:val="002D735E"/>
    <w:rsid w:val="002F441A"/>
    <w:rsid w:val="003322BE"/>
    <w:rsid w:val="00351D06"/>
    <w:rsid w:val="003530BA"/>
    <w:rsid w:val="003C3598"/>
    <w:rsid w:val="003E30A7"/>
    <w:rsid w:val="00404B35"/>
    <w:rsid w:val="004128D4"/>
    <w:rsid w:val="00414893"/>
    <w:rsid w:val="00423CEA"/>
    <w:rsid w:val="00424EB4"/>
    <w:rsid w:val="0046572F"/>
    <w:rsid w:val="00484C95"/>
    <w:rsid w:val="00551060"/>
    <w:rsid w:val="00650F79"/>
    <w:rsid w:val="0067328E"/>
    <w:rsid w:val="006949CD"/>
    <w:rsid w:val="006F6473"/>
    <w:rsid w:val="007058E9"/>
    <w:rsid w:val="007356BD"/>
    <w:rsid w:val="00782449"/>
    <w:rsid w:val="007F47F6"/>
    <w:rsid w:val="007F5DD9"/>
    <w:rsid w:val="008119D7"/>
    <w:rsid w:val="0085192F"/>
    <w:rsid w:val="00873E61"/>
    <w:rsid w:val="00877DF5"/>
    <w:rsid w:val="008C4D36"/>
    <w:rsid w:val="00952912"/>
    <w:rsid w:val="009D6239"/>
    <w:rsid w:val="00A2364F"/>
    <w:rsid w:val="00AB22C0"/>
    <w:rsid w:val="00AF327F"/>
    <w:rsid w:val="00B4568A"/>
    <w:rsid w:val="00BB7A30"/>
    <w:rsid w:val="00BE1145"/>
    <w:rsid w:val="00BE7D0D"/>
    <w:rsid w:val="00C67DD8"/>
    <w:rsid w:val="00CA109B"/>
    <w:rsid w:val="00CB62D1"/>
    <w:rsid w:val="00D005CD"/>
    <w:rsid w:val="00E26C2F"/>
    <w:rsid w:val="00E44BE0"/>
    <w:rsid w:val="00ED56D2"/>
    <w:rsid w:val="00EF532F"/>
    <w:rsid w:val="00EF6775"/>
    <w:rsid w:val="00F05DD6"/>
    <w:rsid w:val="00F65C42"/>
    <w:rsid w:val="00F92AF1"/>
    <w:rsid w:val="00FA4AB1"/>
    <w:rsid w:val="00FC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E6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E61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873E61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E61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3E61"/>
    <w:rPr>
      <w:rFonts w:ascii="Arial" w:eastAsia="Times New Roman" w:hAnsi="Arial" w:cs="Arial"/>
      <w:b/>
      <w:bCs/>
      <w:iCs/>
      <w:sz w:val="20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873E61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873E61"/>
    <w:rPr>
      <w:rFonts w:ascii="Arial" w:eastAsia="Times New Roman" w:hAnsi="Arial" w:cs="Times New Roman"/>
      <w:color w:val="000000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3E61"/>
    <w:pPr>
      <w:ind w:left="360" w:firstLine="348"/>
    </w:pPr>
    <w:rPr>
      <w:rFonts w:ascii="Courier New" w:hAnsi="Courier New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3E6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tsubjname">
    <w:name w:val="tsubjname"/>
    <w:rsid w:val="00873E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3E6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3E61"/>
    <w:rPr>
      <w:rFonts w:ascii="Arial" w:eastAsia="Times New Roman" w:hAnsi="Arial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4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41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0E5A6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E6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E61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873E61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E61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73E61"/>
    <w:rPr>
      <w:rFonts w:ascii="Arial" w:eastAsia="Times New Roman" w:hAnsi="Arial" w:cs="Arial"/>
      <w:b/>
      <w:bCs/>
      <w:iCs/>
      <w:sz w:val="20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873E61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873E61"/>
    <w:rPr>
      <w:rFonts w:ascii="Arial" w:eastAsia="Times New Roman" w:hAnsi="Arial" w:cs="Times New Roman"/>
      <w:color w:val="000000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3E61"/>
    <w:pPr>
      <w:ind w:left="360" w:firstLine="348"/>
    </w:pPr>
    <w:rPr>
      <w:rFonts w:ascii="Courier New" w:hAnsi="Courier New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3E6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tsubjname">
    <w:name w:val="tsubjname"/>
    <w:rsid w:val="00873E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3E6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3E61"/>
    <w:rPr>
      <w:rFonts w:ascii="Arial" w:eastAsia="Times New Roman" w:hAnsi="Arial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4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41A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4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41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0E5A6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A65EA-5A07-4EBE-9B47-EA3E359D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Karel Holý</cp:lastModifiedBy>
  <cp:revision>2</cp:revision>
  <cp:lastPrinted>2017-04-28T06:42:00Z</cp:lastPrinted>
  <dcterms:created xsi:type="dcterms:W3CDTF">2017-05-23T12:07:00Z</dcterms:created>
  <dcterms:modified xsi:type="dcterms:W3CDTF">2017-05-23T12:07:00Z</dcterms:modified>
</cp:coreProperties>
</file>