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C012EA3" w14:textId="77777777" w:rsidR="0098229D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5B50B2">
              <w:rPr>
                <w:rFonts w:cs="Georgia"/>
                <w:b/>
                <w:bCs/>
                <w:color w:val="000000"/>
                <w:sz w:val="43"/>
                <w:szCs w:val="43"/>
              </w:rPr>
              <w:t>007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C80E92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  <w:p w14:paraId="2F732358" w14:textId="714E3F8A" w:rsidR="00784CC1" w:rsidRPr="00E34032" w:rsidRDefault="00784CC1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84CC1">
              <w:rPr>
                <w:rFonts w:cs="Georgia"/>
                <w:b/>
                <w:bCs/>
                <w:color w:val="000000"/>
                <w:sz w:val="18"/>
                <w:szCs w:val="18"/>
              </w:rPr>
              <w:t>Č.j.: ŘVC/39/2023/PEU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12005FEF" w:rsidR="00EF5B87" w:rsidRPr="009A22A4" w:rsidRDefault="00D44C00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44C00">
              <w:rPr>
                <w:rFonts w:cs="Georgia"/>
                <w:b/>
                <w:bCs/>
                <w:color w:val="000000"/>
              </w:rPr>
              <w:t>JUDr. Jindřich Vítek</w:t>
            </w:r>
          </w:p>
        </w:tc>
      </w:tr>
      <w:tr w:rsidR="00EF5B87" w:rsidRPr="00E24129" w14:paraId="400616F4" w14:textId="77777777" w:rsidTr="00D44C00">
        <w:trPr>
          <w:cantSplit/>
          <w:trHeight w:val="128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576E3F48" w:rsidR="00EF5B87" w:rsidRPr="00AF7E54" w:rsidRDefault="00D44C00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44C00">
              <w:rPr>
                <w:rFonts w:cs="Georgia"/>
                <w:color w:val="000000"/>
              </w:rPr>
              <w:t>Šafaříkova 201/17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0FD61295" w:rsidR="00EF5B87" w:rsidRPr="00AF7E54" w:rsidRDefault="00D44C00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44C00">
              <w:rPr>
                <w:rFonts w:cs="Georgia"/>
                <w:color w:val="000000"/>
              </w:rPr>
              <w:t>120 00 Praha 2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6300467C" w:rsidR="00EF5B87" w:rsidRPr="00AF7E54" w:rsidRDefault="00D44C00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44C00">
              <w:rPr>
                <w:rFonts w:cs="Georgia"/>
                <w:color w:val="000000"/>
              </w:rPr>
              <w:t>63622777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488C9C79" w:rsidR="00566F6C" w:rsidRPr="00D67FF4" w:rsidRDefault="00D44C00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D44C00">
              <w:rPr>
                <w:rFonts w:cs="Georgia"/>
                <w:color w:val="000000"/>
              </w:rPr>
              <w:t>CZ</w:t>
            </w:r>
            <w:bookmarkStart w:id="0" w:name="_Hlk124870312"/>
            <w:r w:rsidR="006E5903">
              <w:rPr>
                <w:rFonts w:cs="Georgia"/>
                <w:color w:val="000000"/>
              </w:rPr>
              <w:t>XXXXXXXXXXX</w:t>
            </w:r>
            <w:bookmarkEnd w:id="0"/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54FED1BD" w:rsidR="00EF5B87" w:rsidRPr="00AF7E54" w:rsidRDefault="006E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64FE4700" w:rsidR="00EF5B87" w:rsidRPr="00AF7E54" w:rsidRDefault="006E5903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59CA937D" w:rsidR="00EF5B87" w:rsidRPr="00AF7E54" w:rsidRDefault="006E5903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6075DE1A" w:rsidR="00EF5B87" w:rsidRPr="00AF7E54" w:rsidRDefault="006E5903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5381EA74" w:rsidR="00EF5B87" w:rsidRPr="00AF7E54" w:rsidRDefault="006E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038FEDE7" w:rsidR="00EF5B87" w:rsidRPr="00AF7E54" w:rsidRDefault="006E5903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60ABA91D" w:rsidR="00EF5B87" w:rsidRPr="000563D1" w:rsidRDefault="006E5903" w:rsidP="006E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3A91CA2C" w:rsidR="00EF5B87" w:rsidRPr="00AF7E54" w:rsidRDefault="006E5903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A793BF7" w14:textId="5A914071" w:rsidR="00DA0419" w:rsidRDefault="00D44C00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44C00">
              <w:rPr>
                <w:rFonts w:cs="Georgia"/>
                <w:color w:val="000000"/>
              </w:rPr>
              <w:t>Fyzická osoba podnikající dle jiných zákonů než živnostenského a zákona o zemědělství</w:t>
            </w:r>
          </w:p>
          <w:p w14:paraId="0CBB5C8E" w14:textId="6F48E54A" w:rsidR="00D44C00" w:rsidRPr="00816AA2" w:rsidRDefault="00D44C00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D44C00">
              <w:rPr>
                <w:rFonts w:cs="Georgia"/>
                <w:color w:val="000000"/>
              </w:rPr>
              <w:t>Evidenční číslo</w:t>
            </w:r>
            <w:r>
              <w:rPr>
                <w:rFonts w:cs="Georgia"/>
                <w:color w:val="000000"/>
              </w:rPr>
              <w:t xml:space="preserve"> ČAK </w:t>
            </w:r>
            <w:r w:rsidRPr="00D44C00">
              <w:rPr>
                <w:rFonts w:cs="Georgia"/>
                <w:color w:val="000000"/>
              </w:rPr>
              <w:t>09459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297EA611" w14:textId="77777777" w:rsidTr="00985ACF">
        <w:trPr>
          <w:cantSplit/>
          <w:trHeight w:val="1117"/>
        </w:trPr>
        <w:tc>
          <w:tcPr>
            <w:tcW w:w="10495" w:type="dxa"/>
            <w:gridSpan w:val="2"/>
          </w:tcPr>
          <w:p w14:paraId="46117092" w14:textId="40F148D4" w:rsidR="005B50B2" w:rsidRPr="005B50B2" w:rsidRDefault="00985ACF" w:rsidP="0098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4"/>
                <w:szCs w:val="24"/>
              </w:rPr>
            </w:pPr>
            <w:r w:rsidRPr="00985ACF">
              <w:rPr>
                <w:rFonts w:cs="Georgia"/>
                <w:sz w:val="24"/>
                <w:szCs w:val="24"/>
              </w:rPr>
              <w:t>Zpracování právního stanoviska k možnosti podat trestní oznámení a jeho případný sepis</w:t>
            </w:r>
            <w:r>
              <w:rPr>
                <w:rFonts w:cs="Georgia"/>
                <w:sz w:val="24"/>
                <w:szCs w:val="24"/>
              </w:rPr>
              <w:t>.</w:t>
            </w:r>
          </w:p>
          <w:p w14:paraId="52412D96" w14:textId="0FCABFAB" w:rsidR="00566F6C" w:rsidRPr="00E46FCA" w:rsidRDefault="00E46FCA" w:rsidP="0098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4"/>
                <w:szCs w:val="24"/>
              </w:rPr>
            </w:pPr>
            <w:r w:rsidRPr="00E46FCA">
              <w:rPr>
                <w:rFonts w:cs="Georgia"/>
                <w:sz w:val="24"/>
                <w:szCs w:val="24"/>
              </w:rPr>
              <w:t xml:space="preserve">Sjednaná odměna je </w:t>
            </w:r>
            <w:r w:rsidR="00140689">
              <w:rPr>
                <w:rFonts w:cs="Georgia"/>
                <w:sz w:val="24"/>
                <w:szCs w:val="24"/>
              </w:rPr>
              <w:t>25</w:t>
            </w:r>
            <w:r w:rsidR="00985ACF">
              <w:rPr>
                <w:rFonts w:cs="Georgia"/>
                <w:sz w:val="24"/>
                <w:szCs w:val="24"/>
              </w:rPr>
              <w:t>00,00</w:t>
            </w:r>
            <w:r w:rsidRPr="00E46FCA">
              <w:rPr>
                <w:rFonts w:cs="Georgia"/>
                <w:sz w:val="24"/>
                <w:szCs w:val="24"/>
              </w:rPr>
              <w:t xml:space="preserve"> Kč/hod</w:t>
            </w:r>
            <w:r w:rsidR="00985ACF">
              <w:rPr>
                <w:rFonts w:cs="Georgia"/>
                <w:sz w:val="24"/>
                <w:szCs w:val="24"/>
              </w:rPr>
              <w:t xml:space="preserve"> bez DPH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00E1E50F" w:rsidR="00D67FF4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5B50B2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5B50B2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5B50B2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5B50B2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5B50B2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</w:t>
            </w:r>
            <w:r w:rsidR="005B50B2" w:rsidRPr="005B50B2">
              <w:rPr>
                <w:rFonts w:cs="Arial"/>
                <w:color w:val="000000"/>
                <w:sz w:val="17"/>
                <w:szCs w:val="17"/>
              </w:rPr>
              <w:t>přehledu poskytnutých služeb.</w:t>
            </w:r>
            <w:r w:rsidRPr="005B50B2">
              <w:rPr>
                <w:rFonts w:cs="Arial"/>
                <w:color w:val="000000"/>
                <w:sz w:val="17"/>
                <w:szCs w:val="17"/>
              </w:rPr>
              <w:t xml:space="preserve"> Oprávněnou osobou odběratele pro převzetí předmětu plnění této objednávky</w:t>
            </w:r>
            <w:r w:rsidR="00816AA2" w:rsidRPr="005B50B2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6E5903" w:rsidRPr="006E5903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="006378B9" w:rsidRPr="005B50B2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5B50B2" w:rsidRPr="005B50B2">
              <w:rPr>
                <w:rFonts w:cs="Arial"/>
                <w:color w:val="000000"/>
                <w:sz w:val="17"/>
                <w:szCs w:val="17"/>
              </w:rPr>
              <w:t>vedoucí OVS</w:t>
            </w:r>
            <w:r w:rsidR="005B50B2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6E5903" w:rsidRPr="006E5903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="005B50B2">
              <w:rPr>
                <w:rFonts w:cs="Arial"/>
                <w:color w:val="000000"/>
                <w:sz w:val="17"/>
                <w:szCs w:val="17"/>
              </w:rPr>
              <w:t>, referent ORE</w:t>
            </w:r>
            <w:r w:rsidR="00834F23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578AAABB" w14:textId="05CB0B3C" w:rsidR="00834F23" w:rsidRPr="00834F23" w:rsidRDefault="00834F23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834F23">
              <w:rPr>
                <w:rFonts w:cs="Arial"/>
                <w:color w:val="000000"/>
                <w:sz w:val="17"/>
                <w:szCs w:val="17"/>
              </w:rPr>
              <w:t>Tato objednávka se uplatní také na poskytnuté právní služby, jež byly v souvislosti s předmětem plnění poskytnuty advokátem na žádost klienta před vyhotovením objednávky</w:t>
            </w:r>
          </w:p>
          <w:p w14:paraId="22FF4638" w14:textId="6FAED98A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</w:t>
            </w:r>
            <w:r w:rsidR="005B50B2">
              <w:rPr>
                <w:rFonts w:cs="Georgia"/>
                <w:b/>
                <w:color w:val="000000"/>
                <w:sz w:val="24"/>
                <w:szCs w:val="24"/>
              </w:rPr>
              <w:t>300 000,00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635A298" w14:textId="5DD0D4DD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</w:t>
            </w:r>
            <w:r w:rsidR="005B50B2">
              <w:rPr>
                <w:rFonts w:cs="Georgia"/>
                <w:b/>
                <w:color w:val="000000"/>
                <w:sz w:val="24"/>
                <w:szCs w:val="24"/>
              </w:rPr>
              <w:t xml:space="preserve">363 000,00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42AB694D" w14:textId="598462E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116212EF" w:rsidR="0098229D" w:rsidRPr="00142CB2" w:rsidRDefault="0098229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30110923" w:rsidR="0098229D" w:rsidRPr="00142CB2" w:rsidRDefault="00EC7310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11</w:t>
            </w:r>
            <w:r w:rsidR="00D44C00">
              <w:rPr>
                <w:rFonts w:cs="Georgia"/>
                <w:color w:val="000000"/>
                <w:sz w:val="21"/>
                <w:szCs w:val="21"/>
              </w:rPr>
              <w:t>. 1. 2023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AF1BBF1" w14:textId="2F7AB61A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5B50B2">
        <w:rPr>
          <w:rFonts w:cs="Calibri"/>
          <w:b/>
          <w:bCs/>
        </w:rPr>
        <w:t xml:space="preserve">Plnění bude financováno z: </w:t>
      </w:r>
      <w:r w:rsidR="005B50B2" w:rsidRPr="005B50B2">
        <w:rPr>
          <w:rFonts w:cs="Calibri"/>
          <w:b/>
          <w:bCs/>
        </w:rPr>
        <w:t>Státní</w:t>
      </w:r>
      <w:r w:rsidR="005B50B2">
        <w:rPr>
          <w:rFonts w:cs="Calibri"/>
          <w:b/>
          <w:bCs/>
        </w:rPr>
        <w:t xml:space="preserve"> rozpočet</w:t>
      </w:r>
    </w:p>
    <w:p w14:paraId="56C40D0D" w14:textId="11A8BF9E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6BFF8D9E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6E5903" w:rsidRPr="006E5903">
        <w:rPr>
          <w:b/>
          <w:bCs/>
        </w:rPr>
        <w:t>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248E4175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D44C00">
        <w:rPr>
          <w:b/>
          <w:bCs/>
        </w:rPr>
        <w:t>OVS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5ACA4D06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6E5903" w:rsidRPr="006E5903">
        <w:rPr>
          <w:b/>
          <w:bCs/>
        </w:rPr>
        <w:t>XXXXXXXXXXX</w:t>
      </w:r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9D13562" w14:textId="77777777" w:rsidR="00816AA2" w:rsidRPr="00566F6C" w:rsidRDefault="00816AA2" w:rsidP="004C54FB">
      <w:pPr>
        <w:spacing w:after="120"/>
      </w:pPr>
      <w:r w:rsidRPr="00816AA2">
        <w:t>Dne:</w:t>
      </w:r>
    </w:p>
    <w:sectPr w:rsidR="00816AA2" w:rsidRPr="00566F6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67AD" w14:textId="77777777" w:rsidR="00792027" w:rsidRDefault="00792027">
      <w:pPr>
        <w:spacing w:after="0" w:line="240" w:lineRule="auto"/>
      </w:pPr>
      <w:r>
        <w:separator/>
      </w:r>
    </w:p>
  </w:endnote>
  <w:endnote w:type="continuationSeparator" w:id="0">
    <w:p w14:paraId="425C1EAF" w14:textId="77777777" w:rsidR="00792027" w:rsidRDefault="0079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6895" w14:textId="77777777" w:rsidR="00792027" w:rsidRDefault="00792027">
      <w:pPr>
        <w:spacing w:after="0" w:line="240" w:lineRule="auto"/>
      </w:pPr>
      <w:r>
        <w:separator/>
      </w:r>
    </w:p>
  </w:footnote>
  <w:footnote w:type="continuationSeparator" w:id="0">
    <w:p w14:paraId="18F7E805" w14:textId="77777777" w:rsidR="00792027" w:rsidRDefault="0079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385320">
    <w:abstractNumId w:val="1"/>
  </w:num>
  <w:num w:numId="2" w16cid:durableId="55295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17559"/>
    <w:rsid w:val="001354F5"/>
    <w:rsid w:val="00140689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3496"/>
    <w:rsid w:val="002D437A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A292A"/>
    <w:rsid w:val="004C4BD3"/>
    <w:rsid w:val="004C54FB"/>
    <w:rsid w:val="004F1490"/>
    <w:rsid w:val="00504226"/>
    <w:rsid w:val="00505A0C"/>
    <w:rsid w:val="00534A12"/>
    <w:rsid w:val="00535C2D"/>
    <w:rsid w:val="005419A0"/>
    <w:rsid w:val="00542083"/>
    <w:rsid w:val="00542F67"/>
    <w:rsid w:val="0055523F"/>
    <w:rsid w:val="00566F6C"/>
    <w:rsid w:val="00567701"/>
    <w:rsid w:val="005716E0"/>
    <w:rsid w:val="00582B3C"/>
    <w:rsid w:val="00585546"/>
    <w:rsid w:val="005928C8"/>
    <w:rsid w:val="005A6748"/>
    <w:rsid w:val="005B50B2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B2D53"/>
    <w:rsid w:val="006B37BF"/>
    <w:rsid w:val="006B71F4"/>
    <w:rsid w:val="006C19DA"/>
    <w:rsid w:val="006D47EE"/>
    <w:rsid w:val="006E5903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25E39"/>
    <w:rsid w:val="00730E1E"/>
    <w:rsid w:val="00742CFF"/>
    <w:rsid w:val="007749D0"/>
    <w:rsid w:val="00775387"/>
    <w:rsid w:val="00775F44"/>
    <w:rsid w:val="007846C5"/>
    <w:rsid w:val="00784CC1"/>
    <w:rsid w:val="00785B87"/>
    <w:rsid w:val="00785C31"/>
    <w:rsid w:val="00786073"/>
    <w:rsid w:val="00792027"/>
    <w:rsid w:val="007A4ABD"/>
    <w:rsid w:val="007B4B59"/>
    <w:rsid w:val="007F333D"/>
    <w:rsid w:val="007F40AB"/>
    <w:rsid w:val="007F5C8C"/>
    <w:rsid w:val="0080434D"/>
    <w:rsid w:val="00805997"/>
    <w:rsid w:val="00816AA2"/>
    <w:rsid w:val="008302CA"/>
    <w:rsid w:val="00834F23"/>
    <w:rsid w:val="00836EC4"/>
    <w:rsid w:val="00840826"/>
    <w:rsid w:val="00850A1C"/>
    <w:rsid w:val="00852A6D"/>
    <w:rsid w:val="00882612"/>
    <w:rsid w:val="008C6BAA"/>
    <w:rsid w:val="008E4C60"/>
    <w:rsid w:val="009162BF"/>
    <w:rsid w:val="009532C2"/>
    <w:rsid w:val="00957E22"/>
    <w:rsid w:val="0096143E"/>
    <w:rsid w:val="0096739E"/>
    <w:rsid w:val="00976DF8"/>
    <w:rsid w:val="0098229D"/>
    <w:rsid w:val="0098239C"/>
    <w:rsid w:val="00985ACF"/>
    <w:rsid w:val="00987E92"/>
    <w:rsid w:val="009936F1"/>
    <w:rsid w:val="00994DDF"/>
    <w:rsid w:val="009C08F8"/>
    <w:rsid w:val="009C15B8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936BA"/>
    <w:rsid w:val="00BA0791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0E92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44C00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46FCA"/>
    <w:rsid w:val="00E510F5"/>
    <w:rsid w:val="00E71112"/>
    <w:rsid w:val="00E86BEE"/>
    <w:rsid w:val="00EB1537"/>
    <w:rsid w:val="00EB75C4"/>
    <w:rsid w:val="00EC6A26"/>
    <w:rsid w:val="00EC7310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85F35"/>
    <w:rsid w:val="00F92078"/>
    <w:rsid w:val="00F92A13"/>
    <w:rsid w:val="00FC6A81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C80E92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5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23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5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2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2023-01-17T16:52:00Z</dcterms:created>
  <dcterms:modified xsi:type="dcterms:W3CDTF">2023-01-17T16:52:00Z</dcterms:modified>
</cp:coreProperties>
</file>