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C731" w14:textId="1B742E84" w:rsidR="00073B8D" w:rsidRPr="004663E7" w:rsidRDefault="00073B8D" w:rsidP="00073B8D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B15F10">
        <w:rPr>
          <w:b/>
          <w:sz w:val="36"/>
          <w:szCs w:val="40"/>
        </w:rPr>
        <w:t>6</w:t>
      </w:r>
    </w:p>
    <w:p w14:paraId="3D52A16E" w14:textId="77777777" w:rsidR="00073B8D" w:rsidRPr="004663E7" w:rsidRDefault="00073B8D" w:rsidP="00073B8D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prodeje </w:t>
      </w:r>
      <w:r>
        <w:rPr>
          <w:b/>
          <w:sz w:val="36"/>
          <w:szCs w:val="40"/>
        </w:rPr>
        <w:t xml:space="preserve">elektronických </w:t>
      </w:r>
      <w:r w:rsidRPr="004663E7">
        <w:rPr>
          <w:b/>
          <w:sz w:val="36"/>
          <w:szCs w:val="40"/>
        </w:rPr>
        <w:t xml:space="preserve">dálničních </w:t>
      </w:r>
      <w:r>
        <w:rPr>
          <w:b/>
          <w:sz w:val="36"/>
          <w:szCs w:val="40"/>
        </w:rPr>
        <w:t>známek</w:t>
      </w:r>
    </w:p>
    <w:p w14:paraId="2607D1E7" w14:textId="77777777" w:rsidR="00073B8D" w:rsidRPr="004663E7" w:rsidRDefault="00073B8D" w:rsidP="00073B8D">
      <w:pPr>
        <w:spacing w:before="120" w:after="120" w:line="240" w:lineRule="auto"/>
        <w:rPr>
          <w:b/>
          <w:sz w:val="24"/>
          <w:szCs w:val="24"/>
        </w:rPr>
      </w:pPr>
    </w:p>
    <w:p w14:paraId="150C55B3" w14:textId="77777777" w:rsidR="00073B8D" w:rsidRPr="00C97A9D" w:rsidRDefault="00073B8D" w:rsidP="00073B8D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97A9D">
        <w:rPr>
          <w:b/>
        </w:rPr>
        <w:t>Úvod</w:t>
      </w:r>
    </w:p>
    <w:p w14:paraId="15407225" w14:textId="1BC61BEE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je povinen za podmínek stanovených touto přílohou č. </w:t>
      </w:r>
      <w:r w:rsidR="00B15F10" w:rsidRPr="00C97A9D">
        <w:t>6</w:t>
      </w:r>
      <w:r w:rsidRPr="00C97A9D">
        <w:t xml:space="preserve"> Smlouvy zajišťovat Prodej elektronických dálničních známek (dále jen „eDZ“) vydávaných Státním fondem dopravní infrastruktury, (dále jen „SFDI“), prostřednictvím APOST Terminálu umístěného u Partnera, konečným spotřebitelům (dále jen „zákazníci“). </w:t>
      </w:r>
    </w:p>
    <w:p w14:paraId="6467BF2B" w14:textId="77777777" w:rsidR="00073B8D" w:rsidRPr="00C97A9D" w:rsidRDefault="00073B8D" w:rsidP="00073B8D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97A9D">
        <w:rPr>
          <w:b/>
        </w:rPr>
        <w:t>Povinnosti Zástupce</w:t>
      </w:r>
    </w:p>
    <w:p w14:paraId="08D1C6BD" w14:textId="77777777" w:rsidR="00C97A9D" w:rsidRDefault="00073B8D" w:rsidP="00B25688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Při prodeji eDZ vydávaných SFDI je Zástupce povinen postupovat podle této přílohy č. </w:t>
      </w:r>
      <w:r w:rsidR="00B15F10" w:rsidRPr="00C97A9D">
        <w:t>6</w:t>
      </w:r>
      <w:r w:rsidRPr="00C97A9D">
        <w:t xml:space="preserve"> Smlouvy a</w:t>
      </w:r>
      <w:r w:rsidR="00AD3201" w:rsidRPr="00C97A9D">
        <w:t> </w:t>
      </w:r>
      <w:r w:rsidRPr="00C97A9D">
        <w:t xml:space="preserve">podle aktuální Technologické příručky pro Partnera, která podrobně upravuje technické detaily provádění jednotlivých úkonů při prodeji eDZ. </w:t>
      </w:r>
    </w:p>
    <w:p w14:paraId="40F385EA" w14:textId="6A1A2A33" w:rsidR="00073B8D" w:rsidRPr="00C97A9D" w:rsidRDefault="00073B8D" w:rsidP="00B25688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je povinen po celou dobu prodeje eDZ disponovat příslušným oprávněním k nákupu a prodeji zboží (maloobchodu). </w:t>
      </w:r>
    </w:p>
    <w:p w14:paraId="59652C8F" w14:textId="7730042C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>Zástupce je povinen zajišťovat prodej všech druhů eDZ zákazníkům (desetidenní, měsíční, roční) v plném rozsahu otevíracích hodin Partnera pro veřejnost. Omezit rozsah prodeje lze pouze se souhlasem ČP a</w:t>
      </w:r>
      <w:r w:rsidR="00AD3201" w:rsidRPr="00C97A9D">
        <w:t> </w:t>
      </w:r>
      <w:r w:rsidRPr="00C97A9D">
        <w:t>po</w:t>
      </w:r>
      <w:r w:rsidR="00AD3201" w:rsidRPr="00C97A9D">
        <w:t> </w:t>
      </w:r>
      <w:r w:rsidRPr="00C97A9D">
        <w:t xml:space="preserve">určenou dobu. </w:t>
      </w:r>
    </w:p>
    <w:p w14:paraId="196B5FE4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je povinen zajistit, že Partner bude označen oficiálním symbolem prodejního místa, vybaven informací o ceně jednotlivých druhů eDZ (samolepka, ceník) a informačními letáky. </w:t>
      </w:r>
    </w:p>
    <w:p w14:paraId="474A5D8F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je povinen prodávat eDZ podle pokynů ČP a způsobem uvedeným v aktuální Technologické příručce pro Partnera. </w:t>
      </w:r>
    </w:p>
    <w:p w14:paraId="0AF4057A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musí umožnit Zákazníkům provést změnu určení SPZ v případě jejího chybného určení, k níž byl uhrazen eDZ, a to ve lhůtě nejpozději do patnácti (15) minut od zaevidování úhrady eDZ. Provedení zápisu této změny na stejném Obchodním místě, v němž proběhla předmětná úhrada eDZ.   </w:t>
      </w:r>
    </w:p>
    <w:p w14:paraId="4E82DA95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>Zástupce je povinen prodávat eDZ za prodejní cenu pevně stanovenou pro jednotlivé druhy eDZ platným obecně závazným právním předpisem.</w:t>
      </w:r>
    </w:p>
    <w:p w14:paraId="0D0867FD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Jestliže je Partner vybaven příslušným platebním terminálem dodaným ČP, je Zástupce povinen zajistit, aby platba za nákup eDZ byla kupujícímu umožněna platební kartou vydanou v rámci všech hlavních kartových systémů.  </w:t>
      </w:r>
    </w:p>
    <w:p w14:paraId="168A10EE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umožní písemně pověřeným zaměstnancům SFDI provádět u Zástupce kontrolu dodržování postupů uvedených v aktuální Technologické příručce pro Partnera. </w:t>
      </w:r>
    </w:p>
    <w:p w14:paraId="49B840E5" w14:textId="77777777" w:rsidR="00073B8D" w:rsidRPr="00C97A9D" w:rsidRDefault="00073B8D" w:rsidP="00073B8D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97A9D">
        <w:rPr>
          <w:b/>
        </w:rPr>
        <w:t>Povinnosti ČP</w:t>
      </w:r>
    </w:p>
    <w:p w14:paraId="3C9E6124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ČP je povinna předat Zástupci vybavení uvedené v čl. 2.4. </w:t>
      </w:r>
    </w:p>
    <w:p w14:paraId="230174A7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ČP je povinna zajistit přístup do aplikace v APOST, která umožní prodej eDZ dle aktuálně platné Technologické příručky pro Partnera. </w:t>
      </w:r>
    </w:p>
    <w:p w14:paraId="09E4E497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ČP je povinna uhradit Zástupci za prodej eDZ odměnu ve výši sjednané v příloze č. 2 Smlouvy.  </w:t>
      </w:r>
    </w:p>
    <w:p w14:paraId="2D2237FE" w14:textId="77777777" w:rsidR="00073B8D" w:rsidRPr="00C97A9D" w:rsidRDefault="00073B8D" w:rsidP="00073B8D">
      <w:pPr>
        <w:spacing w:line="240" w:lineRule="auto"/>
      </w:pPr>
      <w:r w:rsidRPr="00C97A9D">
        <w:br w:type="page"/>
      </w:r>
    </w:p>
    <w:p w14:paraId="14CADB86" w14:textId="77777777" w:rsidR="00073B8D" w:rsidRPr="00C97A9D" w:rsidRDefault="00073B8D" w:rsidP="00073B8D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  <w:rPr>
          <w:b/>
        </w:rPr>
      </w:pPr>
      <w:r w:rsidRPr="00C97A9D">
        <w:rPr>
          <w:b/>
        </w:rPr>
        <w:lastRenderedPageBreak/>
        <w:t>Propagace služby</w:t>
      </w:r>
    </w:p>
    <w:p w14:paraId="45546BC3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504" w:hanging="510"/>
        <w:contextualSpacing w:val="0"/>
        <w:jc w:val="both"/>
      </w:pPr>
      <w:r w:rsidRPr="00C97A9D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14:paraId="52B6E7A3" w14:textId="51F51AB7" w:rsidR="00073B8D" w:rsidRPr="00C97A9D" w:rsidRDefault="00073B8D" w:rsidP="00073B8D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center"/>
      </w:pPr>
      <w:r w:rsidRPr="00C97A9D">
        <w:rPr>
          <w:b/>
        </w:rPr>
        <w:t>Změny přílohy č</w:t>
      </w:r>
      <w:r w:rsidR="00B15F10" w:rsidRPr="00C97A9D">
        <w:rPr>
          <w:b/>
        </w:rPr>
        <w:t>. 6</w:t>
      </w:r>
    </w:p>
    <w:p w14:paraId="4DE14336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</w:pPr>
      <w:r w:rsidRPr="00C97A9D">
        <w:t xml:space="preserve">ČP je oprávněna kdykoliv rozhodnout o ukončení prodeje eDZ podle této Přílohy. </w:t>
      </w:r>
    </w:p>
    <w:p w14:paraId="55DC5724" w14:textId="77777777" w:rsidR="00073B8D" w:rsidRPr="00C97A9D" w:rsidRDefault="00073B8D" w:rsidP="00C97A9D">
      <w:pPr>
        <w:pStyle w:val="Odstavecseseznamem"/>
        <w:numPr>
          <w:ilvl w:val="1"/>
          <w:numId w:val="9"/>
        </w:numPr>
        <w:spacing w:before="120" w:after="120" w:line="240" w:lineRule="auto"/>
        <w:ind w:left="453" w:hanging="510"/>
        <w:contextualSpacing w:val="0"/>
        <w:jc w:val="both"/>
      </w:pPr>
      <w:r w:rsidRPr="00C97A9D">
        <w:t xml:space="preserve">Změna této přílohy je možná pouze na základě písemného dodatku podepsaného oběma smluvními stranami. </w:t>
      </w:r>
    </w:p>
    <w:p w14:paraId="0107E8D5" w14:textId="77777777" w:rsidR="00073B8D" w:rsidRPr="00C97A9D" w:rsidRDefault="00073B8D" w:rsidP="00C97A9D">
      <w:pPr>
        <w:ind w:left="453" w:hanging="510"/>
      </w:pPr>
    </w:p>
    <w:p w14:paraId="12801ED3" w14:textId="2D0DDD15" w:rsidR="003E0E92" w:rsidRPr="00C97A9D" w:rsidRDefault="003E0E92" w:rsidP="007F5F70">
      <w:bookmarkStart w:id="0" w:name="_GoBack"/>
      <w:bookmarkEnd w:id="0"/>
    </w:p>
    <w:sectPr w:rsidR="003E0E92" w:rsidRPr="00C97A9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9F33" w14:textId="77777777" w:rsidR="0020778B" w:rsidRDefault="0020778B" w:rsidP="00BB2C84">
      <w:pPr>
        <w:spacing w:line="240" w:lineRule="auto"/>
      </w:pPr>
      <w:r>
        <w:separator/>
      </w:r>
    </w:p>
  </w:endnote>
  <w:endnote w:type="continuationSeparator" w:id="0">
    <w:p w14:paraId="1EDCBCB1" w14:textId="77777777" w:rsidR="0020778B" w:rsidRDefault="0020778B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2EF6" w14:textId="218CBBA6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20778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20778B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2C6866C4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2C49" w14:textId="77777777" w:rsidR="0020778B" w:rsidRDefault="0020778B" w:rsidP="00BB2C84">
      <w:pPr>
        <w:spacing w:line="240" w:lineRule="auto"/>
      </w:pPr>
      <w:r>
        <w:separator/>
      </w:r>
    </w:p>
  </w:footnote>
  <w:footnote w:type="continuationSeparator" w:id="0">
    <w:p w14:paraId="74979DE5" w14:textId="77777777" w:rsidR="0020778B" w:rsidRDefault="0020778B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0544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C94D433" wp14:editId="649D703B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992E6" w14:textId="4F51C6FC" w:rsidR="00073B8D" w:rsidRPr="00C97A9D" w:rsidRDefault="00073B8D" w:rsidP="00073B8D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 w:rsidRPr="00C97A9D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 xml:space="preserve">Příloha č. </w:t>
                          </w:r>
                          <w:r w:rsidR="00B15F10" w:rsidRPr="00C97A9D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6</w:t>
                          </w:r>
                        </w:p>
                        <w:p w14:paraId="2B13F84B" w14:textId="41155B52" w:rsidR="00E22101" w:rsidRPr="00C97A9D" w:rsidRDefault="00073B8D" w:rsidP="00073B8D">
                          <w:pP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 w:rsidRPr="00C97A9D"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Pravidla prodeje elektronických dálničních známek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4D4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25C992E6" w14:textId="4F51C6FC" w:rsidR="00073B8D" w:rsidRPr="00C97A9D" w:rsidRDefault="00073B8D" w:rsidP="00073B8D">
                    <w:pPr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 w:rsidRPr="00C97A9D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 xml:space="preserve">Příloha č. </w:t>
                    </w:r>
                    <w:r w:rsidR="00B15F10" w:rsidRPr="00C97A9D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6</w:t>
                    </w:r>
                  </w:p>
                  <w:p w14:paraId="2B13F84B" w14:textId="41155B52" w:rsidR="00E22101" w:rsidRPr="00C97A9D" w:rsidRDefault="00073B8D" w:rsidP="00073B8D">
                    <w:pPr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 w:rsidRPr="00C97A9D"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Pravidla prodeje elektronických dálničních známek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E7811F" wp14:editId="7A513523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1C29EE"/>
    <w:multiLevelType w:val="multilevel"/>
    <w:tmpl w:val="454E21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A3"/>
    <w:rsid w:val="00054997"/>
    <w:rsid w:val="00073B8D"/>
    <w:rsid w:val="0008493D"/>
    <w:rsid w:val="000E241F"/>
    <w:rsid w:val="000E4D84"/>
    <w:rsid w:val="001204DD"/>
    <w:rsid w:val="00157D8C"/>
    <w:rsid w:val="00160A6D"/>
    <w:rsid w:val="00180824"/>
    <w:rsid w:val="00191C10"/>
    <w:rsid w:val="001B4637"/>
    <w:rsid w:val="002041BD"/>
    <w:rsid w:val="0020778B"/>
    <w:rsid w:val="002235CC"/>
    <w:rsid w:val="00232CBE"/>
    <w:rsid w:val="002367ED"/>
    <w:rsid w:val="00293D44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5E4BA3"/>
    <w:rsid w:val="00602989"/>
    <w:rsid w:val="0066614B"/>
    <w:rsid w:val="0067622E"/>
    <w:rsid w:val="006B13BF"/>
    <w:rsid w:val="006D5741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7F5F70"/>
    <w:rsid w:val="00834B01"/>
    <w:rsid w:val="00857729"/>
    <w:rsid w:val="008A07A1"/>
    <w:rsid w:val="008A08ED"/>
    <w:rsid w:val="00993718"/>
    <w:rsid w:val="009E3EF0"/>
    <w:rsid w:val="00A40F40"/>
    <w:rsid w:val="00A47954"/>
    <w:rsid w:val="00A723AC"/>
    <w:rsid w:val="00A77E95"/>
    <w:rsid w:val="00AA0618"/>
    <w:rsid w:val="00AB284E"/>
    <w:rsid w:val="00AD3201"/>
    <w:rsid w:val="00AF2396"/>
    <w:rsid w:val="00B0168C"/>
    <w:rsid w:val="00B15F10"/>
    <w:rsid w:val="00B313CF"/>
    <w:rsid w:val="00BB2C84"/>
    <w:rsid w:val="00C9501A"/>
    <w:rsid w:val="00C97823"/>
    <w:rsid w:val="00C97A9D"/>
    <w:rsid w:val="00CB1E2D"/>
    <w:rsid w:val="00CC416D"/>
    <w:rsid w:val="00D11957"/>
    <w:rsid w:val="00D45A5B"/>
    <w:rsid w:val="00D70C50"/>
    <w:rsid w:val="00D856C6"/>
    <w:rsid w:val="00D97D68"/>
    <w:rsid w:val="00DF5122"/>
    <w:rsid w:val="00E13657"/>
    <w:rsid w:val="00E17391"/>
    <w:rsid w:val="00E22101"/>
    <w:rsid w:val="00E25713"/>
    <w:rsid w:val="00E32E8A"/>
    <w:rsid w:val="00E5459E"/>
    <w:rsid w:val="00E56256"/>
    <w:rsid w:val="00E6080F"/>
    <w:rsid w:val="00F15FA1"/>
    <w:rsid w:val="00F2387F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8534"/>
  <w15:docId w15:val="{DBD26182-2B91-4FF4-9660-9470AF9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BA3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cpNormal">
    <w:name w:val="cp_Normal"/>
    <w:basedOn w:val="Normln"/>
    <w:qFormat/>
    <w:rsid w:val="005E4BA3"/>
    <w:pPr>
      <w:spacing w:after="260" w:line="260" w:lineRule="atLeast"/>
    </w:pPr>
  </w:style>
  <w:style w:type="table" w:styleId="Mkatabulky">
    <w:name w:val="Table Grid"/>
    <w:basedOn w:val="Normlntabulka"/>
    <w:uiPriority w:val="59"/>
    <w:rsid w:val="005E4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E4BA3"/>
    <w:pPr>
      <w:ind w:left="720"/>
      <w:contextualSpacing/>
    </w:pPr>
  </w:style>
  <w:style w:type="paragraph" w:customStyle="1" w:styleId="P-NORMAL-TEXT">
    <w:name w:val="ČP-NORMAL-TEXT"/>
    <w:rsid w:val="00D97D6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5416\Documents\NOV&#282;%201.5.2022\Po&#353;ta%20Partner\Nov&#253;%20vzor%20Smlouvy%20P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2285-1651-4033-8C5F-87E8EA67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typová_barva_SPS.dotx</Template>
  <TotalTime>11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Stanovská Žaneta</dc:creator>
  <cp:lastModifiedBy>Štěpánová Pavla Bc.</cp:lastModifiedBy>
  <cp:revision>9</cp:revision>
  <dcterms:created xsi:type="dcterms:W3CDTF">2022-05-13T09:06:00Z</dcterms:created>
  <dcterms:modified xsi:type="dcterms:W3CDTF">2022-11-09T11:00:00Z</dcterms:modified>
</cp:coreProperties>
</file>