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A7FB"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1FE41510" w14:textId="668B4D58"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E35558" w:rsidRPr="00E35558">
        <w:rPr>
          <w:b/>
          <w:color w:val="1F497D"/>
          <w:sz w:val="32"/>
          <w:szCs w:val="32"/>
        </w:rPr>
        <w:t>termovizních binokulárních přístrojů</w:t>
      </w:r>
      <w:r w:rsidR="009F500E">
        <w:rPr>
          <w:b/>
          <w:color w:val="1F497D"/>
          <w:sz w:val="32"/>
          <w:szCs w:val="32"/>
        </w:rPr>
        <w:t xml:space="preserve"> </w:t>
      </w:r>
    </w:p>
    <w:p w14:paraId="0C08C83A" w14:textId="77777777" w:rsidR="006135FA" w:rsidRDefault="006135FA" w:rsidP="00330437">
      <w:pPr>
        <w:pStyle w:val="Styl2popisknzvusmlouvy"/>
      </w:pPr>
      <w:r>
        <w:t xml:space="preserve"> (dále jen „Smlouva“)</w:t>
      </w:r>
    </w:p>
    <w:p w14:paraId="47F62280" w14:textId="5429308D"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C66923">
        <w:t>,</w:t>
      </w:r>
    </w:p>
    <w:p w14:paraId="4C52F4C2" w14:textId="1FB3CAED" w:rsidR="006135FA" w:rsidRDefault="006135FA" w:rsidP="00330437">
      <w:pPr>
        <w:pStyle w:val="Styl2popisknzvusmlouvy"/>
        <w:spacing w:after="480"/>
      </w:pPr>
      <w:r>
        <w:t xml:space="preserve">č.j. </w:t>
      </w:r>
      <w:r w:rsidR="006A392C" w:rsidRPr="006A392C">
        <w:t>S/ŘVC/</w:t>
      </w:r>
      <w:r w:rsidR="00F816C6">
        <w:t>23</w:t>
      </w:r>
      <w:r w:rsidR="00E35558">
        <w:t>3</w:t>
      </w:r>
      <w:r w:rsidR="006A392C" w:rsidRPr="006A392C">
        <w:t>/OSE/KUP/20</w:t>
      </w:r>
      <w:r w:rsidR="006A392C">
        <w:t>21</w:t>
      </w:r>
    </w:p>
    <w:p w14:paraId="2A01164C" w14:textId="77777777" w:rsidR="006A392C" w:rsidRPr="00F308A3" w:rsidRDefault="006A392C" w:rsidP="006A392C">
      <w:pPr>
        <w:pStyle w:val="Styl3-Smluvnstrany"/>
        <w:spacing w:after="480"/>
        <w:rPr>
          <w:b/>
        </w:rPr>
      </w:pPr>
      <w:r w:rsidRPr="00F308A3">
        <w:rPr>
          <w:b/>
        </w:rPr>
        <w:t>Česká republika – Ředitelství vodních cest ČR</w:t>
      </w:r>
    </w:p>
    <w:p w14:paraId="06C1238D" w14:textId="77777777" w:rsidR="006A392C" w:rsidRPr="00F308A3" w:rsidRDefault="006A392C" w:rsidP="006A392C">
      <w:pPr>
        <w:pStyle w:val="Styl3-Smluvnstrany"/>
        <w:spacing w:after="480"/>
        <w:rPr>
          <w:bCs/>
          <w:sz w:val="20"/>
          <w:szCs w:val="20"/>
        </w:rPr>
      </w:pPr>
      <w:r w:rsidRPr="00F308A3">
        <w:rPr>
          <w:bCs/>
          <w:sz w:val="20"/>
          <w:szCs w:val="20"/>
        </w:rPr>
        <w:t>organizační složka státu zřízená Ministerstvem dopravy České republiky, a to Rozhodnutím ministra dopravy a spojů České republiky, č. 849/98-KM ze dne 12. 3. 1998 (Zřizovací listina č. 849/98-KM ze dne 12. 3. 1998, ve znění Dodatků č. 1, 2, 3, 4, 5, 6, 7, 8, 9, 11 a 12)</w:t>
      </w:r>
    </w:p>
    <w:p w14:paraId="3A7D85B4" w14:textId="77777777" w:rsidR="006A392C" w:rsidRPr="00E05187" w:rsidRDefault="006A392C" w:rsidP="006A392C">
      <w:pPr>
        <w:pStyle w:val="Styl3-Smluvnstrany"/>
        <w:spacing w:after="480"/>
      </w:pPr>
      <w:r>
        <w:t>Sídlo pověřujícího zadavatele:</w:t>
      </w:r>
      <w:r w:rsidRPr="00F308A3">
        <w:t xml:space="preserve"> </w:t>
      </w:r>
      <w:r>
        <w:tab/>
      </w:r>
      <w:r w:rsidRPr="00F308A3">
        <w:t>nábř. L. Svobody 1222/12, 110 15 Praha 1</w:t>
      </w:r>
    </w:p>
    <w:p w14:paraId="7C7F2E0B" w14:textId="77777777" w:rsidR="006A392C" w:rsidRPr="00E05187" w:rsidRDefault="006A392C" w:rsidP="006A392C">
      <w:pPr>
        <w:pStyle w:val="Styl3-Smluvnstrany"/>
        <w:spacing w:after="480"/>
      </w:pPr>
      <w:r w:rsidRPr="00E05187">
        <w:t xml:space="preserve">za niž jedná: </w:t>
      </w:r>
      <w:r>
        <w:tab/>
      </w:r>
      <w:r>
        <w:tab/>
      </w:r>
      <w:r>
        <w:tab/>
      </w:r>
      <w:r>
        <w:tab/>
      </w:r>
      <w:r w:rsidRPr="00F308A3">
        <w:t>Ing. Lubomír Fojtů, ředitel</w:t>
      </w:r>
    </w:p>
    <w:p w14:paraId="36164C2A" w14:textId="77777777" w:rsidR="006A392C" w:rsidRPr="00E05187" w:rsidRDefault="006A392C" w:rsidP="006A392C">
      <w:pPr>
        <w:pStyle w:val="Styl3-Smluvnstrany"/>
        <w:spacing w:after="480"/>
      </w:pPr>
      <w:r>
        <w:t xml:space="preserve">IČO: </w:t>
      </w:r>
      <w:r>
        <w:tab/>
      </w:r>
      <w:r>
        <w:tab/>
      </w:r>
      <w:r>
        <w:tab/>
      </w:r>
      <w:r>
        <w:tab/>
      </w:r>
      <w:r>
        <w:tab/>
      </w:r>
      <w:r w:rsidRPr="00F308A3">
        <w:t>67981801</w:t>
      </w:r>
    </w:p>
    <w:p w14:paraId="1074BDF4" w14:textId="135FE27E" w:rsidR="006A392C" w:rsidRPr="00E05187" w:rsidRDefault="006A392C" w:rsidP="006A392C">
      <w:pPr>
        <w:pStyle w:val="Styl3-Smluvnstrany"/>
        <w:spacing w:after="480"/>
      </w:pPr>
      <w:r>
        <w:t xml:space="preserve">bankovní spojení: </w:t>
      </w:r>
      <w:r>
        <w:tab/>
      </w:r>
      <w:r>
        <w:tab/>
      </w:r>
      <w:r>
        <w:tab/>
      </w:r>
      <w:r w:rsidR="00B61152">
        <w:t>XXXXXXXXXXX</w:t>
      </w:r>
    </w:p>
    <w:p w14:paraId="69A7F32F" w14:textId="77777777" w:rsidR="006A392C" w:rsidRDefault="006A392C" w:rsidP="006A392C">
      <w:pPr>
        <w:pStyle w:val="Styl3-Smluvnstrany"/>
        <w:spacing w:after="480"/>
      </w:pPr>
      <w:r w:rsidRPr="00E05187">
        <w:t>ID datové s</w:t>
      </w:r>
      <w:r>
        <w:t xml:space="preserve">chránky: </w:t>
      </w:r>
      <w:r>
        <w:tab/>
      </w:r>
      <w:r>
        <w:tab/>
      </w:r>
      <w:r>
        <w:tab/>
      </w:r>
      <w:r w:rsidRPr="00F308A3">
        <w:t>ndn5skh</w:t>
      </w:r>
    </w:p>
    <w:p w14:paraId="6B293F18" w14:textId="77777777" w:rsidR="006A392C" w:rsidRDefault="006A392C" w:rsidP="006A392C">
      <w:pPr>
        <w:pStyle w:val="Styl3-Smluvnstrany"/>
      </w:pPr>
      <w:r>
        <w:t>(dále jen „Kupující“)</w:t>
      </w:r>
    </w:p>
    <w:p w14:paraId="6BA43520" w14:textId="615C38EF" w:rsidR="00ED33DA" w:rsidRDefault="00ED33DA" w:rsidP="00ED33DA">
      <w:pPr>
        <w:pStyle w:val="Styl3-Smluvnstrany"/>
      </w:pPr>
    </w:p>
    <w:p w14:paraId="5B85DC73" w14:textId="77777777" w:rsidR="00ED33DA" w:rsidRDefault="00ED33DA" w:rsidP="00ED33DA">
      <w:r>
        <w:t>a</w:t>
      </w:r>
    </w:p>
    <w:p w14:paraId="39671459" w14:textId="77777777" w:rsidR="006135FA" w:rsidRDefault="006135FA" w:rsidP="00B332F0"/>
    <w:p w14:paraId="04F480A4" w14:textId="77777777" w:rsidR="00000844" w:rsidRPr="00000844" w:rsidRDefault="00000844" w:rsidP="00000844">
      <w:pPr>
        <w:pStyle w:val="Styl3-Smluvnstrany"/>
        <w:rPr>
          <w:b/>
        </w:rPr>
      </w:pPr>
      <w:r w:rsidRPr="00000844">
        <w:rPr>
          <w:b/>
        </w:rPr>
        <w:t>TSUNAMI, spol. s r.o.</w:t>
      </w:r>
    </w:p>
    <w:p w14:paraId="32F7CCD3" w14:textId="2DAAB28F" w:rsidR="00000844" w:rsidRPr="00000844" w:rsidRDefault="00000844" w:rsidP="00000844">
      <w:pPr>
        <w:pStyle w:val="Styl3-Smluvnstrany"/>
        <w:rPr>
          <w:b/>
        </w:rPr>
      </w:pPr>
      <w:r w:rsidRPr="00000844">
        <w:rPr>
          <w:b/>
        </w:rPr>
        <w:t xml:space="preserve">Zastoupená: </w:t>
      </w:r>
      <w:r w:rsidRPr="00000844">
        <w:rPr>
          <w:b/>
        </w:rPr>
        <w:tab/>
      </w:r>
      <w:r w:rsidR="00B61152" w:rsidRPr="00B61152">
        <w:rPr>
          <w:b/>
        </w:rPr>
        <w:t>XXXXXXXXXXX</w:t>
      </w:r>
    </w:p>
    <w:p w14:paraId="67798BCC" w14:textId="77777777" w:rsidR="00000844" w:rsidRPr="00000844" w:rsidRDefault="00000844" w:rsidP="00000844">
      <w:pPr>
        <w:pStyle w:val="Styl3-Smluvnstrany"/>
        <w:rPr>
          <w:b/>
        </w:rPr>
      </w:pPr>
      <w:r w:rsidRPr="00000844">
        <w:rPr>
          <w:b/>
        </w:rPr>
        <w:t xml:space="preserve">Sídlo: </w:t>
      </w:r>
      <w:r w:rsidRPr="00000844">
        <w:rPr>
          <w:b/>
        </w:rPr>
        <w:tab/>
      </w:r>
      <w:r w:rsidRPr="00000844">
        <w:rPr>
          <w:b/>
        </w:rPr>
        <w:tab/>
        <w:t>Mírové náměstí 18/10, 41201 Litoměřice</w:t>
      </w:r>
    </w:p>
    <w:p w14:paraId="3CF50673" w14:textId="77777777" w:rsidR="00000844" w:rsidRPr="00000844" w:rsidRDefault="00000844" w:rsidP="00000844">
      <w:pPr>
        <w:pStyle w:val="Styl3-Smluvnstrany"/>
        <w:rPr>
          <w:b/>
        </w:rPr>
      </w:pPr>
      <w:r w:rsidRPr="00000844">
        <w:rPr>
          <w:b/>
        </w:rPr>
        <w:t xml:space="preserve">IČ: </w:t>
      </w:r>
      <w:r w:rsidRPr="00000844">
        <w:rPr>
          <w:b/>
        </w:rPr>
        <w:tab/>
      </w:r>
      <w:r w:rsidRPr="00000844">
        <w:rPr>
          <w:b/>
        </w:rPr>
        <w:tab/>
        <w:t>48266621</w:t>
      </w:r>
    </w:p>
    <w:p w14:paraId="1F052E7D" w14:textId="69DCC995" w:rsidR="00000844" w:rsidRPr="00000844" w:rsidRDefault="00000844" w:rsidP="00000844">
      <w:pPr>
        <w:pStyle w:val="Styl3-Smluvnstrany"/>
        <w:rPr>
          <w:b/>
        </w:rPr>
      </w:pPr>
      <w:r w:rsidRPr="00000844">
        <w:rPr>
          <w:b/>
        </w:rPr>
        <w:t xml:space="preserve">DIČ: </w:t>
      </w:r>
      <w:r w:rsidRPr="00000844">
        <w:rPr>
          <w:b/>
        </w:rPr>
        <w:tab/>
      </w:r>
      <w:r w:rsidR="00E67843">
        <w:rPr>
          <w:b/>
        </w:rPr>
        <w:tab/>
      </w:r>
      <w:r w:rsidRPr="00000844">
        <w:rPr>
          <w:b/>
        </w:rPr>
        <w:t>CZ48266621</w:t>
      </w:r>
    </w:p>
    <w:p w14:paraId="24D53A8B" w14:textId="0B4890EA" w:rsidR="00000844" w:rsidRPr="00000844" w:rsidRDefault="00000844" w:rsidP="00000844">
      <w:pPr>
        <w:pStyle w:val="Styl3-Smluvnstrany"/>
        <w:rPr>
          <w:b/>
        </w:rPr>
      </w:pPr>
      <w:r w:rsidRPr="00000844">
        <w:rPr>
          <w:b/>
        </w:rPr>
        <w:t xml:space="preserve">Bankovní spojení: </w:t>
      </w:r>
      <w:r w:rsidRPr="00000844">
        <w:rPr>
          <w:b/>
        </w:rPr>
        <w:tab/>
      </w:r>
      <w:r w:rsidR="00B61152" w:rsidRPr="00B61152">
        <w:rPr>
          <w:b/>
        </w:rPr>
        <w:t>XXXXXXXXXXX</w:t>
      </w:r>
    </w:p>
    <w:p w14:paraId="2333A4C3" w14:textId="5F722B09" w:rsidR="00000844" w:rsidRPr="00000844" w:rsidRDefault="00000844" w:rsidP="00000844">
      <w:pPr>
        <w:pStyle w:val="Styl3-Smluvnstrany"/>
        <w:rPr>
          <w:b/>
        </w:rPr>
      </w:pPr>
      <w:r w:rsidRPr="00000844">
        <w:rPr>
          <w:b/>
        </w:rPr>
        <w:t xml:space="preserve">Číslo účtu: </w:t>
      </w:r>
      <w:r w:rsidRPr="00000844">
        <w:rPr>
          <w:b/>
        </w:rPr>
        <w:tab/>
      </w:r>
      <w:r w:rsidR="00B61152" w:rsidRPr="00B61152">
        <w:rPr>
          <w:b/>
        </w:rPr>
        <w:t>XXXXXXXXXXX</w:t>
      </w:r>
    </w:p>
    <w:p w14:paraId="0F44A482" w14:textId="5E991DDA" w:rsidR="00000844" w:rsidRPr="00000844" w:rsidRDefault="00000844" w:rsidP="00000844">
      <w:pPr>
        <w:pStyle w:val="Styl3-Smluvnstrany"/>
        <w:rPr>
          <w:b/>
        </w:rPr>
      </w:pPr>
      <w:r w:rsidRPr="00000844">
        <w:rPr>
          <w:b/>
        </w:rPr>
        <w:t xml:space="preserve">Telefon: </w:t>
      </w:r>
      <w:r w:rsidRPr="00000844">
        <w:rPr>
          <w:b/>
        </w:rPr>
        <w:tab/>
      </w:r>
      <w:r w:rsidR="00B61152" w:rsidRPr="00B61152">
        <w:rPr>
          <w:b/>
        </w:rPr>
        <w:t>XXXXXXXXXXX</w:t>
      </w:r>
    </w:p>
    <w:p w14:paraId="6A1C237D" w14:textId="0FDEBD6F" w:rsidR="006135FA" w:rsidRDefault="00000844" w:rsidP="00000844">
      <w:pPr>
        <w:pStyle w:val="Styl3-Smluvnstrany"/>
      </w:pPr>
      <w:r w:rsidRPr="00000844">
        <w:rPr>
          <w:b/>
        </w:rPr>
        <w:t xml:space="preserve">e-mail: </w:t>
      </w:r>
      <w:r w:rsidRPr="00000844">
        <w:rPr>
          <w:b/>
        </w:rPr>
        <w:tab/>
      </w:r>
      <w:r w:rsidR="00B61152" w:rsidRPr="00B61152">
        <w:rPr>
          <w:b/>
        </w:rPr>
        <w:t>XXXXXXXXXXX</w:t>
      </w:r>
      <w:r w:rsidR="00B61152" w:rsidRPr="00B61152">
        <w:rPr>
          <w:b/>
        </w:rPr>
        <w:t xml:space="preserve"> </w:t>
      </w:r>
      <w:r w:rsidR="006135FA">
        <w:t>(dále jen „Prodávající“)</w:t>
      </w:r>
    </w:p>
    <w:p w14:paraId="548A5AA2" w14:textId="77777777" w:rsidR="006135FA" w:rsidRDefault="006135FA" w:rsidP="00F8331E">
      <w:pPr>
        <w:pStyle w:val="Styl3-Smluvnstrany"/>
      </w:pPr>
    </w:p>
    <w:p w14:paraId="5AC3EC17"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29451622" w14:textId="77777777" w:rsidR="006135FA" w:rsidRDefault="006135FA" w:rsidP="00FD2054">
      <w:pPr>
        <w:pStyle w:val="Nadpis1"/>
        <w:ind w:left="3904"/>
        <w:jc w:val="left"/>
      </w:pPr>
      <w:r>
        <w:t>Předmět Smlouvy</w:t>
      </w:r>
    </w:p>
    <w:p w14:paraId="5A6EDFC8"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6A8BD5CB"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1195BA4B"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5B573649" w14:textId="14DAD227" w:rsidR="004B742F" w:rsidRPr="004B742F" w:rsidRDefault="004B742F" w:rsidP="004B742F">
      <w:pPr>
        <w:pStyle w:val="Nadpis2"/>
        <w:tabs>
          <w:tab w:val="num" w:pos="576"/>
        </w:tabs>
        <w:ind w:left="786"/>
      </w:pPr>
      <w:r w:rsidRPr="00EA4A06">
        <w:t>Tato Smlouva se uzavírá na základě výsledků zadávacího řízení na veřejnou zakázku s názvem „</w:t>
      </w:r>
      <w:r w:rsidR="003D2057" w:rsidRPr="003D2057">
        <w:t>Dodávka přenosných sonarů, dalekohledů s laserovým dálkoměrem, termovizních binokulárních přístrojů a podvodních dronů – OPAKOVANÉ ŘÍZENÍ</w:t>
      </w:r>
      <w:r w:rsidRPr="00EA4A06">
        <w:t>“</w:t>
      </w:r>
      <w:r>
        <w:t xml:space="preserve">, část </w:t>
      </w:r>
      <w:r w:rsidR="003D2057">
        <w:t>4</w:t>
      </w:r>
      <w:r>
        <w:t xml:space="preserve">: </w:t>
      </w:r>
      <w:r w:rsidRPr="004B742F">
        <w:t>Dodávka termovizních binokulárních přístrojů</w:t>
      </w:r>
      <w:r>
        <w:t>, vedeného Kupujícím</w:t>
      </w:r>
      <w:r w:rsidRPr="00EA4A06">
        <w:t xml:space="preserve"> jako zadavatelem této veřejné zakázky (dále jen „</w:t>
      </w:r>
      <w:r>
        <w:t>z</w:t>
      </w:r>
      <w:r w:rsidRPr="0098432F">
        <w:t>adávací řízení</w:t>
      </w:r>
      <w:r w:rsidRPr="00EA4A06">
        <w:t>“</w:t>
      </w:r>
      <w:r>
        <w:t xml:space="preserve"> a „v</w:t>
      </w:r>
      <w:r w:rsidRPr="0098432F">
        <w:t>eřejná zakázka</w:t>
      </w:r>
      <w:r>
        <w:t>“</w:t>
      </w:r>
      <w:r w:rsidRPr="00EA4A06">
        <w:t xml:space="preserve">). </w:t>
      </w:r>
      <w:r>
        <w:t>Prodávající</w:t>
      </w:r>
      <w:r w:rsidRPr="00EA4A06">
        <w:t xml:space="preserve"> podal pro účast v tomto zadávacím řízení nabídku, která byla vyhodnocena jako nejvýhodnější</w:t>
      </w:r>
      <w:r>
        <w:t>.</w:t>
      </w:r>
    </w:p>
    <w:p w14:paraId="38189827" w14:textId="77777777" w:rsidR="006135FA" w:rsidRDefault="006135FA" w:rsidP="00FD2054">
      <w:pPr>
        <w:pStyle w:val="Nadpis1"/>
        <w:ind w:left="3904"/>
        <w:jc w:val="left"/>
      </w:pPr>
      <w:r>
        <w:t>Předmět koupě</w:t>
      </w:r>
    </w:p>
    <w:p w14:paraId="2291DFE5" w14:textId="77777777" w:rsidR="006135FA" w:rsidRDefault="006135FA" w:rsidP="0056725D">
      <w:pPr>
        <w:pStyle w:val="Nadpis2"/>
        <w:tabs>
          <w:tab w:val="num" w:pos="576"/>
        </w:tabs>
        <w:ind w:left="786"/>
      </w:pPr>
      <w:r>
        <w:t>Předmět koupě tvoří následující movité věci (části Předmětu koupě):</w:t>
      </w:r>
    </w:p>
    <w:p w14:paraId="476F837C" w14:textId="3CC46CC9" w:rsidR="004B742F" w:rsidRDefault="00E35558" w:rsidP="004B742F">
      <w:pPr>
        <w:pStyle w:val="Nadpis3"/>
        <w:ind w:left="1077" w:hanging="357"/>
        <w:rPr>
          <w:lang w:eastAsia="en-US"/>
        </w:rPr>
      </w:pPr>
      <w:r>
        <w:rPr>
          <w:b/>
          <w:lang w:eastAsia="en-US"/>
        </w:rPr>
        <w:t>T</w:t>
      </w:r>
      <w:r w:rsidRPr="00E35558">
        <w:rPr>
          <w:b/>
          <w:lang w:eastAsia="en-US"/>
        </w:rPr>
        <w:t>ermovizní binokulární přístroj</w:t>
      </w:r>
      <w:r w:rsidR="00B2506B" w:rsidRPr="00B2506B">
        <w:rPr>
          <w:b/>
          <w:lang w:eastAsia="en-US"/>
        </w:rPr>
        <w:t xml:space="preserve"> </w:t>
      </w:r>
      <w:r w:rsidR="002E12F9" w:rsidRPr="002E12F9">
        <w:rPr>
          <w:i/>
          <w:lang w:eastAsia="en-US"/>
        </w:rPr>
        <w:t xml:space="preserve">Termovize PULSAR </w:t>
      </w:r>
      <w:proofErr w:type="spellStart"/>
      <w:r w:rsidR="002E12F9" w:rsidRPr="002E12F9">
        <w:rPr>
          <w:i/>
          <w:lang w:eastAsia="en-US"/>
        </w:rPr>
        <w:t>Merger</w:t>
      </w:r>
      <w:proofErr w:type="spellEnd"/>
      <w:r w:rsidR="002E12F9" w:rsidRPr="002E12F9">
        <w:rPr>
          <w:i/>
          <w:lang w:eastAsia="en-US"/>
        </w:rPr>
        <w:t xml:space="preserve"> LRF XP50</w:t>
      </w:r>
      <w:r w:rsidR="007C5ED4">
        <w:rPr>
          <w:lang w:eastAsia="en-US"/>
        </w:rPr>
        <w:t xml:space="preserve"> v množství </w:t>
      </w:r>
      <w:r>
        <w:rPr>
          <w:lang w:eastAsia="en-US"/>
        </w:rPr>
        <w:t>6</w:t>
      </w:r>
      <w:r w:rsidR="007C5ED4">
        <w:rPr>
          <w:lang w:eastAsia="en-US"/>
        </w:rPr>
        <w:t> ks</w:t>
      </w:r>
      <w:r w:rsidR="007C5ED4" w:rsidRPr="002E197E">
        <w:rPr>
          <w:lang w:eastAsia="en-US"/>
        </w:rPr>
        <w:t xml:space="preserve"> </w:t>
      </w:r>
      <w:r w:rsidR="007C5ED4">
        <w:rPr>
          <w:lang w:eastAsia="en-US"/>
        </w:rPr>
        <w:t>technické specifikace uvedené v Příloze č. 1 této Smlouvy,</w:t>
      </w:r>
      <w:r w:rsidR="004B742F">
        <w:rPr>
          <w:lang w:eastAsia="en-US"/>
        </w:rPr>
        <w:t xml:space="preserve"> součástí předmětu plnění Smlouvy je rovněž doprava Předmětu koupě do Místa plnění,</w:t>
      </w:r>
    </w:p>
    <w:p w14:paraId="6E8FE922" w14:textId="568E3D53" w:rsidR="001C0884" w:rsidRPr="00D01689" w:rsidRDefault="004B742F" w:rsidP="002A37EE">
      <w:pPr>
        <w:pStyle w:val="Nadpis3"/>
        <w:ind w:left="1077" w:hanging="357"/>
        <w:rPr>
          <w:lang w:eastAsia="en-US"/>
        </w:rPr>
      </w:pPr>
      <w:r>
        <w:rPr>
          <w:lang w:eastAsia="en-US"/>
        </w:rPr>
        <w:t xml:space="preserve">Předmětem plnění Prodávajícího dle Smlouvy je taktéž provedení </w:t>
      </w:r>
      <w:r w:rsidRPr="002A37EE">
        <w:rPr>
          <w:b/>
          <w:lang w:eastAsia="en-US"/>
        </w:rPr>
        <w:t>z</w:t>
      </w:r>
      <w:r w:rsidRPr="002A37EE">
        <w:rPr>
          <w:b/>
          <w:szCs w:val="26"/>
          <w:lang w:eastAsia="en-US"/>
        </w:rPr>
        <w:t>dokonalovací</w:t>
      </w:r>
      <w:r w:rsidRPr="002A37EE">
        <w:rPr>
          <w:b/>
          <w:lang w:eastAsia="en-US"/>
        </w:rPr>
        <w:t>ho</w:t>
      </w:r>
      <w:r w:rsidRPr="002A37EE">
        <w:rPr>
          <w:b/>
          <w:szCs w:val="26"/>
          <w:lang w:eastAsia="en-US"/>
        </w:rPr>
        <w:t xml:space="preserve"> školení na užívání zařízení </w:t>
      </w:r>
      <w:r w:rsidRPr="007C5ED4">
        <w:rPr>
          <w:lang w:eastAsia="en-US"/>
        </w:rPr>
        <w:t>v</w:t>
      </w:r>
      <w:r>
        <w:rPr>
          <w:lang w:eastAsia="en-US"/>
        </w:rPr>
        <w:t xml:space="preserve"> </w:t>
      </w:r>
      <w:r w:rsidRPr="007C5ED4">
        <w:rPr>
          <w:lang w:eastAsia="en-US"/>
        </w:rPr>
        <w:t xml:space="preserve">množství </w:t>
      </w:r>
      <w:r>
        <w:rPr>
          <w:lang w:eastAsia="en-US"/>
        </w:rPr>
        <w:t>2 školení v prostorech zajištěných Kupujícím, každé pro 15 osob, uskutečněné na adrese Veslařský ostrov 59, PSČ 147 00 Praha 4 (dále jen „Školení“).</w:t>
      </w:r>
    </w:p>
    <w:p w14:paraId="01099585" w14:textId="18B3AF5D" w:rsidR="006135FA" w:rsidRPr="007D0BCF" w:rsidRDefault="00A84298" w:rsidP="00A84298">
      <w:pPr>
        <w:pStyle w:val="Nadpis2"/>
        <w:ind w:left="851"/>
        <w:rPr>
          <w:lang w:eastAsia="en-US"/>
        </w:rPr>
      </w:pPr>
      <w:r w:rsidRPr="00A84298">
        <w:rPr>
          <w:lang w:eastAsia="en-US"/>
        </w:rPr>
        <w:t xml:space="preserve">Předmět </w:t>
      </w:r>
      <w:r>
        <w:rPr>
          <w:lang w:eastAsia="en-US"/>
        </w:rPr>
        <w:t>koupě</w:t>
      </w:r>
      <w:r w:rsidRPr="00A84298">
        <w:rPr>
          <w:lang w:eastAsia="en-US"/>
        </w:rPr>
        <w:t xml:space="preserve"> je financován z prostředků Státního fondu dopravní infrastruktury, z globální položky „Investiční akce s RN do </w:t>
      </w:r>
      <w:r>
        <w:rPr>
          <w:lang w:eastAsia="en-US"/>
        </w:rPr>
        <w:t>3</w:t>
      </w:r>
      <w:r w:rsidRPr="00A84298">
        <w:rPr>
          <w:lang w:eastAsia="en-US"/>
        </w:rPr>
        <w:t>0 mil. Kč“, číslo ISPROFOND 500 554 0002, položka „</w:t>
      </w:r>
      <w:r w:rsidR="00983BDE" w:rsidRPr="00983BDE">
        <w:rPr>
          <w:lang w:eastAsia="en-US"/>
        </w:rPr>
        <w:t>Technologie monitorování bezpečného užívání vodních cest</w:t>
      </w:r>
      <w:r w:rsidRPr="00A84298">
        <w:rPr>
          <w:lang w:eastAsia="en-US"/>
        </w:rPr>
        <w:t xml:space="preserve">“, číslo projektu </w:t>
      </w:r>
      <w:r w:rsidR="00983BDE" w:rsidRPr="00983BDE">
        <w:rPr>
          <w:lang w:eastAsia="en-US"/>
        </w:rPr>
        <w:t>500 554 0006</w:t>
      </w:r>
      <w:r w:rsidRPr="00A84298">
        <w:rPr>
          <w:lang w:eastAsia="en-US"/>
        </w:rPr>
        <w:t>.</w:t>
      </w:r>
    </w:p>
    <w:p w14:paraId="67B9C87C" w14:textId="77777777" w:rsidR="006135FA" w:rsidRDefault="006135FA" w:rsidP="00FD2054">
      <w:pPr>
        <w:pStyle w:val="Nadpis1"/>
        <w:ind w:left="3904"/>
        <w:jc w:val="left"/>
      </w:pPr>
      <w:r>
        <w:t>Způsob plnění</w:t>
      </w:r>
    </w:p>
    <w:p w14:paraId="5D4D2D97" w14:textId="350ED89A"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983BDE">
        <w:t>4</w:t>
      </w:r>
      <w:r w:rsidRPr="00CC5B1E">
        <w:t xml:space="preserve"> týdnů od </w:t>
      </w:r>
      <w:r w:rsidR="0064524C">
        <w:t xml:space="preserve">účinnosti </w:t>
      </w:r>
      <w:r w:rsidRPr="00CC5B1E">
        <w:t>S</w:t>
      </w:r>
      <w:r>
        <w:t>mlouvy.</w:t>
      </w:r>
      <w:r w:rsidR="00983BDE">
        <w:t xml:space="preserve"> Školení bude uskutečněno nejpozději do 4 měsíců </w:t>
      </w:r>
      <w:r w:rsidR="00983BDE" w:rsidRPr="00CC5B1E">
        <w:t xml:space="preserve">od </w:t>
      </w:r>
      <w:r w:rsidR="00983BDE">
        <w:t xml:space="preserve">předání předmětu </w:t>
      </w:r>
      <w:proofErr w:type="gramStart"/>
      <w:r w:rsidR="00983BDE">
        <w:t>koupě</w:t>
      </w:r>
      <w:proofErr w:type="gramEnd"/>
      <w:r w:rsidR="00983BDE">
        <w:t xml:space="preserve"> a to v termínu 2 týdnů po výzvě Kupujícího.</w:t>
      </w:r>
    </w:p>
    <w:p w14:paraId="74DAD869"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0AAD3D31" w14:textId="02F891BB" w:rsidR="00410571" w:rsidRPr="00083F89" w:rsidRDefault="00F014F0" w:rsidP="00083F89">
      <w:pPr>
        <w:pStyle w:val="Nadpis2"/>
        <w:tabs>
          <w:tab w:val="num" w:pos="576"/>
        </w:tabs>
        <w:ind w:left="786"/>
      </w:pPr>
      <w:r w:rsidRPr="00083F89">
        <w:t>Předmět koupě může být dodán po částech s tím, že Předmět koupě musí být vždy dodán ve formě funkčních celků. Pro odstranění nejasností se uvádí, že funkční celek tvoří Předmět koupě uvedený v čl. II. odst. 1 písm.</w:t>
      </w:r>
      <w:r w:rsidR="003203D5" w:rsidRPr="00083F89">
        <w:t xml:space="preserve"> </w:t>
      </w:r>
      <w:r w:rsidR="00256AC4">
        <w:t>a)</w:t>
      </w:r>
      <w:r w:rsidR="00B2506B">
        <w:t xml:space="preserve"> nebo</w:t>
      </w:r>
      <w:r w:rsidR="003203D5" w:rsidRPr="00083F89">
        <w:t xml:space="preserve"> </w:t>
      </w:r>
      <w:r w:rsidR="00F56C1F">
        <w:t>b</w:t>
      </w:r>
      <w:r w:rsidR="003203D5" w:rsidRPr="00083F89">
        <w:t>)</w:t>
      </w:r>
      <w:r w:rsidR="00B2506B">
        <w:t xml:space="preserve"> </w:t>
      </w:r>
      <w:r w:rsidR="003203D5" w:rsidRPr="00083F89">
        <w:t>této Smlouvy</w:t>
      </w:r>
      <w:r w:rsidR="00B32937">
        <w:t xml:space="preserve"> (tj. vždy 1 ks věci specifikované v čl. II. odst. 1 písm. a), nebo 1 školení dle čl. II. odst. 1 písm. b) Smlouvy)</w:t>
      </w:r>
      <w:r w:rsidR="003203D5" w:rsidRPr="00083F89">
        <w:t>.</w:t>
      </w:r>
      <w:r w:rsidR="00EF7899">
        <w:t xml:space="preserve"> </w:t>
      </w:r>
      <w:r w:rsidR="007C21A1">
        <w:t xml:space="preserve">Výjimkou </w:t>
      </w:r>
      <w:r w:rsidR="00EF7CD7">
        <w:t xml:space="preserve">z pravidla dle tohoto odstavce </w:t>
      </w:r>
      <w:r w:rsidR="007C21A1">
        <w:t>jsou případy, kdy</w:t>
      </w:r>
      <w:r w:rsidR="00A15885">
        <w:t xml:space="preserve"> dodání funkčního celku není možné z důvodu neodpovídajícího množství jednotlivých částí Předmětu koupě </w:t>
      </w:r>
      <w:r w:rsidR="00E2045C">
        <w:t>nebo</w:t>
      </w:r>
      <w:r w:rsidR="00A15885">
        <w:t xml:space="preserve"> pokud</w:t>
      </w:r>
      <w:r w:rsidR="00E2045C">
        <w:t xml:space="preserve"> </w:t>
      </w:r>
      <w:r w:rsidR="00A15885">
        <w:t>tak Kupující stanovil v Příloze č. 2 Smlouvy.</w:t>
      </w:r>
      <w:r w:rsidR="00E2045C">
        <w:t xml:space="preserve"> </w:t>
      </w:r>
      <w:r w:rsidR="00C6674E">
        <w:t xml:space="preserve"> </w:t>
      </w:r>
    </w:p>
    <w:p w14:paraId="33113CD2" w14:textId="77777777" w:rsidR="006135FA" w:rsidRPr="007E1039" w:rsidRDefault="006135FA" w:rsidP="00CC2EDD">
      <w:pPr>
        <w:pStyle w:val="Nadpis1"/>
        <w:ind w:left="3901" w:hanging="357"/>
        <w:jc w:val="left"/>
      </w:pPr>
      <w:r w:rsidRPr="007E1039">
        <w:t>Cena a platební podmínky</w:t>
      </w:r>
    </w:p>
    <w:p w14:paraId="37570AB9" w14:textId="09ED86E5"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9D5F75">
        <w:t xml:space="preserve">684000,- bez </w:t>
      </w:r>
      <w:r w:rsidR="000A07B6">
        <w:t>DPH</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21432B28"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28DB701B" w14:textId="77777777"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1570"/>
        <w:gridCol w:w="1163"/>
        <w:gridCol w:w="1206"/>
      </w:tblGrid>
      <w:tr w:rsidR="006135FA" w:rsidRPr="007D4A7D" w14:paraId="2F05E208" w14:textId="77777777" w:rsidTr="00D01689">
        <w:trPr>
          <w:trHeight w:val="614"/>
          <w:jc w:val="center"/>
        </w:trPr>
        <w:tc>
          <w:tcPr>
            <w:tcW w:w="2001" w:type="pct"/>
            <w:shd w:val="clear" w:color="auto" w:fill="D9D9D9" w:themeFill="background1" w:themeFillShade="D9"/>
            <w:vAlign w:val="center"/>
          </w:tcPr>
          <w:p w14:paraId="056875BB" w14:textId="77777777" w:rsidR="006135FA" w:rsidRPr="00040CA1" w:rsidRDefault="00410571">
            <w:pPr>
              <w:jc w:val="center"/>
              <w:rPr>
                <w:b/>
                <w:bCs/>
              </w:rPr>
            </w:pPr>
            <w:r>
              <w:rPr>
                <w:b/>
                <w:bCs/>
              </w:rPr>
              <w:t>Předmět koupě</w:t>
            </w:r>
          </w:p>
        </w:tc>
        <w:tc>
          <w:tcPr>
            <w:tcW w:w="1230" w:type="pct"/>
            <w:shd w:val="clear" w:color="auto" w:fill="D9D9D9" w:themeFill="background1" w:themeFillShade="D9"/>
            <w:vAlign w:val="center"/>
          </w:tcPr>
          <w:p w14:paraId="13794A13" w14:textId="77777777"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80" w:type="pct"/>
            <w:shd w:val="clear" w:color="auto" w:fill="D9D9D9" w:themeFill="background1" w:themeFillShade="D9"/>
            <w:vAlign w:val="center"/>
          </w:tcPr>
          <w:p w14:paraId="2F1B64CA" w14:textId="77777777" w:rsidR="006135FA" w:rsidRPr="00040CA1" w:rsidRDefault="006135FA">
            <w:pPr>
              <w:jc w:val="center"/>
              <w:rPr>
                <w:b/>
                <w:bCs/>
              </w:rPr>
            </w:pPr>
            <w:r w:rsidRPr="00040CA1">
              <w:rPr>
                <w:b/>
                <w:bCs/>
              </w:rPr>
              <w:t>Množství</w:t>
            </w:r>
          </w:p>
        </w:tc>
        <w:tc>
          <w:tcPr>
            <w:tcW w:w="889" w:type="pct"/>
            <w:shd w:val="clear" w:color="auto" w:fill="D9D9D9" w:themeFill="background1" w:themeFillShade="D9"/>
            <w:vAlign w:val="center"/>
          </w:tcPr>
          <w:p w14:paraId="48F66177" w14:textId="77777777" w:rsidR="006135FA" w:rsidRPr="00040CA1" w:rsidRDefault="006135FA">
            <w:pPr>
              <w:jc w:val="center"/>
              <w:rPr>
                <w:b/>
                <w:bCs/>
              </w:rPr>
            </w:pPr>
            <w:r w:rsidRPr="00040CA1">
              <w:rPr>
                <w:b/>
                <w:bCs/>
              </w:rPr>
              <w:t>Cena celkem bez DPH</w:t>
            </w:r>
          </w:p>
        </w:tc>
      </w:tr>
      <w:tr w:rsidR="00F53E64" w:rsidRPr="007D4A7D" w14:paraId="5FE9B434" w14:textId="77777777" w:rsidTr="00D01689">
        <w:trPr>
          <w:trHeight w:val="511"/>
          <w:jc w:val="center"/>
        </w:trPr>
        <w:tc>
          <w:tcPr>
            <w:tcW w:w="2001" w:type="pct"/>
            <w:vAlign w:val="center"/>
          </w:tcPr>
          <w:p w14:paraId="0FBD118B" w14:textId="741E229B" w:rsidR="00F53E64" w:rsidRPr="00040CA1" w:rsidRDefault="00E35558" w:rsidP="00A51692">
            <w:pPr>
              <w:jc w:val="center"/>
              <w:rPr>
                <w:bCs/>
              </w:rPr>
            </w:pPr>
            <w:r>
              <w:rPr>
                <w:b/>
                <w:lang w:eastAsia="en-US"/>
              </w:rPr>
              <w:t>T</w:t>
            </w:r>
            <w:r w:rsidRPr="00E35558">
              <w:rPr>
                <w:b/>
                <w:lang w:eastAsia="en-US"/>
              </w:rPr>
              <w:t>ermovizní binokulární přístroj</w:t>
            </w:r>
          </w:p>
        </w:tc>
        <w:tc>
          <w:tcPr>
            <w:tcW w:w="1230" w:type="pct"/>
            <w:vAlign w:val="center"/>
          </w:tcPr>
          <w:p w14:paraId="6356C3A8" w14:textId="451DC32F" w:rsidR="00F53E64" w:rsidRPr="002E12F9" w:rsidRDefault="008709F1" w:rsidP="002E12F9">
            <w:pPr>
              <w:jc w:val="right"/>
              <w:rPr>
                <w:sz w:val="22"/>
                <w:szCs w:val="22"/>
              </w:rPr>
            </w:pPr>
            <w:r w:rsidRPr="002E12F9">
              <w:rPr>
                <w:i/>
                <w:sz w:val="22"/>
                <w:szCs w:val="22"/>
                <w:lang w:eastAsia="en-US"/>
              </w:rPr>
              <w:t>110</w:t>
            </w:r>
            <w:r w:rsidR="002E12F9" w:rsidRPr="002E12F9">
              <w:rPr>
                <w:i/>
                <w:sz w:val="22"/>
                <w:szCs w:val="22"/>
                <w:lang w:eastAsia="en-US"/>
              </w:rPr>
              <w:t> </w:t>
            </w:r>
            <w:r w:rsidRPr="002E12F9">
              <w:rPr>
                <w:i/>
                <w:sz w:val="22"/>
                <w:szCs w:val="22"/>
                <w:lang w:eastAsia="en-US"/>
              </w:rPr>
              <w:t>000</w:t>
            </w:r>
            <w:r w:rsidR="002E12F9" w:rsidRPr="002E12F9">
              <w:rPr>
                <w:i/>
                <w:sz w:val="22"/>
                <w:szCs w:val="22"/>
                <w:lang w:eastAsia="en-US"/>
              </w:rPr>
              <w:t>,00</w:t>
            </w:r>
          </w:p>
        </w:tc>
        <w:tc>
          <w:tcPr>
            <w:tcW w:w="880" w:type="pct"/>
            <w:vAlign w:val="center"/>
          </w:tcPr>
          <w:p w14:paraId="129CECC9" w14:textId="21716E49" w:rsidR="00F53E64" w:rsidRPr="00040CA1" w:rsidRDefault="00E35558" w:rsidP="00980EE9">
            <w:pPr>
              <w:jc w:val="center"/>
            </w:pPr>
            <w:r>
              <w:t>6</w:t>
            </w:r>
            <w:r w:rsidR="00410571">
              <w:t xml:space="preserve"> </w:t>
            </w:r>
            <w:r w:rsidR="00A20738">
              <w:t>ks</w:t>
            </w:r>
          </w:p>
        </w:tc>
        <w:tc>
          <w:tcPr>
            <w:tcW w:w="889" w:type="pct"/>
            <w:vAlign w:val="center"/>
          </w:tcPr>
          <w:p w14:paraId="29348BF3" w14:textId="7DD2016C" w:rsidR="00F53E64" w:rsidRPr="002E12F9" w:rsidRDefault="005C2330" w:rsidP="002E12F9">
            <w:pPr>
              <w:jc w:val="right"/>
              <w:rPr>
                <w:sz w:val="22"/>
                <w:szCs w:val="22"/>
              </w:rPr>
            </w:pPr>
            <w:r w:rsidRPr="002E12F9">
              <w:rPr>
                <w:i/>
                <w:sz w:val="22"/>
                <w:szCs w:val="22"/>
                <w:lang w:eastAsia="en-US"/>
              </w:rPr>
              <w:t>660</w:t>
            </w:r>
            <w:r w:rsidR="002E12F9">
              <w:rPr>
                <w:i/>
                <w:sz w:val="22"/>
                <w:szCs w:val="22"/>
                <w:lang w:eastAsia="en-US"/>
              </w:rPr>
              <w:t> </w:t>
            </w:r>
            <w:r w:rsidRPr="002E12F9">
              <w:rPr>
                <w:i/>
                <w:sz w:val="22"/>
                <w:szCs w:val="22"/>
                <w:lang w:eastAsia="en-US"/>
              </w:rPr>
              <w:t>000</w:t>
            </w:r>
            <w:r w:rsidR="002E12F9">
              <w:rPr>
                <w:i/>
                <w:sz w:val="22"/>
                <w:szCs w:val="22"/>
                <w:lang w:eastAsia="en-US"/>
              </w:rPr>
              <w:t>,00</w:t>
            </w:r>
          </w:p>
        </w:tc>
      </w:tr>
      <w:tr w:rsidR="00A51692" w:rsidRPr="007D4A7D" w14:paraId="48F59D65" w14:textId="77777777" w:rsidTr="00D01689">
        <w:trPr>
          <w:trHeight w:val="511"/>
          <w:jc w:val="center"/>
        </w:trPr>
        <w:tc>
          <w:tcPr>
            <w:tcW w:w="2001" w:type="pct"/>
            <w:vAlign w:val="center"/>
          </w:tcPr>
          <w:p w14:paraId="23B3214F" w14:textId="5E88CAE4" w:rsidR="00A51692" w:rsidRDefault="00983BDE" w:rsidP="003E47C3">
            <w:pPr>
              <w:jc w:val="center"/>
              <w:rPr>
                <w:b/>
                <w:bCs/>
              </w:rPr>
            </w:pPr>
            <w:r w:rsidRPr="00983BDE">
              <w:rPr>
                <w:b/>
                <w:lang w:eastAsia="en-US"/>
              </w:rPr>
              <w:t>Zdokonalovací školení na užívání zařízení</w:t>
            </w:r>
          </w:p>
        </w:tc>
        <w:tc>
          <w:tcPr>
            <w:tcW w:w="1230" w:type="pct"/>
            <w:vAlign w:val="center"/>
          </w:tcPr>
          <w:p w14:paraId="2A119530" w14:textId="387A3ED3" w:rsidR="00A51692" w:rsidRPr="002E12F9" w:rsidRDefault="008709F1" w:rsidP="002E12F9">
            <w:pPr>
              <w:jc w:val="right"/>
              <w:rPr>
                <w:i/>
                <w:sz w:val="22"/>
                <w:szCs w:val="22"/>
                <w:lang w:eastAsia="en-US"/>
              </w:rPr>
            </w:pPr>
            <w:r w:rsidRPr="002E12F9">
              <w:rPr>
                <w:i/>
                <w:sz w:val="22"/>
                <w:szCs w:val="22"/>
                <w:lang w:eastAsia="en-US"/>
              </w:rPr>
              <w:t>12</w:t>
            </w:r>
            <w:r w:rsidR="002E12F9" w:rsidRPr="002E12F9">
              <w:rPr>
                <w:i/>
                <w:sz w:val="22"/>
                <w:szCs w:val="22"/>
                <w:lang w:eastAsia="en-US"/>
              </w:rPr>
              <w:t> </w:t>
            </w:r>
            <w:r w:rsidR="005C2330" w:rsidRPr="002E12F9">
              <w:rPr>
                <w:i/>
                <w:sz w:val="22"/>
                <w:szCs w:val="22"/>
                <w:lang w:eastAsia="en-US"/>
              </w:rPr>
              <w:t>000</w:t>
            </w:r>
            <w:r w:rsidR="002E12F9" w:rsidRPr="002E12F9">
              <w:rPr>
                <w:i/>
                <w:sz w:val="22"/>
                <w:szCs w:val="22"/>
                <w:lang w:eastAsia="en-US"/>
              </w:rPr>
              <w:t>,00</w:t>
            </w:r>
          </w:p>
        </w:tc>
        <w:tc>
          <w:tcPr>
            <w:tcW w:w="880" w:type="pct"/>
            <w:vAlign w:val="center"/>
          </w:tcPr>
          <w:p w14:paraId="7F9522D5" w14:textId="09B395B8" w:rsidR="00A51692" w:rsidRPr="002E12F9" w:rsidRDefault="00983BDE" w:rsidP="00980EE9">
            <w:pPr>
              <w:jc w:val="center"/>
            </w:pPr>
            <w:r w:rsidRPr="002E12F9">
              <w:t>2</w:t>
            </w:r>
            <w:r w:rsidR="00A51692" w:rsidRPr="002E12F9">
              <w:t xml:space="preserve"> ks</w:t>
            </w:r>
          </w:p>
        </w:tc>
        <w:tc>
          <w:tcPr>
            <w:tcW w:w="889" w:type="pct"/>
            <w:vAlign w:val="center"/>
          </w:tcPr>
          <w:p w14:paraId="176641C3" w14:textId="1224B414" w:rsidR="00A51692" w:rsidRPr="002E12F9" w:rsidRDefault="005C2330" w:rsidP="002E12F9">
            <w:pPr>
              <w:jc w:val="right"/>
              <w:rPr>
                <w:i/>
                <w:sz w:val="22"/>
                <w:szCs w:val="22"/>
                <w:lang w:eastAsia="en-US"/>
              </w:rPr>
            </w:pPr>
            <w:r w:rsidRPr="002E12F9">
              <w:rPr>
                <w:i/>
                <w:sz w:val="22"/>
                <w:szCs w:val="22"/>
                <w:lang w:eastAsia="en-US"/>
              </w:rPr>
              <w:t>24</w:t>
            </w:r>
            <w:r w:rsidR="002E12F9">
              <w:rPr>
                <w:i/>
                <w:sz w:val="22"/>
                <w:szCs w:val="22"/>
                <w:lang w:eastAsia="en-US"/>
              </w:rPr>
              <w:t> </w:t>
            </w:r>
            <w:r w:rsidRPr="002E12F9">
              <w:rPr>
                <w:i/>
                <w:sz w:val="22"/>
                <w:szCs w:val="22"/>
                <w:lang w:eastAsia="en-US"/>
              </w:rPr>
              <w:t>000</w:t>
            </w:r>
            <w:r w:rsidR="002E12F9">
              <w:rPr>
                <w:i/>
                <w:sz w:val="22"/>
                <w:szCs w:val="22"/>
                <w:lang w:eastAsia="en-US"/>
              </w:rPr>
              <w:t>,00</w:t>
            </w:r>
          </w:p>
        </w:tc>
      </w:tr>
      <w:tr w:rsidR="009677D7" w:rsidRPr="007D4A7D" w14:paraId="0DDF88A4" w14:textId="77777777" w:rsidTr="00D01689">
        <w:trPr>
          <w:trHeight w:val="511"/>
          <w:jc w:val="center"/>
        </w:trPr>
        <w:tc>
          <w:tcPr>
            <w:tcW w:w="2001" w:type="pct"/>
            <w:vAlign w:val="center"/>
          </w:tcPr>
          <w:p w14:paraId="082D6A8E" w14:textId="77777777" w:rsidR="009677D7" w:rsidRDefault="009677D7">
            <w:pPr>
              <w:jc w:val="center"/>
              <w:rPr>
                <w:b/>
                <w:bCs/>
              </w:rPr>
            </w:pPr>
            <w:r>
              <w:rPr>
                <w:b/>
                <w:bCs/>
              </w:rPr>
              <w:t>Kupní cena</w:t>
            </w:r>
          </w:p>
        </w:tc>
        <w:tc>
          <w:tcPr>
            <w:tcW w:w="2110" w:type="pct"/>
            <w:gridSpan w:val="2"/>
            <w:vAlign w:val="center"/>
          </w:tcPr>
          <w:p w14:paraId="515D7771" w14:textId="77777777" w:rsidR="009677D7" w:rsidRPr="002E12F9" w:rsidRDefault="009677D7" w:rsidP="00980EE9">
            <w:pPr>
              <w:jc w:val="center"/>
            </w:pPr>
          </w:p>
        </w:tc>
        <w:tc>
          <w:tcPr>
            <w:tcW w:w="889" w:type="pct"/>
            <w:vAlign w:val="center"/>
          </w:tcPr>
          <w:p w14:paraId="09BC0A30" w14:textId="6D625EB2" w:rsidR="009677D7" w:rsidRPr="002E12F9" w:rsidRDefault="009D5F75" w:rsidP="002E12F9">
            <w:pPr>
              <w:jc w:val="right"/>
              <w:rPr>
                <w:i/>
                <w:sz w:val="22"/>
                <w:szCs w:val="22"/>
                <w:lang w:eastAsia="en-US"/>
              </w:rPr>
            </w:pPr>
            <w:r w:rsidRPr="002E12F9">
              <w:rPr>
                <w:i/>
                <w:sz w:val="22"/>
                <w:szCs w:val="22"/>
                <w:lang w:eastAsia="en-US"/>
              </w:rPr>
              <w:t>684</w:t>
            </w:r>
            <w:r w:rsidR="002E12F9">
              <w:rPr>
                <w:i/>
                <w:sz w:val="22"/>
                <w:szCs w:val="22"/>
                <w:lang w:eastAsia="en-US"/>
              </w:rPr>
              <w:t> </w:t>
            </w:r>
            <w:r w:rsidRPr="002E12F9">
              <w:rPr>
                <w:i/>
                <w:sz w:val="22"/>
                <w:szCs w:val="22"/>
                <w:lang w:eastAsia="en-US"/>
              </w:rPr>
              <w:t>000</w:t>
            </w:r>
            <w:r w:rsidR="002E12F9">
              <w:rPr>
                <w:i/>
                <w:sz w:val="22"/>
                <w:szCs w:val="22"/>
                <w:lang w:eastAsia="en-US"/>
              </w:rPr>
              <w:t>,00</w:t>
            </w:r>
          </w:p>
        </w:tc>
      </w:tr>
    </w:tbl>
    <w:p w14:paraId="5389ADB4" w14:textId="77777777" w:rsidR="006135FA" w:rsidRDefault="006135FA" w:rsidP="00305C14">
      <w:pPr>
        <w:pStyle w:val="Nadpis2"/>
        <w:numPr>
          <w:ilvl w:val="0"/>
          <w:numId w:val="0"/>
        </w:numPr>
        <w:ind w:left="786"/>
      </w:pPr>
    </w:p>
    <w:p w14:paraId="63D9C015" w14:textId="497545E0"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1B2EAD">
        <w:t xml:space="preserve">Kupní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2F26B2F1" w14:textId="058A3064" w:rsidR="00E016BC" w:rsidRPr="00AD564A" w:rsidRDefault="00E016BC" w:rsidP="00AD564A">
      <w:pPr>
        <w:pStyle w:val="Nadpis2"/>
        <w:tabs>
          <w:tab w:val="num" w:pos="576"/>
        </w:tabs>
        <w:ind w:left="786"/>
        <w:rPr>
          <w:color w:val="000000" w:themeColor="text1"/>
        </w:rPr>
      </w:pPr>
      <w:r w:rsidRPr="00D01689">
        <w:rPr>
          <w:color w:val="000000" w:themeColor="text1"/>
        </w:rPr>
        <w:t>K</w:t>
      </w:r>
      <w:r w:rsidR="00D55C99" w:rsidRPr="00AD564A">
        <w:rPr>
          <w:color w:val="000000" w:themeColor="text1"/>
        </w:rPr>
        <w:t> </w:t>
      </w:r>
      <w:r w:rsidR="00D55C99" w:rsidRPr="00D01689">
        <w:rPr>
          <w:color w:val="000000" w:themeColor="text1"/>
        </w:rPr>
        <w:t xml:space="preserve">dílčí </w:t>
      </w:r>
      <w:r w:rsidR="008E4A8F">
        <w:rPr>
          <w:color w:val="000000" w:themeColor="text1"/>
        </w:rPr>
        <w:t xml:space="preserve">Kupní </w:t>
      </w:r>
      <w:r w:rsidR="00D55C99" w:rsidRPr="00D01689">
        <w:rPr>
          <w:color w:val="000000" w:themeColor="text1"/>
        </w:rPr>
        <w:t xml:space="preserve">ceně </w:t>
      </w:r>
      <w:r w:rsidRPr="00D01689">
        <w:rPr>
          <w:color w:val="000000" w:themeColor="text1"/>
        </w:rPr>
        <w:t xml:space="preserve">bude v případě, </w:t>
      </w:r>
      <w:r w:rsidRPr="00AD564A">
        <w:rPr>
          <w:color w:val="000000" w:themeColor="text1"/>
        </w:rPr>
        <w:t>že je P</w:t>
      </w:r>
      <w:r w:rsidR="00830B2F">
        <w:rPr>
          <w:color w:val="000000" w:themeColor="text1"/>
        </w:rPr>
        <w:t xml:space="preserve">rodávající ke dni </w:t>
      </w:r>
      <w:r w:rsidRPr="00AD564A">
        <w:rPr>
          <w:color w:val="000000" w:themeColor="text1"/>
        </w:rPr>
        <w:t xml:space="preserve">podání nabídky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14:paraId="7AAB83DD" w14:textId="1ADFEF91" w:rsidR="006135FA" w:rsidRDefault="00615A87" w:rsidP="0056725D">
      <w:pPr>
        <w:pStyle w:val="Nadpis2"/>
        <w:tabs>
          <w:tab w:val="num" w:pos="576"/>
        </w:tabs>
        <w:ind w:left="786"/>
      </w:pPr>
      <w:r>
        <w:t xml:space="preserve">Kupní cena </w:t>
      </w:r>
      <w:r w:rsidR="006135FA">
        <w:t xml:space="preserve">bude uhrazen na základě </w:t>
      </w:r>
      <w:r w:rsidR="00983BDE">
        <w:t xml:space="preserve">dvou </w:t>
      </w:r>
      <w:r w:rsidR="006135FA">
        <w:t>faktur. Prodávající vystaví po předání Předmětu koupě</w:t>
      </w:r>
      <w:r w:rsidR="00265EB9">
        <w:t xml:space="preserve"> dle čl. II. odst. 1 písm. a) Smlouvy</w:t>
      </w:r>
      <w:r w:rsidR="006135FA">
        <w:t xml:space="preserve"> Kupujícímu fakturu. Fakturu dor</w:t>
      </w:r>
      <w:r w:rsidR="00E73B65">
        <w:t>učí Prodávající Kupujícímu do </w:t>
      </w:r>
      <w:r w:rsidR="00C24911">
        <w:t>5 </w:t>
      </w:r>
      <w:r w:rsidR="006135FA">
        <w:t>pracovních dnů od předání</w:t>
      </w:r>
      <w:r w:rsidR="008F31DC">
        <w:t xml:space="preserve"> Předmětu koupě</w:t>
      </w:r>
      <w:r w:rsidR="006135FA">
        <w:t xml:space="preserve">. </w:t>
      </w:r>
      <w:r w:rsidR="001700BC">
        <w:t>Pokud Prodávající předával Předmět koupě po částech, počítá se lhůta dle předchozí věty ode dne předání poslední části</w:t>
      </w:r>
      <w:r w:rsidR="008F31DC">
        <w:t xml:space="preserve"> Předmětu koupě</w:t>
      </w:r>
      <w:r w:rsidR="001700BC">
        <w:t xml:space="preserve">. </w:t>
      </w:r>
      <w:r w:rsidR="006135FA">
        <w:t>Přílohou faktury bude kopie dodacího listu nebo kopie více dodacích listů na Předmět koupě, který bude potvrzen Kupujícím.</w:t>
      </w:r>
      <w:r w:rsidR="0052785D">
        <w:t xml:space="preserve"> Faktura</w:t>
      </w:r>
      <w:r w:rsidR="00FB33BE">
        <w:t xml:space="preserve"> za</w:t>
      </w:r>
      <w:r w:rsidR="0052785D">
        <w:t xml:space="preserve"> </w:t>
      </w:r>
      <w:r w:rsidR="00265EB9">
        <w:t>Š</w:t>
      </w:r>
      <w:r w:rsidR="0052785D" w:rsidRPr="0052785D">
        <w:t xml:space="preserve">kolení </w:t>
      </w:r>
      <w:r w:rsidR="0052785D">
        <w:t>bude vystavena do 5 pracovních dnů od uskutečnění druhého školení.</w:t>
      </w:r>
    </w:p>
    <w:p w14:paraId="20EEBDF5"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01FA1F79" w14:textId="77777777" w:rsidR="006135FA" w:rsidRDefault="006135FA" w:rsidP="00C80BC0">
      <w:pPr>
        <w:pStyle w:val="Nadpis3"/>
      </w:pPr>
      <w:r>
        <w:t>identifikaci Předmětu koupě podle Smlouvy;</w:t>
      </w:r>
    </w:p>
    <w:p w14:paraId="739612A9"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5F56D5F4"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215AEC73" w14:textId="77777777" w:rsidR="006135FA" w:rsidRPr="00C80BC0" w:rsidRDefault="006135FA" w:rsidP="00C80BC0">
      <w:pPr>
        <w:pStyle w:val="Nadpis3"/>
      </w:pPr>
      <w:r>
        <w:t>úplné bankovní spojení Prodávajícího.</w:t>
      </w:r>
    </w:p>
    <w:p w14:paraId="382DC674"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4F231F57"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14:paraId="11762639" w14:textId="0D2177B5"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w:t>
      </w:r>
      <w:r w:rsidR="0023664A">
        <w:t>0</w:t>
      </w:r>
      <w:r w:rsidRPr="005F5660">
        <w:t xml:space="preserve"> až 1</w:t>
      </w:r>
      <w:r w:rsidR="0023664A">
        <w:t>3</w:t>
      </w:r>
      <w:r w:rsidRPr="005F5660">
        <w:t xml:space="preserve"> tohoto článku.</w:t>
      </w:r>
    </w:p>
    <w:p w14:paraId="7CA51578" w14:textId="707E48FF"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8F31DC">
        <w:t>S</w:t>
      </w:r>
      <w:r w:rsidRPr="005F5660">
        <w:t xml:space="preserve">mluvními stranami považováno za podstatné porušení této </w:t>
      </w:r>
      <w:r w:rsidR="00950076">
        <w:t>S</w:t>
      </w:r>
      <w:r w:rsidRPr="005F5660">
        <w:t>mlouvy.</w:t>
      </w:r>
    </w:p>
    <w:p w14:paraId="6435A8B5"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79961B5D" w14:textId="2FF276CF"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8F31DC">
        <w:t>,</w:t>
      </w:r>
      <w:r w:rsidRPr="005F5660">
        <w:t xml:space="preserve"> a to v návaznosti na § 109 a § 109a ZDPH. </w:t>
      </w:r>
    </w:p>
    <w:p w14:paraId="0EA4C968"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14:paraId="62CF4FC1" w14:textId="77777777" w:rsidR="006135FA" w:rsidRDefault="006135FA" w:rsidP="00FD2054">
      <w:pPr>
        <w:pStyle w:val="Nadpis1"/>
        <w:ind w:left="3904"/>
        <w:jc w:val="left"/>
      </w:pPr>
      <w:r>
        <w:t xml:space="preserve">Práva a </w:t>
      </w:r>
      <w:r w:rsidRPr="003A3D6C">
        <w:t>povinnosti</w:t>
      </w:r>
      <w:r>
        <w:t xml:space="preserve"> </w:t>
      </w:r>
      <w:r w:rsidR="009E6AF5">
        <w:t>S</w:t>
      </w:r>
      <w:r>
        <w:t>mluvních stran</w:t>
      </w:r>
    </w:p>
    <w:p w14:paraId="46338910" w14:textId="77777777" w:rsidR="006135FA" w:rsidRDefault="006135FA" w:rsidP="0056725D">
      <w:pPr>
        <w:pStyle w:val="Nadpis2"/>
        <w:tabs>
          <w:tab w:val="num" w:pos="576"/>
        </w:tabs>
        <w:ind w:left="786"/>
      </w:pPr>
      <w:r>
        <w:t>Povinnosti Kupujícího</w:t>
      </w:r>
    </w:p>
    <w:p w14:paraId="421DFE82" w14:textId="77777777" w:rsidR="006135FA" w:rsidRDefault="006135FA" w:rsidP="00543FFF">
      <w:pPr>
        <w:pStyle w:val="Nadpis3"/>
      </w:pPr>
      <w:r>
        <w:t>Kupující dohodne s Prodávajícím rozsah oprávnění Prodávajícího ke vstupu a vjezdu do objektu na adrese, kde má být předán Předmět koupě.</w:t>
      </w:r>
    </w:p>
    <w:p w14:paraId="13B996F3"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51E093F6" w14:textId="6A0D9524"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w:t>
      </w:r>
      <w:r w:rsidR="00CB2030">
        <w:t>edmětu koupě do dodacího listu.</w:t>
      </w:r>
    </w:p>
    <w:p w14:paraId="2F991A3D" w14:textId="77777777" w:rsidR="006135FA" w:rsidRPr="00187F2E" w:rsidRDefault="006135FA" w:rsidP="00187F2E">
      <w:pPr>
        <w:pStyle w:val="Nadpis3"/>
      </w:pPr>
      <w:r>
        <w:t>Kupující se zavazuje zaplatit včas Kupní cenu.</w:t>
      </w:r>
    </w:p>
    <w:p w14:paraId="1F904FC8" w14:textId="77777777" w:rsidR="006135FA" w:rsidRDefault="006135FA" w:rsidP="0056725D">
      <w:pPr>
        <w:pStyle w:val="Nadpis2"/>
        <w:tabs>
          <w:tab w:val="num" w:pos="576"/>
        </w:tabs>
        <w:ind w:left="786"/>
      </w:pPr>
      <w:r>
        <w:t>Povinnosti Prodávajícího</w:t>
      </w:r>
    </w:p>
    <w:p w14:paraId="7E517947" w14:textId="77777777" w:rsidR="006135FA" w:rsidRDefault="006135FA" w:rsidP="002D6884">
      <w:pPr>
        <w:pStyle w:val="Nadpis3"/>
      </w:pPr>
      <w:r>
        <w:t>Prodávající se zavazuje včas předat Kupujícímu Předmět koupě a převést k Předmětu koupě vlastnické právo na Kupujícího.</w:t>
      </w:r>
    </w:p>
    <w:p w14:paraId="551AB563" w14:textId="60E00AA0" w:rsidR="003164FC" w:rsidRDefault="003164FC" w:rsidP="003164FC">
      <w:pPr>
        <w:pStyle w:val="Nadpis3"/>
      </w:pPr>
      <w:r>
        <w:t>Prodávající je povinen Kupujícímu spolu s předáním Předmětu koupě dodat veškeré doklady, které</w:t>
      </w:r>
      <w:r w:rsidRPr="001D6499">
        <w:t xml:space="preserve"> jsou nutné k převzetí a užívání </w:t>
      </w:r>
      <w:r>
        <w:t>Předmětu koupě</w:t>
      </w:r>
      <w:r w:rsidRPr="001D6499">
        <w:t xml:space="preserve"> dle</w:t>
      </w:r>
      <w:r>
        <w:t xml:space="preserve"> </w:t>
      </w:r>
      <w:proofErr w:type="spellStart"/>
      <w:r>
        <w:t>ust</w:t>
      </w:r>
      <w:proofErr w:type="spellEnd"/>
      <w:r>
        <w:t>.</w:t>
      </w:r>
      <w:r w:rsidRPr="001D6499">
        <w:t xml:space="preserve"> § 2094 </w:t>
      </w:r>
      <w:r>
        <w:t>Občanského zákoníku.</w:t>
      </w:r>
    </w:p>
    <w:p w14:paraId="16A69FE4" w14:textId="77777777"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1150B47D" w14:textId="5AF3C580" w:rsidR="00A3575D" w:rsidRDefault="006135FA" w:rsidP="009C3DB3">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072E85">
        <w:rPr>
          <w:b/>
        </w:rPr>
        <w:t>:</w:t>
      </w:r>
      <w:r w:rsidR="00FE0463" w:rsidRPr="00172526">
        <w:t xml:space="preserve"> </w:t>
      </w:r>
      <w:r w:rsidR="001814D2" w:rsidRPr="001814D2">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9C3DB3" w:rsidRPr="009C3DB3">
        <w:t xml:space="preserve"> oprávněných k předání Předmětu koupě obou</w:t>
      </w:r>
      <w:r w:rsidRPr="00172526">
        <w:t xml:space="preserve"> Smluvních stran. </w:t>
      </w:r>
      <w:r w:rsidR="009C3DB3" w:rsidRPr="009C3DB3">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rsidR="009C3DB3">
        <w:t>o</w:t>
      </w:r>
      <w:r>
        <w:t xml:space="preserve">právněných osob </w:t>
      </w:r>
      <w:r w:rsidRPr="00C9669A">
        <w:t>obou Smluvních stran.</w:t>
      </w:r>
    </w:p>
    <w:p w14:paraId="6028DDE6" w14:textId="77777777"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14:paraId="1AD5AD21" w14:textId="54EC9AE9"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9C3DB3">
        <w:t>9</w:t>
      </w:r>
      <w:r>
        <w:t>. Po tuto dobu je Prodávající povinen umožnit osobám oprávněným k výkonu kontroly projektů provést kontrolu dokladů souvisejících s realizací veřejné zakázky.</w:t>
      </w:r>
    </w:p>
    <w:p w14:paraId="125F8609" w14:textId="77777777" w:rsidR="006135FA" w:rsidRDefault="006135FA" w:rsidP="00FD2054">
      <w:pPr>
        <w:pStyle w:val="Nadpis1"/>
        <w:ind w:left="3904"/>
        <w:jc w:val="left"/>
      </w:pPr>
      <w:r>
        <w:t>Vlastnické právo</w:t>
      </w:r>
    </w:p>
    <w:p w14:paraId="75A5BFD6" w14:textId="244E8114"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9C3DB3" w:rsidRPr="009C3DB3">
        <w:t xml:space="preserve"> </w:t>
      </w:r>
      <w:r w:rsidR="009C3DB3">
        <w:t>bez ohledu na případné výhrady</w:t>
      </w:r>
      <w:r w:rsidRPr="00FB5F6E">
        <w:t xml:space="preserve">. </w:t>
      </w:r>
      <w:r>
        <w:t>Bude-li Prodávající plnit po částech, převádí se vlastnické právo ke každé předané movité věci zvlášť v době předání.</w:t>
      </w:r>
    </w:p>
    <w:p w14:paraId="72BD7A43" w14:textId="77777777" w:rsidR="006135FA" w:rsidRDefault="006135FA" w:rsidP="00FD2054">
      <w:pPr>
        <w:pStyle w:val="Nadpis1"/>
        <w:ind w:left="3904"/>
        <w:jc w:val="left"/>
      </w:pPr>
      <w:r>
        <w:t>Práva duševního vlastnictví</w:t>
      </w:r>
    </w:p>
    <w:p w14:paraId="62DF484B" w14:textId="15771832" w:rsidR="00B87E8B" w:rsidRDefault="00B87E8B" w:rsidP="00B87E8B">
      <w:pPr>
        <w:pStyle w:val="Nadpis2"/>
        <w:tabs>
          <w:tab w:val="num" w:pos="576"/>
        </w:tabs>
        <w:ind w:left="786"/>
      </w:pPr>
      <w:r w:rsidRPr="008425EF">
        <w:t xml:space="preserve">Touto </w:t>
      </w:r>
      <w:r>
        <w:t>S</w:t>
      </w:r>
      <w:r w:rsidRPr="008425EF">
        <w:t xml:space="preserve">mlouvou </w:t>
      </w:r>
      <w:r>
        <w:t>P</w:t>
      </w:r>
      <w:r w:rsidRPr="008425EF">
        <w:t xml:space="preserve">rodávající zároveň uděluje </w:t>
      </w:r>
      <w:r>
        <w:t>K</w:t>
      </w:r>
      <w:r w:rsidRPr="008425EF">
        <w:t>upujícímu oprávnění k výkonu práva užít software</w:t>
      </w:r>
      <w:r>
        <w:t xml:space="preserve"> nebo jinou součást chráněnou právem duševního vlastnictví</w:t>
      </w:r>
      <w:r w:rsidRPr="008425EF">
        <w:t>, kter</w:t>
      </w:r>
      <w:r>
        <w:t>á</w:t>
      </w:r>
      <w:r w:rsidRPr="008425EF">
        <w:t xml:space="preserve"> je součástí </w:t>
      </w:r>
      <w:r>
        <w:t>Předmětu koupě</w:t>
      </w:r>
      <w:r w:rsidRPr="008425EF">
        <w:t xml:space="preserve"> (dále jen „licence“). Licence je poskytována jako nevýhradní, časově neomezená, pro území České republiky, v rozsahu nutném k užívání </w:t>
      </w:r>
      <w:r>
        <w:t>Předmětu koupě</w:t>
      </w:r>
      <w:r w:rsidRPr="008425EF">
        <w:t xml:space="preserve"> a jeho funkcí </w:t>
      </w:r>
      <w:r>
        <w:t>K</w:t>
      </w:r>
      <w:r w:rsidRPr="008425EF">
        <w:t>upujícím. Kupující není povinen licenci využít.</w:t>
      </w:r>
      <w:r>
        <w:t xml:space="preserve"> Kupující licenci nabývá spolu s vlastnickým právem k Předmětu koupě. </w:t>
      </w:r>
      <w:r w:rsidRPr="006C4C18">
        <w:t xml:space="preserve">Kupující je oprávněn licenci postoupit třetí osobě. Uzavřením této </w:t>
      </w:r>
      <w:r>
        <w:t>S</w:t>
      </w:r>
      <w:r w:rsidRPr="006C4C18">
        <w:t xml:space="preserve">mlouvy prodávající uděluje </w:t>
      </w:r>
      <w:r>
        <w:t>K</w:t>
      </w:r>
      <w:r w:rsidRPr="006C4C18">
        <w:t xml:space="preserve">upujícímu souhlas k postoupení licence třetí osobě, přičemž o tomto postoupení postačí </w:t>
      </w:r>
      <w:r>
        <w:t>P</w:t>
      </w:r>
      <w:r w:rsidRPr="006C4C18">
        <w:t xml:space="preserve">rodávajícího informovat prostřednictvím kontaktních údajů uvedených v této </w:t>
      </w:r>
      <w:r>
        <w:t>S</w:t>
      </w:r>
      <w:r w:rsidRPr="006C4C18">
        <w:t>mlouvě.</w:t>
      </w:r>
      <w:r>
        <w:t xml:space="preserve"> </w:t>
      </w:r>
      <w:r w:rsidRPr="009D4C15">
        <w:rPr>
          <w:iCs/>
          <w:lang w:val="ru-RU"/>
        </w:rPr>
        <w:t xml:space="preserve">Smluvní strany vylučují aplikaci ust. § 2370 a § 2378 až § 2382 </w:t>
      </w:r>
      <w:r>
        <w:rPr>
          <w:iCs/>
        </w:rPr>
        <w:t>O</w:t>
      </w:r>
      <w:r w:rsidRPr="009D4C15">
        <w:rPr>
          <w:iCs/>
          <w:lang w:val="ru-RU"/>
        </w:rPr>
        <w:t>bčanského zákoníku.</w:t>
      </w:r>
    </w:p>
    <w:p w14:paraId="6A08508D" w14:textId="6C9D73C5" w:rsidR="006135FA" w:rsidRDefault="00B87E8B" w:rsidP="0056725D">
      <w:pPr>
        <w:pStyle w:val="Nadpis2"/>
        <w:tabs>
          <w:tab w:val="num" w:pos="576"/>
        </w:tabs>
        <w:ind w:left="786"/>
      </w:pPr>
      <w:r>
        <w:t>Kupní c</w:t>
      </w:r>
      <w:r w:rsidR="006135FA">
        <w:t>ena zahrnuje i případnou odměnu za poskytnutí licence k užití Předmětu koupě a jeho příslušenství.</w:t>
      </w:r>
    </w:p>
    <w:p w14:paraId="5C0726EF"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196D8661" w14:textId="77777777" w:rsidR="006135FA" w:rsidRDefault="006135FA" w:rsidP="00FD2054">
      <w:pPr>
        <w:pStyle w:val="Nadpis1"/>
        <w:ind w:left="3904"/>
        <w:jc w:val="left"/>
      </w:pPr>
      <w:r>
        <w:t xml:space="preserve">Odpovědnost za vady  </w:t>
      </w:r>
    </w:p>
    <w:p w14:paraId="19C8EBC4" w14:textId="77777777" w:rsidR="006135FA" w:rsidRDefault="006135FA" w:rsidP="0056725D">
      <w:pPr>
        <w:pStyle w:val="Nadpis2"/>
        <w:tabs>
          <w:tab w:val="num" w:pos="576"/>
        </w:tabs>
        <w:ind w:left="786"/>
      </w:pPr>
      <w:r>
        <w:t xml:space="preserve">Prodávající prohlašuje, že Předmět koupě, nebo jeho část nemá žádné vady. </w:t>
      </w:r>
    </w:p>
    <w:p w14:paraId="4C097E57" w14:textId="4FA26DAD"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0052785D">
        <w:t>24</w:t>
      </w:r>
      <w:r w:rsidRPr="00A158C4">
        <w:t xml:space="preserve"> měsíců</w:t>
      </w:r>
      <w:r>
        <w:t xml:space="preserve"> ode dne převzetí Předmětu koupě, nebo jeho část</w:t>
      </w:r>
      <w:r w:rsidR="00F41AFC">
        <w:t>i (není-li v Příloze č. 1 Smlouvy</w:t>
      </w:r>
      <w:r w:rsidR="00C975FA">
        <w:t xml:space="preserve"> stanoveno jinak)</w:t>
      </w:r>
      <w:r w:rsidR="00096AC9">
        <w:t xml:space="preserve">, </w:t>
      </w:r>
      <w:bookmarkStart w:id="0" w:name="_Hlk11739006"/>
      <w:r w:rsidR="00096AC9">
        <w:t>tj. ode dne podpisu příslušného dodacího listu bez ohledu na případné výhrady</w:t>
      </w:r>
      <w:bookmarkEnd w:id="0"/>
      <w:r w:rsidR="00096AC9">
        <w:t>.</w:t>
      </w:r>
    </w:p>
    <w:p w14:paraId="2340BC07"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057A2C04" w14:textId="3DD25145" w:rsidR="006135FA" w:rsidRPr="00595EE0" w:rsidRDefault="006135FA" w:rsidP="003F66EA">
      <w:pPr>
        <w:pStyle w:val="Nadpis2"/>
        <w:tabs>
          <w:tab w:val="num" w:pos="576"/>
        </w:tabs>
        <w:ind w:left="786"/>
      </w:pPr>
      <w:r w:rsidRPr="00595EE0">
        <w:t>Prodávající se zavazuje po dobu trvání záruky bezplatně odstranit vady Předmětu koupě, které se vyskytly po jeho předání. Pracovní doba se pro účely této Smlo</w:t>
      </w:r>
      <w:r w:rsidR="00AD39FA">
        <w:t>uvy stanovuje od 8,00 hod. do 17</w:t>
      </w:r>
      <w:r w:rsidRPr="00595EE0">
        <w:t>,00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096AC9">
        <w:rPr>
          <w:bCs w:val="0"/>
          <w:szCs w:val="24"/>
        </w:rPr>
        <w:t xml:space="preserve"> zaslaná na adresu uvedenou v odst. 5 tohoto článku</w:t>
      </w:r>
      <w:r w:rsidR="00F77A39">
        <w:rPr>
          <w:bCs w:val="0"/>
          <w:szCs w:val="24"/>
        </w:rPr>
        <w:t>.</w:t>
      </w:r>
      <w:r w:rsidR="003F66EA">
        <w:rPr>
          <w:bCs w:val="0"/>
          <w:szCs w:val="24"/>
        </w:rPr>
        <w:t xml:space="preserve"> </w:t>
      </w:r>
      <w:r w:rsidR="003F66EA" w:rsidRPr="00272639">
        <w:rPr>
          <w:bCs w:val="0"/>
          <w:iCs/>
          <w:szCs w:val="24"/>
        </w:rPr>
        <w:t>Prodávající zahájí odstraňování vady Předmětu koupě nejpozději 2. pracovní den po dni, kdy je mu vada nahlášena Kupujícím a bude v této činnosti pokračovat nepřetržitě až do úplného odstranění vady.</w:t>
      </w:r>
    </w:p>
    <w:p w14:paraId="3AF75644" w14:textId="637AFF3D"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B61152" w:rsidRPr="00B61152">
        <w:rPr>
          <w:i/>
        </w:rPr>
        <w:t>XXXXXXXXXXX</w:t>
      </w:r>
      <w:r w:rsidR="00F43545" w:rsidRPr="00F43545">
        <w:rPr>
          <w:i/>
        </w:rPr>
        <w:t xml:space="preserve">, </w:t>
      </w:r>
      <w:r w:rsidRPr="00D91CA3">
        <w:t>a</w:t>
      </w:r>
      <w:r w:rsidR="00F43545">
        <w:t> </w:t>
      </w:r>
      <w:r w:rsidRPr="00D91CA3">
        <w:t>nejpozději bezprostředně poté i</w:t>
      </w:r>
      <w:r w:rsidR="002E12F9">
        <w:t xml:space="preserve"> </w:t>
      </w:r>
      <w:r w:rsidRPr="00D91CA3">
        <w:t>písemně prostřednictvím e</w:t>
      </w:r>
      <w:r w:rsidR="00722FF2">
        <w:noBreakHyphen/>
      </w:r>
      <w:r w:rsidRPr="00D91CA3">
        <w:t xml:space="preserve">mailové zprávy zaslané na adresu </w:t>
      </w:r>
      <w:r w:rsidR="00B61152" w:rsidRPr="00B61152">
        <w:rPr>
          <w:i/>
        </w:rPr>
        <w:t>XXXXXXXXXXX</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r w:rsidR="00B61152" w:rsidRPr="00B61152">
        <w:rPr>
          <w:i/>
        </w:rPr>
        <w:t>XXXXXXXXXXX</w:t>
      </w:r>
      <w:r w:rsidRPr="00D91CA3">
        <w:t>. Pro vadu nahlášenou po pracovní době je rozhodným časem prokazujícím nahlášení vady považován čas v</w:t>
      </w:r>
      <w:r w:rsidR="00F43545">
        <w:t> </w:t>
      </w:r>
      <w:r w:rsidRPr="00D91CA3">
        <w:t xml:space="preserve">8,00 hod. následujícího pracovního dne po dni nahlášení.  </w:t>
      </w:r>
    </w:p>
    <w:p w14:paraId="3DB54D1D" w14:textId="1E840F99"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8F31DC">
        <w:t>,</w:t>
      </w:r>
      <w:r>
        <w:t xml:space="preserve"> a to do 5 pracovních dní</w:t>
      </w:r>
      <w:r w:rsidR="00096AC9">
        <w:t xml:space="preserve"> od prokazatelného nahlášení vady způsobem dle tohoto článku</w:t>
      </w:r>
      <w:r w:rsidR="00FB3B31">
        <w:t>.</w:t>
      </w:r>
      <w:r w:rsidRPr="00FB3B31">
        <w:t xml:space="preserve"> </w:t>
      </w:r>
    </w:p>
    <w:p w14:paraId="107D0BA5" w14:textId="0E77EE61" w:rsidR="00D32464" w:rsidRPr="00D32464" w:rsidRDefault="006135FA" w:rsidP="00D32464">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8F31DC">
        <w:t xml:space="preserve"> této Smlouvy</w:t>
      </w:r>
      <w:r>
        <w:t>.</w:t>
      </w:r>
      <w:r w:rsidRPr="00E752C3">
        <w:t xml:space="preserve"> </w:t>
      </w:r>
    </w:p>
    <w:p w14:paraId="49EF13AF" w14:textId="106E3D1A" w:rsidR="00D32464" w:rsidRDefault="00D32464" w:rsidP="003C63FF">
      <w:pPr>
        <w:pStyle w:val="Nadpis2"/>
        <w:tabs>
          <w:tab w:val="num" w:pos="576"/>
        </w:tabs>
        <w:ind w:left="786"/>
      </w:pPr>
      <w:r w:rsidRPr="00D32464">
        <w:t>Smluvní strany se dohodly, že v případě nahrazení vadného pevného disku novým pevným diskem či příp. výměny celé části Předmětu koupě uvedené v čl. II. odst. 1) písm. a) Smlouvy zůstává původní pevný disk Kupujícímu.</w:t>
      </w:r>
    </w:p>
    <w:p w14:paraId="01A127A3" w14:textId="77777777" w:rsidR="00AD39FA" w:rsidRDefault="00AD39FA" w:rsidP="00AD39FA">
      <w:pPr>
        <w:pStyle w:val="Nadpis2"/>
        <w:tabs>
          <w:tab w:val="num" w:pos="576"/>
        </w:tabs>
        <w:ind w:left="786"/>
      </w:pPr>
      <w:r>
        <w:t xml:space="preserve">V ostatním se na vady Předmětu koupě aplikuje </w:t>
      </w:r>
      <w:proofErr w:type="spellStart"/>
      <w:r>
        <w:t>ust</w:t>
      </w:r>
      <w:proofErr w:type="spellEnd"/>
      <w:r>
        <w:t>. § 2099 a násl. Občanského zákoníku.</w:t>
      </w:r>
    </w:p>
    <w:p w14:paraId="2B1938B4" w14:textId="6DDA7CF9" w:rsidR="00AD39FA" w:rsidRPr="00AD39FA" w:rsidRDefault="00AD39FA" w:rsidP="00AD39FA">
      <w:pPr>
        <w:pStyle w:val="Nadpis2"/>
        <w:tabs>
          <w:tab w:val="num" w:pos="576"/>
        </w:tabs>
        <w:ind w:left="786"/>
      </w:pPr>
      <w:r w:rsidRPr="006B0CB8">
        <w:t>Smluvní strany se dohodly na vyloučení</w:t>
      </w:r>
      <w:r>
        <w:t xml:space="preserve"> aplikace</w:t>
      </w:r>
      <w:r w:rsidRPr="006B0CB8">
        <w:t xml:space="preserve"> </w:t>
      </w:r>
      <w:proofErr w:type="spellStart"/>
      <w:r w:rsidRPr="006B0CB8">
        <w:t>ust</w:t>
      </w:r>
      <w:proofErr w:type="spellEnd"/>
      <w:r w:rsidRPr="006B0CB8">
        <w:t xml:space="preserve">. § 2111 </w:t>
      </w:r>
      <w:r>
        <w:t>O</w:t>
      </w:r>
      <w:r w:rsidRPr="006B0CB8">
        <w:t xml:space="preserve">bčanského zákoníku a dále </w:t>
      </w:r>
      <w:proofErr w:type="spellStart"/>
      <w:r w:rsidRPr="006B0CB8">
        <w:t>ust</w:t>
      </w:r>
      <w:proofErr w:type="spellEnd"/>
      <w:r w:rsidRPr="006B0CB8">
        <w:t xml:space="preserve">. § 2106 odst. 2 věta druhá </w:t>
      </w:r>
      <w:r>
        <w:t>O</w:t>
      </w:r>
      <w:r w:rsidRPr="006B0CB8">
        <w:t xml:space="preserve">bčanského zákoníku; </w:t>
      </w:r>
      <w:r>
        <w:t>K</w:t>
      </w:r>
      <w:r w:rsidRPr="006B0CB8">
        <w:t>upující je oprávněn měnit volbu svého nároku z vadného plnění, a to i opakovaně, a to bez souhlasu Prodávajícího.</w:t>
      </w:r>
    </w:p>
    <w:p w14:paraId="43245AD5" w14:textId="77777777" w:rsidR="006135FA" w:rsidRPr="000F6427" w:rsidRDefault="006135FA" w:rsidP="00FD2054">
      <w:pPr>
        <w:pStyle w:val="Nadpis1"/>
        <w:ind w:left="3904"/>
        <w:jc w:val="left"/>
        <w:rPr>
          <w:color w:val="CC0099"/>
        </w:rPr>
      </w:pPr>
      <w:r>
        <w:t>Mlčenlivost</w:t>
      </w:r>
    </w:p>
    <w:p w14:paraId="64BD866D"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55DAF6C3" w14:textId="12DA84EC"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8F31DC">
        <w:t xml:space="preserve"> čl. XIII.</w:t>
      </w:r>
      <w:r w:rsidRPr="005D10B7">
        <w:t xml:space="preserve"> </w:t>
      </w:r>
      <w:r w:rsidRPr="007D70BD">
        <w:t xml:space="preserve">odst. </w:t>
      </w:r>
      <w:r w:rsidR="008F31DC">
        <w:t>5 této Smlouvy</w:t>
      </w:r>
      <w:r w:rsidRPr="005D10B7">
        <w:t>);</w:t>
      </w:r>
    </w:p>
    <w:p w14:paraId="4C3977A6" w14:textId="05CC3813" w:rsidR="006135FA" w:rsidRPr="005D10B7" w:rsidRDefault="00AD39FA" w:rsidP="0020674C">
      <w:pPr>
        <w:pStyle w:val="Nadpis3"/>
      </w:pPr>
      <w:r>
        <w:t>informace, na které</w:t>
      </w:r>
      <w:r w:rsidR="006135FA" w:rsidRPr="005D10B7">
        <w:t xml:space="preserve"> se vztahuje zákonem uložená povinnost mlčenlivosti;</w:t>
      </w:r>
    </w:p>
    <w:p w14:paraId="53AFE8DB"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1E84F353"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6D7781DA"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1CBD8C12" w14:textId="77777777" w:rsidR="006135FA" w:rsidRPr="005D10B7" w:rsidRDefault="006135FA" w:rsidP="005B4CD5">
      <w:pPr>
        <w:pStyle w:val="Nadpis3"/>
      </w:pPr>
      <w:r w:rsidRPr="005D10B7">
        <w:t xml:space="preserve">jejichž sdělení vyžaduje </w:t>
      </w:r>
      <w:r>
        <w:t>jiný právní předpis;</w:t>
      </w:r>
    </w:p>
    <w:p w14:paraId="2EB35C64"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31EC379A"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4E1DEF87"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6D7AED0D"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1FE4F1DA"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2D1F01DA"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1996D0E1"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49D8028F" w14:textId="77777777" w:rsidR="006135FA" w:rsidRDefault="006135FA" w:rsidP="00FD2054">
      <w:pPr>
        <w:pStyle w:val="Nadpis1"/>
        <w:ind w:left="3904"/>
        <w:jc w:val="left"/>
      </w:pPr>
      <w:r>
        <w:t>Odpovědnost za škodu</w:t>
      </w:r>
    </w:p>
    <w:p w14:paraId="7EE6F1FA" w14:textId="77777777" w:rsidR="006135FA" w:rsidRDefault="006135FA" w:rsidP="0056725D">
      <w:pPr>
        <w:pStyle w:val="Nadpis2"/>
        <w:tabs>
          <w:tab w:val="num" w:pos="576"/>
        </w:tabs>
        <w:ind w:left="786"/>
      </w:pPr>
      <w:r>
        <w:t>Kupující odpovídá za každé zaviněné porušení smluvní povinnosti.</w:t>
      </w:r>
    </w:p>
    <w:p w14:paraId="7CDDEF57" w14:textId="77777777" w:rsidR="006135FA" w:rsidRDefault="006135FA" w:rsidP="0056725D">
      <w:pPr>
        <w:pStyle w:val="Nadpis2"/>
        <w:tabs>
          <w:tab w:val="num" w:pos="576"/>
        </w:tabs>
        <w:ind w:left="786"/>
      </w:pPr>
      <w:r>
        <w:t>Škodu hradí škůdce v penězích, nežádá-li poškozený uvedení do předešlého stavu.</w:t>
      </w:r>
    </w:p>
    <w:p w14:paraId="2E99533A" w14:textId="13FFCD91" w:rsidR="00545027" w:rsidRPr="00545027" w:rsidRDefault="00545027" w:rsidP="00F80E4D">
      <w:pPr>
        <w:pStyle w:val="Nadpis2"/>
        <w:ind w:left="851" w:hanging="425"/>
      </w:pPr>
      <w:r w:rsidRPr="00545027">
        <w:t>Náhrada škody je splatná ve lhůtě 30 dnů od doručení písemné výzvy oprávněné Smluvní strany Smluvní straně povinné z náhrady škody.</w:t>
      </w:r>
    </w:p>
    <w:p w14:paraId="6933CF9E" w14:textId="77777777" w:rsidR="006135FA" w:rsidRDefault="006135FA" w:rsidP="00D01689">
      <w:pPr>
        <w:pStyle w:val="Nadpis1"/>
        <w:ind w:left="4111" w:hanging="567"/>
        <w:jc w:val="left"/>
      </w:pPr>
      <w:r>
        <w:t>Sankce</w:t>
      </w:r>
    </w:p>
    <w:p w14:paraId="03B0D9B6" w14:textId="16822802" w:rsidR="0087757F" w:rsidRPr="005006C7" w:rsidRDefault="0087757F" w:rsidP="005006C7">
      <w:pPr>
        <w:pStyle w:val="Nadpis2"/>
        <w:tabs>
          <w:tab w:val="num" w:pos="576"/>
        </w:tabs>
        <w:ind w:left="786"/>
      </w:pPr>
      <w:r w:rsidRPr="005006C7">
        <w:t>V případě prodlení Prodáva</w:t>
      </w:r>
      <w:r w:rsidR="007F37FD" w:rsidRPr="005006C7">
        <w:t>jí</w:t>
      </w:r>
      <w:r w:rsidR="00AD39FA">
        <w:t>cího s</w:t>
      </w:r>
      <w:r w:rsidRPr="005006C7">
        <w:t xml:space="preserve"> dodání</w:t>
      </w:r>
      <w:r w:rsidR="00AD39FA">
        <w:t>m</w:t>
      </w:r>
      <w:r w:rsidRPr="005006C7">
        <w:t xml:space="preserve"> Předmětu koupě</w:t>
      </w:r>
      <w:r w:rsidR="00C87C75">
        <w:t xml:space="preserve"> oproti termínům</w:t>
      </w:r>
      <w:r w:rsidRPr="005006C7">
        <w:t xml:space="preserve"> vyplývající</w:t>
      </w:r>
      <w:r w:rsidR="00C87C75">
        <w:t>m</w:t>
      </w:r>
      <w:r w:rsidRPr="005006C7">
        <w:t xml:space="preserve"> z této Smlouvy má Kupující právo uplatnit vůči Prodávajíc</w:t>
      </w:r>
      <w:r w:rsidR="00C87C75">
        <w:t>ímu smluvní pokutu ve výši 0,25 </w:t>
      </w:r>
      <w:r w:rsidRPr="005006C7">
        <w:t>% (slovy: dvacet pět setin procenta) z Kupní ceny za nedodanou část Předmětu koupě za každý započatý den prodlení.</w:t>
      </w:r>
    </w:p>
    <w:p w14:paraId="329CD184" w14:textId="34091EB1" w:rsidR="007F37FD" w:rsidRPr="003C28BC" w:rsidRDefault="007F37FD" w:rsidP="003C28BC">
      <w:pPr>
        <w:pStyle w:val="Nadpis2"/>
        <w:tabs>
          <w:tab w:val="num" w:pos="576"/>
        </w:tabs>
        <w:ind w:left="786"/>
      </w:pPr>
      <w:r w:rsidRPr="003C28BC">
        <w:t xml:space="preserve">V případě prodlení Prodávajícího </w:t>
      </w:r>
      <w:r w:rsidR="00C87C75">
        <w:t>s</w:t>
      </w:r>
      <w:r w:rsidR="00347941">
        <w:t>e zahájením</w:t>
      </w:r>
      <w:r w:rsidRPr="003C28BC">
        <w:t xml:space="preserve"> odstra</w:t>
      </w:r>
      <w:r w:rsidR="00347941">
        <w:t>ňování</w:t>
      </w:r>
      <w:r w:rsidRPr="003C28BC">
        <w:t xml:space="preserve"> vady </w:t>
      </w:r>
      <w:r w:rsidR="00C87C75">
        <w:t xml:space="preserve">oproti termínům </w:t>
      </w:r>
      <w:r w:rsidRPr="003C28BC">
        <w:t>vyplývající</w:t>
      </w:r>
      <w:r w:rsidR="00C87C75">
        <w:t>m</w:t>
      </w:r>
      <w:r w:rsidRPr="003C28BC">
        <w:t xml:space="preserve"> z této Smlouvy</w:t>
      </w:r>
      <w:r w:rsidR="00347941">
        <w:t xml:space="preserve"> nebo v případě prodlení s nahrazením vadného kusu Předmětu koupě kusem novým, pokud má Předmět koupě neodstranitelnou vadu,</w:t>
      </w:r>
      <w:r w:rsidRPr="003C28BC">
        <w:t xml:space="preserve"> má Kupující právo uplatnit vůči Prodávajícímu smluvní pokutu </w:t>
      </w:r>
      <w:r w:rsidR="00C87C75">
        <w:t>ve výši 0,3</w:t>
      </w:r>
      <w:r w:rsidR="00197998">
        <w:t xml:space="preserve"> % </w:t>
      </w:r>
      <w:r w:rsidR="00C87C75">
        <w:t xml:space="preserve">(slovy: tři desetiny procenta) </w:t>
      </w:r>
      <w:r w:rsidR="00197998">
        <w:t>z Kupní ceny části Předmětu koupě s neodstraněnou vadou za každý započatý den prodlení</w:t>
      </w:r>
      <w:r w:rsidR="00264A98">
        <w:t>.</w:t>
      </w:r>
    </w:p>
    <w:p w14:paraId="451E89D9"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3F9B1BF4" w14:textId="642A1FBC"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8F31DC">
        <w:t xml:space="preserve"> této Smlouvy</w:t>
      </w:r>
      <w:r w:rsidRPr="00894F6E">
        <w:t xml:space="preserve">, je druhá </w:t>
      </w:r>
      <w:r w:rsidR="008F31DC">
        <w:t>S</w:t>
      </w:r>
      <w:r w:rsidRPr="00894F6E">
        <w:t>mluvní strana oprávněna poža</w:t>
      </w:r>
      <w:r w:rsidR="00FA3CB7">
        <w:t xml:space="preserve">dovat smluvní pokutu ve výši </w:t>
      </w:r>
      <w:proofErr w:type="gramStart"/>
      <w:r w:rsidR="00FA3CB7">
        <w:t>10</w:t>
      </w:r>
      <w:r w:rsidRPr="00894F6E">
        <w:t>.000,-</w:t>
      </w:r>
      <w:proofErr w:type="gramEnd"/>
      <w:r w:rsidRPr="00894F6E">
        <w:t xml:space="preserve">Kč (slovy: </w:t>
      </w:r>
      <w:r w:rsidR="000B22DF">
        <w:t>deset</w:t>
      </w:r>
      <w:r w:rsidRPr="00894F6E">
        <w:t xml:space="preserve"> tisíc korun českých), a to za každý jednotlivý případ porušení.</w:t>
      </w:r>
    </w:p>
    <w:p w14:paraId="3C8C3C7A"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6AF8F02E" w14:textId="3F104C82" w:rsidR="006135FA" w:rsidRDefault="006135FA" w:rsidP="005C0F87">
      <w:pPr>
        <w:pStyle w:val="Nadpis2"/>
        <w:tabs>
          <w:tab w:val="num" w:pos="576"/>
        </w:tabs>
        <w:ind w:left="786"/>
      </w:pPr>
      <w:r w:rsidRPr="00894F6E">
        <w:t xml:space="preserve">Ujednáním o smluvní pokutě není dotčeno právo poškozené </w:t>
      </w:r>
      <w:r w:rsidR="008F31DC">
        <w:t>S</w:t>
      </w:r>
      <w:r w:rsidRPr="00894F6E">
        <w:t xml:space="preserve">mluvní strany domáhat se náhrady škody v plné výši. </w:t>
      </w:r>
    </w:p>
    <w:p w14:paraId="6B230913" w14:textId="6F53EF91" w:rsidR="00AD5505" w:rsidRPr="00EC700D" w:rsidRDefault="00AD5505" w:rsidP="00AD5505">
      <w:pPr>
        <w:pStyle w:val="Nadpis2"/>
        <w:tabs>
          <w:tab w:val="num" w:pos="576"/>
        </w:tabs>
        <w:ind w:left="786"/>
      </w:pPr>
      <w:r w:rsidRPr="00EC700D">
        <w:t xml:space="preserve">Smluvní strany </w:t>
      </w:r>
      <w:r w:rsidR="008F31DC">
        <w:t>se dohodly na vyloučení aplikace</w:t>
      </w:r>
      <w:r w:rsidRPr="00EC700D">
        <w:t xml:space="preserve"> § 1806 Občanského zákoníku.</w:t>
      </w:r>
    </w:p>
    <w:p w14:paraId="3A1FFB30" w14:textId="77777777" w:rsidR="006135FA" w:rsidRDefault="006135FA" w:rsidP="00FD2054">
      <w:pPr>
        <w:pStyle w:val="Nadpis1"/>
        <w:ind w:left="3904"/>
        <w:jc w:val="left"/>
      </w:pPr>
      <w:r>
        <w:t xml:space="preserve">Ukončení </w:t>
      </w:r>
      <w:r w:rsidR="009E6AF5">
        <w:t>S</w:t>
      </w:r>
      <w:r>
        <w:t>mlouvy</w:t>
      </w:r>
    </w:p>
    <w:p w14:paraId="77F43FD1"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70413DE4" w14:textId="577DDCE3" w:rsidR="006135FA" w:rsidRDefault="006135FA" w:rsidP="0056725D">
      <w:pPr>
        <w:pStyle w:val="Nadpis2"/>
        <w:tabs>
          <w:tab w:val="num" w:pos="576"/>
        </w:tabs>
        <w:ind w:left="786"/>
      </w:pPr>
      <w:r>
        <w:t xml:space="preserve">Kupující je oprávněn </w:t>
      </w:r>
      <w:r w:rsidR="00545027">
        <w:t xml:space="preserve">od Smlouvy odstoupit </w:t>
      </w:r>
      <w:r>
        <w:t>v následujících případech:</w:t>
      </w:r>
    </w:p>
    <w:p w14:paraId="11F05588" w14:textId="77777777" w:rsidR="006135FA" w:rsidRDefault="006135FA" w:rsidP="00127198">
      <w:pPr>
        <w:pStyle w:val="Nadpis3"/>
      </w:pPr>
      <w:r>
        <w:t>bude rozhodnuto o likvidaci Prodávajícího;</w:t>
      </w:r>
    </w:p>
    <w:p w14:paraId="4C0E0611" w14:textId="77777777"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14:paraId="510B94D7" w14:textId="77777777" w:rsidR="006135FA" w:rsidRPr="00127198" w:rsidRDefault="006135FA" w:rsidP="00127198">
      <w:pPr>
        <w:pStyle w:val="Nadpis3"/>
      </w:pPr>
      <w:r>
        <w:t>Prodávající bude pravomocně odsouzen za úmyslný majetkový nebo hospodářský trestný čin.</w:t>
      </w:r>
    </w:p>
    <w:p w14:paraId="4459CDB4" w14:textId="77777777" w:rsidR="006135FA" w:rsidRPr="005A0DF9" w:rsidRDefault="006135FA" w:rsidP="00F80E4D">
      <w:pPr>
        <w:pStyle w:val="Nadpis2"/>
        <w:tabs>
          <w:tab w:val="num" w:pos="851"/>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443544D0"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4A9DB1E9"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1EBF0306"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7F0DFB30" w14:textId="4CDF1AAD" w:rsidR="009E1A06" w:rsidRDefault="009E1A06" w:rsidP="009E1A06">
      <w:pPr>
        <w:pStyle w:val="Nadpis3"/>
      </w:pPr>
      <w:r>
        <w:t>prodlení Prodávajícího s odstraněním vady Předmětu koupě o více než 30 kalendářních dní oproti termínu sjednanému ve Smlouvě;</w:t>
      </w:r>
    </w:p>
    <w:p w14:paraId="5E2FFE55" w14:textId="77777777" w:rsidR="006135FA" w:rsidRDefault="006135FA" w:rsidP="00F07F61">
      <w:pPr>
        <w:pStyle w:val="Nadpis3"/>
      </w:pPr>
      <w:r>
        <w:t xml:space="preserve">vícečetné porušování smluvních či jiných právních povinností v souvislosti s plněním Smlouvy; </w:t>
      </w:r>
    </w:p>
    <w:p w14:paraId="723CFBE3"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28981AB8"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6E45C401" w14:textId="5B00BB89"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w:t>
      </w:r>
      <w:r w:rsidR="009E1A06">
        <w:t>, ledaže Kupující stanoví v konkrétním případě, že poskytnuté plnění si Smluvní strany nevrací</w:t>
      </w:r>
      <w:r>
        <w:t>. Ustanovení odst</w:t>
      </w:r>
      <w:r w:rsidR="00C010B9">
        <w:t>.</w:t>
      </w:r>
      <w:r>
        <w:t xml:space="preserve"> 4 tohoto článku není dotčeno.</w:t>
      </w:r>
    </w:p>
    <w:p w14:paraId="057D5F4A" w14:textId="77777777"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1670F42D" w14:textId="5B20A3BF" w:rsidR="00545027" w:rsidRDefault="00545027" w:rsidP="0056725D">
      <w:pPr>
        <w:pStyle w:val="Nadpis2"/>
        <w:tabs>
          <w:tab w:val="num" w:pos="576"/>
        </w:tabs>
        <w:ind w:left="786"/>
      </w:pPr>
      <w:r w:rsidRPr="00807D39">
        <w:t>Odstoupení od Smlouvy musí být písemné, jinak nemá právní účinky. Odstoupení je účinné ode dne, kdy bylo doručeno druhé Smluvní straně</w:t>
      </w:r>
      <w:r>
        <w:t>.</w:t>
      </w:r>
    </w:p>
    <w:p w14:paraId="35BD565A" w14:textId="2737DF70"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8F31DC">
        <w:t>. této Smlouvy</w:t>
      </w:r>
      <w:r>
        <w:t>.</w:t>
      </w:r>
    </w:p>
    <w:p w14:paraId="3BA68493" w14:textId="77777777" w:rsidR="006135FA" w:rsidRPr="005C0F87" w:rsidRDefault="006135FA" w:rsidP="00FD2054">
      <w:pPr>
        <w:pStyle w:val="Nadpis1"/>
        <w:ind w:left="3904"/>
        <w:jc w:val="left"/>
      </w:pPr>
      <w:r w:rsidRPr="005C0F87">
        <w:t>Závěrečná ustanovení</w:t>
      </w:r>
    </w:p>
    <w:p w14:paraId="74CCA94A" w14:textId="77777777" w:rsidR="009E1A06" w:rsidRDefault="009E1A06" w:rsidP="009E1A06">
      <w:pPr>
        <w:pStyle w:val="Nadpis2"/>
        <w:ind w:left="851" w:hanging="425"/>
      </w:pPr>
      <w:r>
        <w:t xml:space="preserve">Kupující si podle </w:t>
      </w:r>
      <w:proofErr w:type="spellStart"/>
      <w:r>
        <w:t>ust</w:t>
      </w:r>
      <w:proofErr w:type="spellEnd"/>
      <w:r>
        <w:t>. § 100 odst. 2 zákona č. 134/2016 Sb., o zadávání veřejných zakázek, v účinném znění (dále jen „ZZVZ“) vyhrazuje právo na změnu Prodávajícího. V případě, že Kupující v průběhu plnění Smlouvy od této Smlouvy odstoupí v souladu s touto Smlouvou, je Kupující oprávněn uzavřít Smlouvu s dodavatelem, který se umístil jako další v pořadí v zadávacím řízení (dále jen „druhý Prodávající“ nebo „nový Prodávající“), a to za podmínek uvedených v nabídce tohoto druhého Prodávajícího podané v zadávacím řízení. Pokud již bylo z této Smlouvy plněno a toto plnění se Prodávajícímu nevrací, nebo pokud Kupující odstoupí jen od nesplněného zbytku plnění Smlouvy, je Kupující oprávněn uzavřít s druhým Prodávajícím Smlouvu ve zbývajícím (nesplněném) rozsahu. Tento postup se použije obdobně v případě dodavatelů, kteří se umístili v zadávacím řízení na třetím a dalším místě v pořadí dle hodnocení nabídek.</w:t>
      </w:r>
    </w:p>
    <w:p w14:paraId="6A876215" w14:textId="77777777" w:rsidR="009E1A06" w:rsidRDefault="009E1A06" w:rsidP="009E1A06">
      <w:pPr>
        <w:pStyle w:val="Nadpis2"/>
        <w:ind w:left="851" w:hanging="425"/>
      </w:pPr>
      <w:r>
        <w:t>V případě změny Prodávajícího dle tohoto článku odst. 1) Smlouvy platí následující:</w:t>
      </w:r>
    </w:p>
    <w:p w14:paraId="66CAB68A" w14:textId="77777777" w:rsidR="009E1A06" w:rsidRDefault="009E1A06" w:rsidP="009E1A06">
      <w:pPr>
        <w:pStyle w:val="Nadpis3"/>
      </w:pPr>
      <w:r>
        <w:t xml:space="preserve">Smlouva bude </w:t>
      </w:r>
      <w:r w:rsidRPr="006F1DD0">
        <w:t xml:space="preserve">novým </w:t>
      </w:r>
      <w:r>
        <w:t>Prodávajícím</w:t>
      </w:r>
      <w:r w:rsidRPr="006F1DD0">
        <w:t xml:space="preserve"> plněna v souladu s podmínkami dle </w:t>
      </w:r>
      <w:r>
        <w:t xml:space="preserve">zadávací dokumentace veřejné zakázky a </w:t>
      </w:r>
      <w:r w:rsidRPr="006F1DD0">
        <w:t xml:space="preserve">nabídky nového </w:t>
      </w:r>
      <w:r>
        <w:t>Prodávajícího</w:t>
      </w:r>
      <w:r w:rsidRPr="006F1DD0">
        <w:t xml:space="preserve"> </w:t>
      </w:r>
      <w:r>
        <w:t>podané v zadávacím řízení;</w:t>
      </w:r>
    </w:p>
    <w:p w14:paraId="09C9B017" w14:textId="77777777" w:rsidR="009E1A06" w:rsidRDefault="009E1A06" w:rsidP="009E1A06">
      <w:pPr>
        <w:pStyle w:val="Nadpis3"/>
      </w:pPr>
      <w:r>
        <w:t xml:space="preserve">V souvislosti s </w:t>
      </w:r>
      <w:r w:rsidRPr="006F1DD0">
        <w:t xml:space="preserve">realizací vyhrazené změny </w:t>
      </w:r>
      <w:r>
        <w:t>Prodávajícího bude</w:t>
      </w:r>
      <w:r w:rsidRPr="006F1DD0">
        <w:t xml:space="preserve"> </w:t>
      </w:r>
      <w:r>
        <w:t xml:space="preserve">Smlouva uzavíraná s novým Prodávajícím upravena </w:t>
      </w:r>
      <w:r w:rsidRPr="006F1DD0">
        <w:t>následujícím způsobem</w:t>
      </w:r>
      <w:r>
        <w:t>:</w:t>
      </w:r>
    </w:p>
    <w:p w14:paraId="197521AC" w14:textId="77777777" w:rsidR="009E1A06" w:rsidRPr="00640457" w:rsidRDefault="009E1A06" w:rsidP="009E1A06">
      <w:pPr>
        <w:pStyle w:val="Odstavecseseznamem"/>
        <w:numPr>
          <w:ilvl w:val="0"/>
          <w:numId w:val="6"/>
        </w:numPr>
        <w:jc w:val="both"/>
        <w:rPr>
          <w:sz w:val="24"/>
          <w:szCs w:val="24"/>
        </w:rPr>
      </w:pPr>
      <w:r w:rsidRPr="00640457">
        <w:rPr>
          <w:sz w:val="24"/>
          <w:szCs w:val="24"/>
        </w:rPr>
        <w:t>Smlouva</w:t>
      </w:r>
      <w:r>
        <w:rPr>
          <w:sz w:val="24"/>
          <w:szCs w:val="24"/>
        </w:rPr>
        <w:t xml:space="preserve"> </w:t>
      </w:r>
      <w:r w:rsidRPr="00640457">
        <w:rPr>
          <w:sz w:val="24"/>
          <w:szCs w:val="24"/>
        </w:rPr>
        <w:t>bude upraven</w:t>
      </w:r>
      <w:r>
        <w:rPr>
          <w:sz w:val="24"/>
          <w:szCs w:val="24"/>
        </w:rPr>
        <w:t>a</w:t>
      </w:r>
      <w:r w:rsidRPr="00640457">
        <w:rPr>
          <w:sz w:val="24"/>
          <w:szCs w:val="24"/>
        </w:rPr>
        <w:t xml:space="preserve"> dle nabídky nového </w:t>
      </w:r>
      <w:r>
        <w:rPr>
          <w:sz w:val="24"/>
          <w:szCs w:val="24"/>
        </w:rPr>
        <w:t>Prodávajícího</w:t>
      </w:r>
      <w:r w:rsidRPr="00640457">
        <w:rPr>
          <w:sz w:val="24"/>
          <w:szCs w:val="24"/>
        </w:rPr>
        <w:t>, zejména co se týče údajů, které byly předmětem hodnocení nabídek</w:t>
      </w:r>
      <w:r>
        <w:rPr>
          <w:sz w:val="24"/>
          <w:szCs w:val="24"/>
        </w:rPr>
        <w:t xml:space="preserve"> v zadávacím řízení</w:t>
      </w:r>
      <w:r w:rsidRPr="00640457">
        <w:rPr>
          <w:sz w:val="24"/>
          <w:szCs w:val="24"/>
        </w:rPr>
        <w:t xml:space="preserve"> a co se týče technické specifikace </w:t>
      </w:r>
      <w:r>
        <w:rPr>
          <w:sz w:val="24"/>
          <w:szCs w:val="24"/>
        </w:rPr>
        <w:t xml:space="preserve">Předmětu koupě </w:t>
      </w:r>
      <w:r w:rsidRPr="00640457">
        <w:rPr>
          <w:sz w:val="24"/>
          <w:szCs w:val="24"/>
        </w:rPr>
        <w:t xml:space="preserve">(včetně úpravy přílohy č. 1 návrhu Smlouvy – Technická specifikace). Tato úprava Smlouvy je vyhrazenou změnou dle </w:t>
      </w:r>
      <w:proofErr w:type="spellStart"/>
      <w:r w:rsidRPr="00640457">
        <w:rPr>
          <w:sz w:val="24"/>
          <w:szCs w:val="24"/>
        </w:rPr>
        <w:t>ust</w:t>
      </w:r>
      <w:proofErr w:type="spellEnd"/>
      <w:r w:rsidRPr="00640457">
        <w:rPr>
          <w:sz w:val="24"/>
          <w:szCs w:val="24"/>
        </w:rPr>
        <w:t xml:space="preserve">. § 100 odst. 1 </w:t>
      </w:r>
      <w:r>
        <w:rPr>
          <w:sz w:val="24"/>
          <w:szCs w:val="24"/>
        </w:rPr>
        <w:t>ZZVZ;</w:t>
      </w:r>
    </w:p>
    <w:p w14:paraId="3D99899E" w14:textId="77777777" w:rsidR="009E1A06" w:rsidRDefault="009E1A06" w:rsidP="009E1A06">
      <w:pPr>
        <w:pStyle w:val="Odstavecseseznamem"/>
        <w:numPr>
          <w:ilvl w:val="0"/>
          <w:numId w:val="6"/>
        </w:numPr>
        <w:jc w:val="both"/>
        <w:rPr>
          <w:sz w:val="24"/>
          <w:szCs w:val="24"/>
        </w:rPr>
      </w:pPr>
      <w:r w:rsidRPr="009373D5">
        <w:rPr>
          <w:sz w:val="24"/>
          <w:szCs w:val="24"/>
        </w:rPr>
        <w:t xml:space="preserve">návrh Smlouvy </w:t>
      </w:r>
      <w:r>
        <w:rPr>
          <w:sz w:val="24"/>
          <w:szCs w:val="24"/>
        </w:rPr>
        <w:t xml:space="preserve">bude doplněn </w:t>
      </w:r>
      <w:r w:rsidRPr="009373D5">
        <w:rPr>
          <w:sz w:val="24"/>
          <w:szCs w:val="24"/>
        </w:rPr>
        <w:t xml:space="preserve">o ustanovení týkající se předání a převzetí plnění od stávajícího </w:t>
      </w:r>
      <w:r>
        <w:rPr>
          <w:sz w:val="24"/>
          <w:szCs w:val="24"/>
        </w:rPr>
        <w:t>Prodávajícího</w:t>
      </w:r>
      <w:r w:rsidRPr="009373D5">
        <w:rPr>
          <w:sz w:val="24"/>
          <w:szCs w:val="24"/>
        </w:rPr>
        <w:t>, je-li to nezbytné</w:t>
      </w:r>
      <w:r>
        <w:rPr>
          <w:sz w:val="24"/>
          <w:szCs w:val="24"/>
        </w:rPr>
        <w:t>;</w:t>
      </w:r>
    </w:p>
    <w:p w14:paraId="3A9EAFD7" w14:textId="267C0B71" w:rsidR="009E1A06" w:rsidRPr="009E1A06" w:rsidRDefault="009E1A06" w:rsidP="009E1A06">
      <w:pPr>
        <w:pStyle w:val="Odstavecseseznamem"/>
        <w:numPr>
          <w:ilvl w:val="0"/>
          <w:numId w:val="6"/>
        </w:numPr>
        <w:jc w:val="both"/>
        <w:rPr>
          <w:sz w:val="24"/>
          <w:szCs w:val="24"/>
        </w:rPr>
      </w:pPr>
      <w:r w:rsidRPr="00073785">
        <w:rPr>
          <w:sz w:val="24"/>
          <w:szCs w:val="24"/>
        </w:rPr>
        <w:t xml:space="preserve">Úprava doby dodání </w:t>
      </w:r>
      <w:r>
        <w:rPr>
          <w:sz w:val="24"/>
          <w:szCs w:val="24"/>
        </w:rPr>
        <w:t>P</w:t>
      </w:r>
      <w:r w:rsidRPr="00073785">
        <w:rPr>
          <w:sz w:val="24"/>
          <w:szCs w:val="24"/>
        </w:rPr>
        <w:t xml:space="preserve">ředmětu koupě bude sjednána tak, aby </w:t>
      </w:r>
      <w:r>
        <w:rPr>
          <w:sz w:val="24"/>
          <w:szCs w:val="24"/>
        </w:rPr>
        <w:t>nový Prodávající</w:t>
      </w:r>
      <w:r w:rsidRPr="00073785">
        <w:rPr>
          <w:sz w:val="24"/>
          <w:szCs w:val="24"/>
        </w:rPr>
        <w:t xml:space="preserve"> k dodání </w:t>
      </w:r>
      <w:r>
        <w:rPr>
          <w:sz w:val="24"/>
          <w:szCs w:val="24"/>
        </w:rPr>
        <w:t>P</w:t>
      </w:r>
      <w:r w:rsidRPr="00073785">
        <w:rPr>
          <w:sz w:val="24"/>
          <w:szCs w:val="24"/>
        </w:rPr>
        <w:t xml:space="preserve">ředmětu koupě nebo jeho zbývající části měl stejný časový úsek jako původní </w:t>
      </w:r>
      <w:r>
        <w:rPr>
          <w:sz w:val="24"/>
          <w:szCs w:val="24"/>
        </w:rPr>
        <w:t>Prodávající</w:t>
      </w:r>
      <w:r w:rsidRPr="00073785">
        <w:rPr>
          <w:sz w:val="24"/>
          <w:szCs w:val="24"/>
        </w:rPr>
        <w:t xml:space="preserve"> (tj.</w:t>
      </w:r>
      <w:r>
        <w:rPr>
          <w:sz w:val="24"/>
          <w:szCs w:val="24"/>
        </w:rPr>
        <w:t xml:space="preserve"> nový Prodávající bude povinen Předmět koupě, nebo jeho zbývající část, a Školení dodat v termínech uvedených v čl. III. odst. 1 Smlouvy</w:t>
      </w:r>
      <w:r w:rsidRPr="00073785">
        <w:rPr>
          <w:sz w:val="24"/>
          <w:szCs w:val="24"/>
        </w:rPr>
        <w:t xml:space="preserve">). Tato úprava návrhu Smlouvy je vyhrazenou změnou dle </w:t>
      </w:r>
      <w:proofErr w:type="spellStart"/>
      <w:r w:rsidRPr="00073785">
        <w:rPr>
          <w:sz w:val="24"/>
          <w:szCs w:val="24"/>
        </w:rPr>
        <w:t>ust</w:t>
      </w:r>
      <w:proofErr w:type="spellEnd"/>
      <w:r w:rsidRPr="00073785">
        <w:rPr>
          <w:sz w:val="24"/>
          <w:szCs w:val="24"/>
        </w:rPr>
        <w:t xml:space="preserve">. § 100 odst. 1 </w:t>
      </w:r>
      <w:r>
        <w:rPr>
          <w:sz w:val="24"/>
          <w:szCs w:val="24"/>
        </w:rPr>
        <w:t>ZZVZ.</w:t>
      </w:r>
    </w:p>
    <w:p w14:paraId="7E38D8FC" w14:textId="3039EF2C" w:rsidR="006135FA" w:rsidRPr="005C0F87" w:rsidRDefault="006135FA" w:rsidP="00F80E4D">
      <w:pPr>
        <w:pStyle w:val="Nadpis2"/>
        <w:ind w:left="851" w:hanging="425"/>
      </w:pPr>
      <w:r w:rsidRPr="005C0F87">
        <w:t xml:space="preserve">Oznámení nebo jiná sdělení podle této Smlouvy musí být učiněna písemně v českém jazyce. Jakékoliv úkony směřující ke skončení této Smlouvy </w:t>
      </w:r>
      <w:r w:rsidR="00545027" w:rsidRPr="00545027">
        <w:t xml:space="preserve">a oznámení o změně bankovních údajů </w:t>
      </w:r>
      <w:r w:rsidRPr="005C0F87">
        <w:t xml:space="preserve">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253CE7A7" w14:textId="06654A85" w:rsidR="0026641A" w:rsidRPr="0031391F" w:rsidRDefault="0026641A" w:rsidP="00400EC4">
      <w:pPr>
        <w:pStyle w:val="Nadpis3"/>
      </w:pPr>
      <w:r w:rsidRPr="0031391F">
        <w:t>Kupující:</w:t>
      </w:r>
      <w:r w:rsidRPr="0031391F">
        <w:rPr>
          <w:i/>
        </w:rPr>
        <w:t xml:space="preserve"> </w:t>
      </w:r>
      <w:r w:rsidRPr="0031391F">
        <w:t>Ředitelství vodních cest ČR</w:t>
      </w:r>
    </w:p>
    <w:p w14:paraId="2C8FC703" w14:textId="13E110AB" w:rsidR="0026641A" w:rsidRPr="0031391F" w:rsidRDefault="0026641A" w:rsidP="0026641A">
      <w:pPr>
        <w:pStyle w:val="Nadpis2bezslovn"/>
        <w:ind w:left="1080"/>
      </w:pPr>
      <w:r w:rsidRPr="0031391F">
        <w:t xml:space="preserve">Jméno: </w:t>
      </w:r>
      <w:r w:rsidR="00B61152" w:rsidRPr="00B61152">
        <w:t>XXXXXXXXXXX</w:t>
      </w:r>
    </w:p>
    <w:p w14:paraId="22D293A9" w14:textId="77777777" w:rsidR="0026641A" w:rsidRPr="0031391F" w:rsidRDefault="0026641A" w:rsidP="0026641A">
      <w:pPr>
        <w:pStyle w:val="Nadpis2bezslovn"/>
        <w:ind w:left="1080"/>
      </w:pPr>
      <w:r w:rsidRPr="0031391F">
        <w:t>Adresa: nábřeží Ludvíka Svobody 1222/12, 110 15 Praha 1</w:t>
      </w:r>
    </w:p>
    <w:p w14:paraId="03777E82" w14:textId="448B78BD" w:rsidR="0026641A" w:rsidRPr="0031391F" w:rsidRDefault="0026641A" w:rsidP="0026641A">
      <w:pPr>
        <w:pStyle w:val="Nadpis2bezslovn"/>
        <w:ind w:left="1080"/>
      </w:pPr>
      <w:r w:rsidRPr="0031391F">
        <w:t xml:space="preserve">E-mail: </w:t>
      </w:r>
      <w:r w:rsidR="00B61152" w:rsidRPr="00B61152">
        <w:t>XXXXXXXXXXX</w:t>
      </w:r>
    </w:p>
    <w:p w14:paraId="46AFF8BA" w14:textId="1A3CF8FA" w:rsidR="006135FA" w:rsidRPr="005C0F87" w:rsidRDefault="0026641A" w:rsidP="0026641A">
      <w:pPr>
        <w:pStyle w:val="Nadpis2bezslovn"/>
        <w:ind w:left="1080"/>
      </w:pPr>
      <w:r w:rsidRPr="0031391F">
        <w:t>Datová schránka: ndn5skh</w:t>
      </w:r>
      <w:r w:rsidR="006135FA" w:rsidRPr="00BE7107">
        <w:t xml:space="preserve"> </w:t>
      </w:r>
    </w:p>
    <w:p w14:paraId="67E5DA19" w14:textId="01B2238F" w:rsidR="006135FA" w:rsidRPr="005C0F87" w:rsidRDefault="006135FA" w:rsidP="00147915">
      <w:pPr>
        <w:pStyle w:val="Nadpis3"/>
      </w:pPr>
      <w:r w:rsidRPr="005C0F87">
        <w:t>Prodávajíc</w:t>
      </w:r>
      <w:r>
        <w:t>í</w:t>
      </w:r>
      <w:r w:rsidRPr="005C0F87">
        <w:t>:</w:t>
      </w:r>
      <w:r w:rsidR="00236DAB" w:rsidRPr="002E12F9">
        <w:rPr>
          <w:i/>
        </w:rPr>
        <w:t xml:space="preserve"> </w:t>
      </w:r>
      <w:r w:rsidR="002E12F9" w:rsidRPr="002E12F9">
        <w:rPr>
          <w:i/>
        </w:rPr>
        <w:t>TSUNAMI, spol. s r.o.</w:t>
      </w:r>
    </w:p>
    <w:p w14:paraId="77ECEBD0" w14:textId="2CEFDABF" w:rsidR="006135FA" w:rsidRDefault="006135FA" w:rsidP="005C0F87">
      <w:pPr>
        <w:pStyle w:val="Nadpis2bezslovn"/>
        <w:ind w:left="1080"/>
        <w:rPr>
          <w:i/>
        </w:rPr>
      </w:pPr>
      <w:r w:rsidRPr="005C0F87">
        <w:t xml:space="preserve">Jméno: </w:t>
      </w:r>
      <w:r w:rsidR="00B61152" w:rsidRPr="00B61152">
        <w:t>XXXXXXXXXXX</w:t>
      </w:r>
    </w:p>
    <w:p w14:paraId="571F78A2" w14:textId="2F008885" w:rsidR="006135FA" w:rsidRPr="005C0F87" w:rsidRDefault="006135FA" w:rsidP="005C0F87">
      <w:pPr>
        <w:pStyle w:val="Nadpis2bezslovn"/>
        <w:ind w:left="1080"/>
      </w:pPr>
      <w:r w:rsidRPr="005C0F87">
        <w:t xml:space="preserve">Adresa: </w:t>
      </w:r>
      <w:r w:rsidR="002E12F9" w:rsidRPr="002E12F9">
        <w:t>Mírové náměstí 18/10, 41201 Litoměřice</w:t>
      </w:r>
    </w:p>
    <w:p w14:paraId="6D63B23F" w14:textId="0439B1DB" w:rsidR="006135FA" w:rsidRPr="005C0F87" w:rsidRDefault="006135FA" w:rsidP="005C0F87">
      <w:pPr>
        <w:pStyle w:val="Nadpis2bezslovn"/>
        <w:ind w:left="1080"/>
      </w:pPr>
      <w:r w:rsidRPr="005C0F87">
        <w:t xml:space="preserve">E-mail: </w:t>
      </w:r>
      <w:r w:rsidR="00B61152" w:rsidRPr="00B61152">
        <w:t>XXXXXXXXXXX</w:t>
      </w:r>
    </w:p>
    <w:p w14:paraId="24B9FB19" w14:textId="28319133" w:rsidR="006135FA" w:rsidRPr="005C0F87" w:rsidRDefault="006135FA" w:rsidP="005C0F87">
      <w:pPr>
        <w:pStyle w:val="Nadpis2bezslovn"/>
        <w:ind w:left="1080"/>
      </w:pPr>
      <w:r w:rsidRPr="005C0F87">
        <w:t xml:space="preserve">Datová schránka: </w:t>
      </w:r>
      <w:r w:rsidR="002E12F9" w:rsidRPr="002E12F9">
        <w:t>c6pu3yp</w:t>
      </w:r>
    </w:p>
    <w:p w14:paraId="0DE2AA41" w14:textId="1E053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545027" w:rsidRPr="00545027">
        <w:t xml:space="preserve"> </w:t>
      </w:r>
      <w:r w:rsidR="00545027" w:rsidRPr="00807D39">
        <w:t>a oznámení o změně bankovních údajů, není-li ve Smlouvě stanoveno jinak</w:t>
      </w:r>
      <w:r w:rsidRPr="005C0F87">
        <w:t xml:space="preserve">. </w:t>
      </w:r>
    </w:p>
    <w:p w14:paraId="4BAA2D9E" w14:textId="4406D4FC" w:rsidR="006135FA" w:rsidRPr="005C0F87" w:rsidRDefault="0026641A" w:rsidP="00BE7107">
      <w:pPr>
        <w:pStyle w:val="Nadpis3"/>
        <w:keepNext/>
        <w:keepLines/>
      </w:pPr>
      <w:r w:rsidRPr="005C0F87">
        <w:t xml:space="preserve">Kontaktní osobou Kupujícího je </w:t>
      </w:r>
      <w:r w:rsidR="00B61152" w:rsidRPr="00B61152">
        <w:t>XXXXXXXXXXX</w:t>
      </w:r>
      <w:r>
        <w:t xml:space="preserve">, tel.: </w:t>
      </w:r>
      <w:r w:rsidR="00B61152" w:rsidRPr="00B61152">
        <w:t>XXXXXXXXXXX</w:t>
      </w:r>
      <w:r>
        <w:t xml:space="preserve">, </w:t>
      </w:r>
      <w:r w:rsidRPr="0031391F">
        <w:t>e-mail</w:t>
      </w:r>
      <w:r>
        <w:t xml:space="preserve">: </w:t>
      </w:r>
      <w:r w:rsidR="00B61152" w:rsidRPr="00B61152">
        <w:t>XXXXXXXXXXX</w:t>
      </w:r>
      <w:r w:rsidR="00B61152" w:rsidRPr="00B61152">
        <w:t xml:space="preserve"> </w:t>
      </w:r>
      <w:r w:rsidRPr="005C0F87">
        <w:t>a další zaměstnanci Kupujícího jím písemně pověření</w:t>
      </w:r>
      <w:r w:rsidR="006135FA" w:rsidRPr="005C0F87">
        <w:t xml:space="preserve">. </w:t>
      </w:r>
    </w:p>
    <w:p w14:paraId="5AA4F477" w14:textId="285241EB" w:rsidR="006135FA" w:rsidRPr="005C0F87" w:rsidRDefault="006135FA" w:rsidP="008535B1">
      <w:pPr>
        <w:pStyle w:val="Nadpis3"/>
        <w:keepNext/>
        <w:keepLines/>
      </w:pPr>
      <w:r w:rsidRPr="005C0F87">
        <w:t xml:space="preserve">Kontaktní osobou Prodávajícího je: </w:t>
      </w:r>
      <w:r w:rsidR="00B61152" w:rsidRPr="00B61152">
        <w:rPr>
          <w:i/>
        </w:rPr>
        <w:t>XXXXXXXXXXX</w:t>
      </w:r>
      <w:r w:rsidR="002E12F9" w:rsidRPr="002E12F9">
        <w:rPr>
          <w:i/>
        </w:rPr>
        <w:t>,</w:t>
      </w:r>
      <w:r w:rsidR="002E12F9">
        <w:rPr>
          <w:i/>
        </w:rPr>
        <w:t xml:space="preserve"> jednatel</w:t>
      </w:r>
      <w:r w:rsidRPr="005C0F87">
        <w:t xml:space="preserve">, </w:t>
      </w:r>
      <w:r w:rsidR="00B61152" w:rsidRPr="00B61152">
        <w:t>XXXXXXXXXXX</w:t>
      </w:r>
      <w:r w:rsidRPr="005C0F87">
        <w:t xml:space="preserve">, </w:t>
      </w:r>
      <w:r w:rsidR="00B61152" w:rsidRPr="00B61152">
        <w:t>XXXXXXXXXXX</w:t>
      </w:r>
      <w:r w:rsidRPr="005C0F87">
        <w:t xml:space="preserve">, a další zaměstnanci či jiné osoby jím písemně pověření. </w:t>
      </w:r>
    </w:p>
    <w:p w14:paraId="054372EB" w14:textId="49D937AA"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6641A">
        <w:t>Ing. Lubomír Fojtů</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w:t>
      </w:r>
      <w:r w:rsidR="008F31DC" w:rsidRPr="005C0F87">
        <w:t>uvedené</w:t>
      </w:r>
      <w:r w:rsidR="008F31DC">
        <w:t>ho</w:t>
      </w:r>
      <w:r w:rsidR="008F31DC" w:rsidRPr="005C0F87">
        <w:t xml:space="preserve"> </w:t>
      </w:r>
      <w:r w:rsidRPr="005C0F87">
        <w:t>v obchodním rejstříku (dále jen „Odpovědné osoby pro věci smluvní“). Odpovědné osoby pro věci smluvní mají současně všechna oprávnění Kontaktních osob.</w:t>
      </w:r>
    </w:p>
    <w:p w14:paraId="079C5440" w14:textId="77777777"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14:paraId="1358DB8B" w14:textId="041FEAFE"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8F31DC">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14:paraId="573BE6C6" w14:textId="4CCE6466" w:rsidR="008F31DC" w:rsidRPr="008F31DC" w:rsidRDefault="008F31DC" w:rsidP="008F31DC">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14:paraId="52EB1120"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1EFCEA38"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67B227E7"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38B1C6A6" w14:textId="1AA05932"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8F31DC">
        <w:t>,</w:t>
      </w:r>
      <w:r w:rsidRPr="005C0F87">
        <w:t xml:space="preserve"> ani učinit jakékoliv právní jednání, v jehož důsledku by došlo k převodu či přechodu práv či povinností vyplývajících z této Smlouvy.</w:t>
      </w:r>
    </w:p>
    <w:p w14:paraId="171EA034"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0CF4B2D3" w14:textId="547DE35B" w:rsidR="006135FA" w:rsidRPr="005C0F87" w:rsidRDefault="003B3850" w:rsidP="0056725D">
      <w:pPr>
        <w:pStyle w:val="Nadpis2"/>
        <w:tabs>
          <w:tab w:val="num" w:pos="576"/>
        </w:tabs>
        <w:ind w:left="786"/>
      </w:pPr>
      <w:r>
        <w:t>Pokud se tato Smlouva uzavírá v listinné podobě, je vyhotovena ve 2 vyhotoveních v českém jazyce, přičemž každá ze Smluvních stran obdrží po 1 vyhotovení.</w:t>
      </w:r>
      <w:r w:rsidR="00722531">
        <w:t xml:space="preserve"> </w:t>
      </w:r>
      <w:r w:rsidR="00722531" w:rsidRPr="005C0F87">
        <w:t xml:space="preserve"> </w:t>
      </w:r>
    </w:p>
    <w:p w14:paraId="227D0A84"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44E88F1C" w14:textId="77777777" w:rsidR="009E1A06" w:rsidRDefault="009E1A06" w:rsidP="009E1A06">
      <w:pPr>
        <w:pStyle w:val="Nadpis2"/>
        <w:tabs>
          <w:tab w:val="num" w:pos="576"/>
        </w:tabs>
        <w:ind w:left="786"/>
      </w:pPr>
      <w:r w:rsidRPr="002D5080">
        <w:t xml:space="preserve">Kupující je oprávněn započíst si jakoukoli svoji peněžitou pohledávku </w:t>
      </w:r>
      <w:r>
        <w:t xml:space="preserve">za Prodávajícím </w:t>
      </w:r>
      <w:r w:rsidRPr="002D5080">
        <w:t xml:space="preserve">vůči peněžité pohledávce </w:t>
      </w:r>
      <w:r>
        <w:t>P</w:t>
      </w:r>
      <w:r w:rsidRPr="002D5080">
        <w:t>rodávajícího</w:t>
      </w:r>
      <w:r>
        <w:t xml:space="preserve"> za Kupujícím</w:t>
      </w:r>
      <w:r w:rsidRPr="002D5080">
        <w:t xml:space="preserve"> </w:t>
      </w:r>
      <w:r>
        <w:t>vzniklou na základě</w:t>
      </w:r>
      <w:r w:rsidRPr="002D5080">
        <w:t xml:space="preserve"> této </w:t>
      </w:r>
      <w:r>
        <w:t>S</w:t>
      </w:r>
      <w:r w:rsidRPr="002D5080">
        <w:t>mlouvy.</w:t>
      </w:r>
    </w:p>
    <w:p w14:paraId="57C89427" w14:textId="3B827CE7" w:rsidR="009E1A06" w:rsidRDefault="009E1A06" w:rsidP="009E1A06">
      <w:pPr>
        <w:pStyle w:val="Nadpis2"/>
        <w:tabs>
          <w:tab w:val="num" w:pos="576"/>
        </w:tabs>
        <w:ind w:left="786"/>
      </w:pPr>
      <w:r>
        <w:t xml:space="preserve">Smluvní strany vylučují aplikaci </w:t>
      </w:r>
      <w:proofErr w:type="spellStart"/>
      <w:r>
        <w:t>ust</w:t>
      </w:r>
      <w:proofErr w:type="spellEnd"/>
      <w:r>
        <w:t xml:space="preserve">. § 557 Občanského zákoníku (pravidlo </w:t>
      </w:r>
      <w:proofErr w:type="spellStart"/>
      <w:r w:rsidRPr="00BB7D6C">
        <w:rPr>
          <w:i/>
          <w:iCs/>
        </w:rPr>
        <w:t>contra</w:t>
      </w:r>
      <w:proofErr w:type="spellEnd"/>
      <w:r w:rsidRPr="00BB7D6C">
        <w:rPr>
          <w:i/>
          <w:iCs/>
        </w:rPr>
        <w:t xml:space="preserve"> </w:t>
      </w:r>
      <w:proofErr w:type="spellStart"/>
      <w:r w:rsidRPr="00BB7D6C">
        <w:rPr>
          <w:i/>
          <w:iCs/>
        </w:rPr>
        <w:t>proferentem</w:t>
      </w:r>
      <w:proofErr w:type="spellEnd"/>
      <w:r>
        <w:t>) na tuto Smlouvu.</w:t>
      </w:r>
    </w:p>
    <w:p w14:paraId="320936D5" w14:textId="1C2E44CE"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26894ACB" w14:textId="74CBBCF4" w:rsidR="006135FA" w:rsidRDefault="006135FA" w:rsidP="00871F8F">
      <w:pPr>
        <w:ind w:firstLine="708"/>
      </w:pPr>
      <w:r w:rsidRPr="00900D84">
        <w:t>Příloha č. 1:</w:t>
      </w:r>
      <w:r w:rsidR="00AB723A">
        <w:tab/>
      </w:r>
      <w:r w:rsidRPr="00900D84">
        <w:t>Technická specifikace</w:t>
      </w:r>
    </w:p>
    <w:p w14:paraId="7C07172C" w14:textId="25E56441" w:rsidR="008A593E" w:rsidRPr="00900D84" w:rsidRDefault="008A593E" w:rsidP="00871F8F">
      <w:pPr>
        <w:ind w:firstLine="708"/>
      </w:pPr>
      <w:r>
        <w:t>Příloha č. 2</w:t>
      </w:r>
      <w:r w:rsidR="000D1736">
        <w:t>:</w:t>
      </w:r>
      <w:r w:rsidR="00AB723A">
        <w:tab/>
      </w:r>
      <w:r>
        <w:t>Seznam odběrných míst</w:t>
      </w:r>
    </w:p>
    <w:p w14:paraId="3710F37D" w14:textId="77777777"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14:paraId="149D41A3" w14:textId="77777777" w:rsidR="00A975CF" w:rsidRPr="005C0F87" w:rsidRDefault="00A975CF" w:rsidP="00CA5BD8"/>
    <w:tbl>
      <w:tblPr>
        <w:tblW w:w="0" w:type="auto"/>
        <w:tblLook w:val="00A0" w:firstRow="1" w:lastRow="0" w:firstColumn="1" w:lastColumn="0" w:noHBand="0" w:noVBand="0"/>
      </w:tblPr>
      <w:tblGrid>
        <w:gridCol w:w="4606"/>
        <w:gridCol w:w="4606"/>
      </w:tblGrid>
      <w:tr w:rsidR="006135FA" w:rsidRPr="005C0F87" w14:paraId="02D2D691" w14:textId="77777777" w:rsidTr="0086374F">
        <w:trPr>
          <w:trHeight w:val="1192"/>
        </w:trPr>
        <w:tc>
          <w:tcPr>
            <w:tcW w:w="4606" w:type="dxa"/>
          </w:tcPr>
          <w:p w14:paraId="2F9A74FF" w14:textId="77777777" w:rsidR="006135FA" w:rsidRPr="005C0F87" w:rsidRDefault="006135FA" w:rsidP="0086374F">
            <w:pPr>
              <w:jc w:val="center"/>
            </w:pPr>
            <w:r w:rsidRPr="005C0F87">
              <w:t>V Praze dne ______</w:t>
            </w:r>
          </w:p>
        </w:tc>
        <w:tc>
          <w:tcPr>
            <w:tcW w:w="4606" w:type="dxa"/>
          </w:tcPr>
          <w:p w14:paraId="5387263D" w14:textId="109C14BE" w:rsidR="006135FA" w:rsidRPr="005C0F87" w:rsidRDefault="006135FA" w:rsidP="0086374F">
            <w:pPr>
              <w:jc w:val="center"/>
            </w:pPr>
            <w:r w:rsidRPr="005C0F87">
              <w:t xml:space="preserve">V </w:t>
            </w:r>
            <w:r w:rsidR="00DD134C">
              <w:t>Praze</w:t>
            </w:r>
            <w:r w:rsidRPr="005C0F87">
              <w:t xml:space="preserve"> dne </w:t>
            </w:r>
          </w:p>
        </w:tc>
      </w:tr>
      <w:tr w:rsidR="006135FA" w:rsidRPr="005C0F87" w14:paraId="08B37B46" w14:textId="77777777" w:rsidTr="0086374F">
        <w:trPr>
          <w:trHeight w:val="567"/>
        </w:trPr>
        <w:tc>
          <w:tcPr>
            <w:tcW w:w="4606" w:type="dxa"/>
          </w:tcPr>
          <w:p w14:paraId="6D7E3B6F" w14:textId="77777777" w:rsidR="006135FA" w:rsidRPr="005C0F87" w:rsidRDefault="006135FA" w:rsidP="0086374F">
            <w:pPr>
              <w:jc w:val="center"/>
            </w:pPr>
            <w:r w:rsidRPr="005C0F87">
              <w:t>______________________</w:t>
            </w:r>
          </w:p>
        </w:tc>
        <w:tc>
          <w:tcPr>
            <w:tcW w:w="4606" w:type="dxa"/>
          </w:tcPr>
          <w:p w14:paraId="1EBB0B76" w14:textId="0F01D13E" w:rsidR="006135FA" w:rsidRPr="005C0F87" w:rsidRDefault="002E12F9" w:rsidP="0086374F">
            <w:pPr>
              <w:jc w:val="center"/>
            </w:pPr>
            <w:r w:rsidRPr="005C0F87">
              <w:t>______________________</w:t>
            </w:r>
          </w:p>
        </w:tc>
      </w:tr>
      <w:tr w:rsidR="006135FA" w:rsidRPr="00C15D8A" w14:paraId="17C2F331" w14:textId="77777777" w:rsidTr="0086374F">
        <w:trPr>
          <w:trHeight w:val="567"/>
        </w:trPr>
        <w:tc>
          <w:tcPr>
            <w:tcW w:w="4606" w:type="dxa"/>
          </w:tcPr>
          <w:p w14:paraId="688CD1E4" w14:textId="77777777" w:rsidR="006135FA" w:rsidRPr="00D01689" w:rsidRDefault="006135FA" w:rsidP="0086374F">
            <w:pPr>
              <w:jc w:val="center"/>
            </w:pPr>
            <w:r w:rsidRPr="00E05187">
              <w:t>Kupující</w:t>
            </w:r>
          </w:p>
          <w:p w14:paraId="1BD32CF7" w14:textId="62A1EBB7" w:rsidR="003B3850" w:rsidRPr="003B3850" w:rsidRDefault="0064524C" w:rsidP="003B3850">
            <w:pPr>
              <w:jc w:val="center"/>
              <w:rPr>
                <w:b/>
                <w:bCs/>
              </w:rPr>
            </w:pPr>
            <w:r w:rsidRPr="00BE7107">
              <w:rPr>
                <w:b/>
              </w:rPr>
              <w:t xml:space="preserve"> </w:t>
            </w:r>
            <w:r w:rsidR="003B3850" w:rsidRPr="00AF3104">
              <w:rPr>
                <w:b/>
                <w:bCs/>
              </w:rPr>
              <w:t>Ředitelství vodních cest ČR</w:t>
            </w:r>
          </w:p>
          <w:p w14:paraId="0F70CB09" w14:textId="77777777" w:rsidR="003B3850" w:rsidRPr="00AF3104" w:rsidRDefault="003B3850" w:rsidP="003B3850">
            <w:pPr>
              <w:jc w:val="center"/>
            </w:pPr>
            <w:r w:rsidRPr="00AF3104">
              <w:t>Ing. Lubomír Fojtů</w:t>
            </w:r>
          </w:p>
          <w:p w14:paraId="76674879" w14:textId="7529E0CC" w:rsidR="006135FA" w:rsidRPr="005C0F87" w:rsidRDefault="003B3850" w:rsidP="003B3850">
            <w:pPr>
              <w:jc w:val="center"/>
            </w:pPr>
            <w:r w:rsidRPr="00AF3104">
              <w:t>ředitel</w:t>
            </w:r>
          </w:p>
        </w:tc>
        <w:tc>
          <w:tcPr>
            <w:tcW w:w="4606" w:type="dxa"/>
          </w:tcPr>
          <w:p w14:paraId="7354455C" w14:textId="77777777" w:rsidR="006135FA" w:rsidRPr="005C0F87" w:rsidRDefault="006135FA" w:rsidP="0086374F">
            <w:pPr>
              <w:jc w:val="center"/>
            </w:pPr>
            <w:r w:rsidRPr="005C0F87">
              <w:t>Prodávající</w:t>
            </w:r>
          </w:p>
          <w:p w14:paraId="618AD034" w14:textId="77777777" w:rsidR="00B61152" w:rsidRDefault="00B61152" w:rsidP="0086374F">
            <w:pPr>
              <w:jc w:val="center"/>
            </w:pPr>
            <w:r w:rsidRPr="00B61152">
              <w:t>XXXXXXXXXXX</w:t>
            </w:r>
            <w:r w:rsidRPr="00B61152">
              <w:t xml:space="preserve"> </w:t>
            </w:r>
          </w:p>
          <w:p w14:paraId="2DC27303" w14:textId="5E2C38C5" w:rsidR="006135FA" w:rsidRPr="00C15D8A" w:rsidRDefault="00DD134C" w:rsidP="0086374F">
            <w:pPr>
              <w:jc w:val="center"/>
            </w:pPr>
            <w:r w:rsidRPr="002E12F9">
              <w:t>jednatel</w:t>
            </w:r>
          </w:p>
        </w:tc>
      </w:tr>
    </w:tbl>
    <w:p w14:paraId="2CF852A7" w14:textId="2E74F5FD" w:rsidR="00901E4F" w:rsidRDefault="00901E4F" w:rsidP="008A5116">
      <w:pPr>
        <w:rPr>
          <w:b/>
        </w:rPr>
      </w:pPr>
    </w:p>
    <w:p w14:paraId="580DC413" w14:textId="77777777" w:rsidR="00901E4F" w:rsidRDefault="00901E4F">
      <w:pPr>
        <w:rPr>
          <w:b/>
        </w:rPr>
      </w:pPr>
      <w:r>
        <w:rPr>
          <w:b/>
        </w:rPr>
        <w:br w:type="page"/>
      </w:r>
    </w:p>
    <w:tbl>
      <w:tblPr>
        <w:tblW w:w="5000" w:type="pct"/>
        <w:tblCellMar>
          <w:left w:w="70" w:type="dxa"/>
          <w:right w:w="70" w:type="dxa"/>
        </w:tblCellMar>
        <w:tblLook w:val="04A0" w:firstRow="1" w:lastRow="0" w:firstColumn="1" w:lastColumn="0" w:noHBand="0" w:noVBand="1"/>
      </w:tblPr>
      <w:tblGrid>
        <w:gridCol w:w="1518"/>
        <w:gridCol w:w="3755"/>
        <w:gridCol w:w="719"/>
        <w:gridCol w:w="1620"/>
        <w:gridCol w:w="1880"/>
        <w:gridCol w:w="146"/>
      </w:tblGrid>
      <w:tr w:rsidR="00901E4F" w14:paraId="4DEA3B64" w14:textId="77777777" w:rsidTr="00901E4F">
        <w:trPr>
          <w:gridAfter w:val="1"/>
          <w:wAfter w:w="42" w:type="pct"/>
          <w:trHeight w:val="495"/>
        </w:trPr>
        <w:tc>
          <w:tcPr>
            <w:tcW w:w="4958" w:type="pct"/>
            <w:gridSpan w:val="5"/>
            <w:tcBorders>
              <w:top w:val="nil"/>
              <w:left w:val="nil"/>
              <w:bottom w:val="single" w:sz="8" w:space="0" w:color="auto"/>
              <w:right w:val="nil"/>
            </w:tcBorders>
            <w:shd w:val="clear" w:color="auto" w:fill="auto"/>
            <w:hideMark/>
          </w:tcPr>
          <w:p w14:paraId="09383F8A" w14:textId="77777777" w:rsidR="00901E4F" w:rsidRDefault="00901E4F">
            <w:pPr>
              <w:jc w:val="right"/>
              <w:rPr>
                <w:rFonts w:ascii="Calibri" w:hAnsi="Calibri" w:cs="Calibri"/>
                <w:sz w:val="20"/>
                <w:szCs w:val="20"/>
              </w:rPr>
            </w:pPr>
            <w:r>
              <w:rPr>
                <w:rFonts w:ascii="Calibri" w:hAnsi="Calibri" w:cs="Calibri"/>
                <w:sz w:val="20"/>
                <w:szCs w:val="20"/>
              </w:rPr>
              <w:t>Příloha č. 1 Kupní smlouvy č. S/ŘVC/233/OSE/KUP/2021</w:t>
            </w:r>
          </w:p>
        </w:tc>
      </w:tr>
      <w:tr w:rsidR="00901E4F" w14:paraId="37FAB6CF" w14:textId="77777777" w:rsidTr="00901E4F">
        <w:trPr>
          <w:gridAfter w:val="1"/>
          <w:wAfter w:w="42" w:type="pct"/>
          <w:trHeight w:val="330"/>
        </w:trPr>
        <w:tc>
          <w:tcPr>
            <w:tcW w:w="4958" w:type="pct"/>
            <w:gridSpan w:val="5"/>
            <w:tcBorders>
              <w:top w:val="single" w:sz="8" w:space="0" w:color="auto"/>
              <w:left w:val="single" w:sz="8" w:space="0" w:color="auto"/>
              <w:bottom w:val="single" w:sz="8" w:space="0" w:color="auto"/>
              <w:right w:val="single" w:sz="8" w:space="0" w:color="000000"/>
            </w:tcBorders>
            <w:shd w:val="clear" w:color="000000" w:fill="FFFF99"/>
            <w:vAlign w:val="center"/>
            <w:hideMark/>
          </w:tcPr>
          <w:p w14:paraId="2DF55641" w14:textId="77777777" w:rsidR="00901E4F" w:rsidRDefault="00901E4F">
            <w:pPr>
              <w:jc w:val="center"/>
              <w:rPr>
                <w:rFonts w:ascii="Calibri" w:hAnsi="Calibri" w:cs="Calibri"/>
                <w:b/>
                <w:bCs/>
                <w:i/>
                <w:iCs/>
                <w:sz w:val="22"/>
                <w:szCs w:val="22"/>
              </w:rPr>
            </w:pPr>
            <w:r>
              <w:rPr>
                <w:rFonts w:ascii="Calibri" w:hAnsi="Calibri" w:cs="Calibri"/>
                <w:b/>
                <w:bCs/>
                <w:i/>
                <w:iCs/>
                <w:sz w:val="22"/>
                <w:szCs w:val="22"/>
              </w:rPr>
              <w:t xml:space="preserve">Technická </w:t>
            </w:r>
            <w:proofErr w:type="gramStart"/>
            <w:r>
              <w:rPr>
                <w:rFonts w:ascii="Calibri" w:hAnsi="Calibri" w:cs="Calibri"/>
                <w:b/>
                <w:bCs/>
                <w:i/>
                <w:iCs/>
                <w:sz w:val="22"/>
                <w:szCs w:val="22"/>
              </w:rPr>
              <w:t>specifikace - Termovizní</w:t>
            </w:r>
            <w:proofErr w:type="gramEnd"/>
            <w:r>
              <w:rPr>
                <w:rFonts w:ascii="Calibri" w:hAnsi="Calibri" w:cs="Calibri"/>
                <w:b/>
                <w:bCs/>
                <w:i/>
                <w:iCs/>
                <w:sz w:val="22"/>
                <w:szCs w:val="22"/>
              </w:rPr>
              <w:t xml:space="preserve"> binokulární přístroj</w:t>
            </w:r>
          </w:p>
        </w:tc>
      </w:tr>
      <w:tr w:rsidR="00901E4F" w14:paraId="7E85E3EE" w14:textId="77777777" w:rsidTr="00901E4F">
        <w:trPr>
          <w:gridAfter w:val="1"/>
          <w:wAfter w:w="42" w:type="pct"/>
          <w:trHeight w:val="323"/>
        </w:trPr>
        <w:tc>
          <w:tcPr>
            <w:tcW w:w="795" w:type="pct"/>
            <w:vMerge w:val="restart"/>
            <w:tcBorders>
              <w:top w:val="nil"/>
              <w:left w:val="single" w:sz="8" w:space="0" w:color="auto"/>
              <w:bottom w:val="single" w:sz="8" w:space="0" w:color="000000"/>
              <w:right w:val="single" w:sz="8" w:space="0" w:color="auto"/>
            </w:tcBorders>
            <w:shd w:val="clear" w:color="auto" w:fill="auto"/>
            <w:vAlign w:val="center"/>
            <w:hideMark/>
          </w:tcPr>
          <w:p w14:paraId="2843E9B5" w14:textId="77777777" w:rsidR="00901E4F" w:rsidRDefault="00901E4F">
            <w:pPr>
              <w:jc w:val="center"/>
              <w:rPr>
                <w:rFonts w:ascii="Calibri" w:hAnsi="Calibri" w:cs="Calibri"/>
                <w:b/>
                <w:bCs/>
                <w:i/>
                <w:iCs/>
                <w:sz w:val="22"/>
                <w:szCs w:val="22"/>
              </w:rPr>
            </w:pPr>
            <w:r>
              <w:rPr>
                <w:rFonts w:ascii="Calibri" w:hAnsi="Calibri" w:cs="Calibri"/>
                <w:b/>
                <w:bCs/>
                <w:i/>
                <w:iCs/>
                <w:sz w:val="22"/>
                <w:szCs w:val="22"/>
              </w:rPr>
              <w:t>Obchodní název výrobce nabízeného zařízení</w:t>
            </w:r>
          </w:p>
        </w:tc>
        <w:tc>
          <w:tcPr>
            <w:tcW w:w="4164"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0699BAC" w14:textId="77777777" w:rsidR="00901E4F" w:rsidRDefault="00901E4F">
            <w:pPr>
              <w:jc w:val="center"/>
              <w:rPr>
                <w:rFonts w:ascii="Calibri" w:hAnsi="Calibri" w:cs="Calibri"/>
                <w:b/>
                <w:bCs/>
                <w:i/>
                <w:iCs/>
                <w:color w:val="FF0000"/>
                <w:sz w:val="28"/>
                <w:szCs w:val="28"/>
              </w:rPr>
            </w:pPr>
            <w:r>
              <w:rPr>
                <w:rFonts w:ascii="Calibri" w:hAnsi="Calibri" w:cs="Calibri"/>
                <w:b/>
                <w:bCs/>
                <w:i/>
                <w:iCs/>
                <w:color w:val="FF0000"/>
                <w:sz w:val="28"/>
                <w:szCs w:val="28"/>
              </w:rPr>
              <w:t>PULSAR</w:t>
            </w:r>
          </w:p>
        </w:tc>
      </w:tr>
      <w:tr w:rsidR="00901E4F" w14:paraId="17E6EA07" w14:textId="77777777" w:rsidTr="00901E4F">
        <w:trPr>
          <w:trHeight w:val="330"/>
        </w:trPr>
        <w:tc>
          <w:tcPr>
            <w:tcW w:w="795" w:type="pct"/>
            <w:vMerge/>
            <w:tcBorders>
              <w:top w:val="nil"/>
              <w:left w:val="single" w:sz="8" w:space="0" w:color="auto"/>
              <w:bottom w:val="single" w:sz="8" w:space="0" w:color="000000"/>
              <w:right w:val="single" w:sz="8" w:space="0" w:color="auto"/>
            </w:tcBorders>
            <w:vAlign w:val="center"/>
            <w:hideMark/>
          </w:tcPr>
          <w:p w14:paraId="7186287B" w14:textId="77777777" w:rsidR="00901E4F" w:rsidRDefault="00901E4F">
            <w:pPr>
              <w:rPr>
                <w:rFonts w:ascii="Calibri" w:hAnsi="Calibri" w:cs="Calibri"/>
                <w:b/>
                <w:bCs/>
                <w:i/>
                <w:iCs/>
                <w:sz w:val="22"/>
                <w:szCs w:val="22"/>
              </w:rPr>
            </w:pPr>
          </w:p>
        </w:tc>
        <w:tc>
          <w:tcPr>
            <w:tcW w:w="4164" w:type="pct"/>
            <w:gridSpan w:val="4"/>
            <w:vMerge/>
            <w:tcBorders>
              <w:top w:val="single" w:sz="8" w:space="0" w:color="auto"/>
              <w:left w:val="single" w:sz="8" w:space="0" w:color="auto"/>
              <w:bottom w:val="single" w:sz="8" w:space="0" w:color="000000"/>
              <w:right w:val="single" w:sz="8" w:space="0" w:color="000000"/>
            </w:tcBorders>
            <w:vAlign w:val="center"/>
            <w:hideMark/>
          </w:tcPr>
          <w:p w14:paraId="42CBDCD0" w14:textId="77777777" w:rsidR="00901E4F" w:rsidRDefault="00901E4F">
            <w:pPr>
              <w:rPr>
                <w:rFonts w:ascii="Calibri" w:hAnsi="Calibri" w:cs="Calibri"/>
                <w:b/>
                <w:bCs/>
                <w:i/>
                <w:iCs/>
                <w:color w:val="FF0000"/>
                <w:sz w:val="28"/>
                <w:szCs w:val="28"/>
              </w:rPr>
            </w:pPr>
          </w:p>
        </w:tc>
        <w:tc>
          <w:tcPr>
            <w:tcW w:w="42" w:type="pct"/>
            <w:tcBorders>
              <w:top w:val="nil"/>
              <w:left w:val="nil"/>
              <w:bottom w:val="nil"/>
              <w:right w:val="nil"/>
            </w:tcBorders>
            <w:shd w:val="clear" w:color="auto" w:fill="auto"/>
            <w:noWrap/>
            <w:vAlign w:val="bottom"/>
            <w:hideMark/>
          </w:tcPr>
          <w:p w14:paraId="21E2E138" w14:textId="77777777" w:rsidR="00901E4F" w:rsidRDefault="00901E4F">
            <w:pPr>
              <w:jc w:val="center"/>
              <w:rPr>
                <w:rFonts w:ascii="Calibri" w:hAnsi="Calibri" w:cs="Calibri"/>
                <w:b/>
                <w:bCs/>
                <w:i/>
                <w:iCs/>
                <w:color w:val="FF0000"/>
                <w:sz w:val="28"/>
                <w:szCs w:val="28"/>
              </w:rPr>
            </w:pPr>
          </w:p>
        </w:tc>
      </w:tr>
      <w:tr w:rsidR="00901E4F" w14:paraId="0A76A193" w14:textId="77777777" w:rsidTr="00901E4F">
        <w:trPr>
          <w:trHeight w:val="323"/>
        </w:trPr>
        <w:tc>
          <w:tcPr>
            <w:tcW w:w="795" w:type="pct"/>
            <w:vMerge w:val="restart"/>
            <w:tcBorders>
              <w:top w:val="nil"/>
              <w:left w:val="single" w:sz="8" w:space="0" w:color="auto"/>
              <w:bottom w:val="single" w:sz="8" w:space="0" w:color="000000"/>
              <w:right w:val="single" w:sz="8" w:space="0" w:color="auto"/>
            </w:tcBorders>
            <w:shd w:val="clear" w:color="auto" w:fill="auto"/>
            <w:vAlign w:val="center"/>
            <w:hideMark/>
          </w:tcPr>
          <w:p w14:paraId="10ACC95D" w14:textId="77777777" w:rsidR="00901E4F" w:rsidRDefault="00901E4F">
            <w:pPr>
              <w:jc w:val="center"/>
              <w:rPr>
                <w:rFonts w:ascii="Calibri" w:hAnsi="Calibri" w:cs="Calibri"/>
                <w:b/>
                <w:bCs/>
                <w:i/>
                <w:iCs/>
                <w:sz w:val="22"/>
                <w:szCs w:val="22"/>
              </w:rPr>
            </w:pPr>
            <w:r>
              <w:rPr>
                <w:rFonts w:ascii="Calibri" w:hAnsi="Calibri" w:cs="Calibri"/>
                <w:b/>
                <w:bCs/>
                <w:i/>
                <w:iCs/>
                <w:sz w:val="22"/>
                <w:szCs w:val="22"/>
              </w:rPr>
              <w:t>Obchodní název modelu nabízeného zařízení</w:t>
            </w:r>
          </w:p>
        </w:tc>
        <w:tc>
          <w:tcPr>
            <w:tcW w:w="4164"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FB5BED0" w14:textId="77777777" w:rsidR="00901E4F" w:rsidRDefault="00901E4F">
            <w:pPr>
              <w:jc w:val="center"/>
              <w:rPr>
                <w:rFonts w:ascii="Calibri" w:hAnsi="Calibri" w:cs="Calibri"/>
                <w:b/>
                <w:bCs/>
                <w:i/>
                <w:iCs/>
                <w:color w:val="FF0000"/>
                <w:sz w:val="28"/>
                <w:szCs w:val="28"/>
              </w:rPr>
            </w:pPr>
            <w:r>
              <w:rPr>
                <w:rFonts w:ascii="Calibri" w:hAnsi="Calibri" w:cs="Calibri"/>
                <w:b/>
                <w:bCs/>
                <w:i/>
                <w:iCs/>
                <w:color w:val="FF0000"/>
                <w:sz w:val="28"/>
                <w:szCs w:val="28"/>
              </w:rPr>
              <w:t xml:space="preserve">Termovize PULSAR </w:t>
            </w:r>
            <w:proofErr w:type="spellStart"/>
            <w:r>
              <w:rPr>
                <w:rFonts w:ascii="Calibri" w:hAnsi="Calibri" w:cs="Calibri"/>
                <w:b/>
                <w:bCs/>
                <w:i/>
                <w:iCs/>
                <w:color w:val="FF0000"/>
                <w:sz w:val="28"/>
                <w:szCs w:val="28"/>
              </w:rPr>
              <w:t>Merger</w:t>
            </w:r>
            <w:proofErr w:type="spellEnd"/>
            <w:r>
              <w:rPr>
                <w:rFonts w:ascii="Calibri" w:hAnsi="Calibri" w:cs="Calibri"/>
                <w:b/>
                <w:bCs/>
                <w:i/>
                <w:iCs/>
                <w:color w:val="FF0000"/>
                <w:sz w:val="28"/>
                <w:szCs w:val="28"/>
              </w:rPr>
              <w:t xml:space="preserve"> LRF XP50</w:t>
            </w:r>
          </w:p>
        </w:tc>
        <w:tc>
          <w:tcPr>
            <w:tcW w:w="42" w:type="pct"/>
            <w:vAlign w:val="center"/>
            <w:hideMark/>
          </w:tcPr>
          <w:p w14:paraId="0A661D17" w14:textId="77777777" w:rsidR="00901E4F" w:rsidRDefault="00901E4F">
            <w:pPr>
              <w:rPr>
                <w:sz w:val="20"/>
                <w:szCs w:val="20"/>
              </w:rPr>
            </w:pPr>
          </w:p>
        </w:tc>
      </w:tr>
      <w:tr w:rsidR="00901E4F" w14:paraId="137BD548" w14:textId="77777777" w:rsidTr="00901E4F">
        <w:trPr>
          <w:trHeight w:val="330"/>
        </w:trPr>
        <w:tc>
          <w:tcPr>
            <w:tcW w:w="795" w:type="pct"/>
            <w:vMerge/>
            <w:tcBorders>
              <w:top w:val="nil"/>
              <w:left w:val="single" w:sz="8" w:space="0" w:color="auto"/>
              <w:bottom w:val="single" w:sz="8" w:space="0" w:color="000000"/>
              <w:right w:val="single" w:sz="8" w:space="0" w:color="auto"/>
            </w:tcBorders>
            <w:vAlign w:val="center"/>
            <w:hideMark/>
          </w:tcPr>
          <w:p w14:paraId="042129F2" w14:textId="77777777" w:rsidR="00901E4F" w:rsidRDefault="00901E4F">
            <w:pPr>
              <w:rPr>
                <w:rFonts w:ascii="Calibri" w:hAnsi="Calibri" w:cs="Calibri"/>
                <w:b/>
                <w:bCs/>
                <w:i/>
                <w:iCs/>
                <w:sz w:val="22"/>
                <w:szCs w:val="22"/>
              </w:rPr>
            </w:pPr>
          </w:p>
        </w:tc>
        <w:tc>
          <w:tcPr>
            <w:tcW w:w="4164" w:type="pct"/>
            <w:gridSpan w:val="4"/>
            <w:vMerge/>
            <w:tcBorders>
              <w:top w:val="single" w:sz="8" w:space="0" w:color="auto"/>
              <w:left w:val="single" w:sz="8" w:space="0" w:color="auto"/>
              <w:bottom w:val="single" w:sz="8" w:space="0" w:color="000000"/>
              <w:right w:val="single" w:sz="8" w:space="0" w:color="000000"/>
            </w:tcBorders>
            <w:vAlign w:val="center"/>
            <w:hideMark/>
          </w:tcPr>
          <w:p w14:paraId="0752DC78" w14:textId="77777777" w:rsidR="00901E4F" w:rsidRDefault="00901E4F">
            <w:pPr>
              <w:rPr>
                <w:rFonts w:ascii="Calibri" w:hAnsi="Calibri" w:cs="Calibri"/>
                <w:b/>
                <w:bCs/>
                <w:i/>
                <w:iCs/>
                <w:color w:val="FF0000"/>
                <w:sz w:val="28"/>
                <w:szCs w:val="28"/>
              </w:rPr>
            </w:pPr>
          </w:p>
        </w:tc>
        <w:tc>
          <w:tcPr>
            <w:tcW w:w="42" w:type="pct"/>
            <w:tcBorders>
              <w:top w:val="nil"/>
              <w:left w:val="nil"/>
              <w:bottom w:val="nil"/>
              <w:right w:val="nil"/>
            </w:tcBorders>
            <w:shd w:val="clear" w:color="auto" w:fill="auto"/>
            <w:noWrap/>
            <w:vAlign w:val="bottom"/>
            <w:hideMark/>
          </w:tcPr>
          <w:p w14:paraId="10E099E0" w14:textId="77777777" w:rsidR="00901E4F" w:rsidRDefault="00901E4F">
            <w:pPr>
              <w:jc w:val="center"/>
              <w:rPr>
                <w:rFonts w:ascii="Calibri" w:hAnsi="Calibri" w:cs="Calibri"/>
                <w:b/>
                <w:bCs/>
                <w:i/>
                <w:iCs/>
                <w:color w:val="FF0000"/>
                <w:sz w:val="28"/>
                <w:szCs w:val="28"/>
              </w:rPr>
            </w:pPr>
          </w:p>
        </w:tc>
      </w:tr>
      <w:tr w:rsidR="00901E4F" w14:paraId="464264DB" w14:textId="77777777" w:rsidTr="00901E4F">
        <w:trPr>
          <w:trHeight w:val="739"/>
        </w:trPr>
        <w:tc>
          <w:tcPr>
            <w:tcW w:w="2749" w:type="pct"/>
            <w:gridSpan w:val="2"/>
            <w:vMerge w:val="restart"/>
            <w:tcBorders>
              <w:top w:val="nil"/>
              <w:left w:val="single" w:sz="12" w:space="0" w:color="auto"/>
              <w:bottom w:val="single" w:sz="8" w:space="0" w:color="000000"/>
              <w:right w:val="single" w:sz="8" w:space="0" w:color="000000"/>
            </w:tcBorders>
            <w:shd w:val="clear" w:color="000000" w:fill="FFFF99"/>
            <w:vAlign w:val="center"/>
            <w:hideMark/>
          </w:tcPr>
          <w:p w14:paraId="10B1F9C2" w14:textId="77777777" w:rsidR="00901E4F" w:rsidRDefault="00901E4F">
            <w:pPr>
              <w:jc w:val="center"/>
              <w:rPr>
                <w:rFonts w:ascii="Calibri" w:hAnsi="Calibri" w:cs="Calibri"/>
                <w:b/>
                <w:bCs/>
                <w:i/>
                <w:iCs/>
                <w:color w:val="FF0000"/>
                <w:sz w:val="28"/>
                <w:szCs w:val="28"/>
              </w:rPr>
            </w:pPr>
            <w:r>
              <w:rPr>
                <w:rFonts w:ascii="Calibri" w:hAnsi="Calibri" w:cs="Calibri"/>
                <w:b/>
                <w:bCs/>
                <w:i/>
                <w:iCs/>
                <w:color w:val="FF0000"/>
                <w:sz w:val="28"/>
                <w:szCs w:val="28"/>
              </w:rPr>
              <w:t>Funkcionalita / požadované parametry závazné pro dodavatele</w:t>
            </w:r>
          </w:p>
        </w:tc>
        <w:tc>
          <w:tcPr>
            <w:tcW w:w="380" w:type="pct"/>
            <w:vMerge w:val="restart"/>
            <w:tcBorders>
              <w:top w:val="single" w:sz="8" w:space="0" w:color="auto"/>
              <w:left w:val="double" w:sz="6" w:space="0" w:color="auto"/>
              <w:bottom w:val="nil"/>
              <w:right w:val="double" w:sz="6" w:space="0" w:color="auto"/>
            </w:tcBorders>
            <w:shd w:val="clear" w:color="000000" w:fill="FFFF99"/>
            <w:vAlign w:val="center"/>
            <w:hideMark/>
          </w:tcPr>
          <w:p w14:paraId="16C74FB6" w14:textId="77777777" w:rsidR="00901E4F" w:rsidRDefault="00901E4F">
            <w:pPr>
              <w:jc w:val="center"/>
              <w:rPr>
                <w:rFonts w:ascii="Calibri" w:hAnsi="Calibri" w:cs="Calibri"/>
                <w:b/>
                <w:bCs/>
                <w:i/>
                <w:iCs/>
                <w:color w:val="FF0000"/>
              </w:rPr>
            </w:pPr>
            <w:r>
              <w:rPr>
                <w:rFonts w:ascii="Calibri" w:hAnsi="Calibri" w:cs="Calibri"/>
                <w:b/>
                <w:bCs/>
                <w:i/>
                <w:iCs/>
                <w:color w:val="FF0000"/>
              </w:rPr>
              <w:t>min. / max.</w:t>
            </w:r>
          </w:p>
        </w:tc>
        <w:tc>
          <w:tcPr>
            <w:tcW w:w="847" w:type="pct"/>
            <w:tcBorders>
              <w:top w:val="nil"/>
              <w:left w:val="nil"/>
              <w:bottom w:val="single" w:sz="4" w:space="0" w:color="auto"/>
              <w:right w:val="nil"/>
            </w:tcBorders>
            <w:shd w:val="clear" w:color="000000" w:fill="FFFF99"/>
            <w:vAlign w:val="center"/>
            <w:hideMark/>
          </w:tcPr>
          <w:p w14:paraId="7749B07C" w14:textId="77777777" w:rsidR="00901E4F" w:rsidRDefault="00901E4F">
            <w:pPr>
              <w:jc w:val="center"/>
              <w:rPr>
                <w:rFonts w:ascii="Calibri" w:hAnsi="Calibri" w:cs="Calibri"/>
                <w:b/>
                <w:bCs/>
                <w:i/>
                <w:iCs/>
                <w:sz w:val="28"/>
                <w:szCs w:val="28"/>
              </w:rPr>
            </w:pPr>
            <w:r>
              <w:rPr>
                <w:rFonts w:ascii="Calibri" w:hAnsi="Calibri" w:cs="Calibri"/>
                <w:b/>
                <w:bCs/>
                <w:i/>
                <w:iCs/>
                <w:sz w:val="28"/>
                <w:szCs w:val="28"/>
              </w:rPr>
              <w:t>Termovizní binokulární přístroj</w:t>
            </w:r>
          </w:p>
        </w:tc>
        <w:tc>
          <w:tcPr>
            <w:tcW w:w="982" w:type="pct"/>
            <w:tcBorders>
              <w:top w:val="nil"/>
              <w:left w:val="double" w:sz="6" w:space="0" w:color="auto"/>
              <w:bottom w:val="single" w:sz="4" w:space="0" w:color="auto"/>
              <w:right w:val="single" w:sz="12" w:space="0" w:color="auto"/>
            </w:tcBorders>
            <w:shd w:val="clear" w:color="000000" w:fill="FFFF99"/>
            <w:vAlign w:val="center"/>
            <w:hideMark/>
          </w:tcPr>
          <w:p w14:paraId="61048E2A" w14:textId="77777777" w:rsidR="00901E4F" w:rsidRDefault="00901E4F">
            <w:pPr>
              <w:jc w:val="center"/>
              <w:rPr>
                <w:rFonts w:ascii="Calibri" w:hAnsi="Calibri" w:cs="Calibri"/>
                <w:b/>
                <w:bCs/>
                <w:i/>
                <w:iCs/>
                <w:sz w:val="28"/>
                <w:szCs w:val="28"/>
              </w:rPr>
            </w:pPr>
            <w:r>
              <w:rPr>
                <w:rFonts w:ascii="Calibri" w:hAnsi="Calibri" w:cs="Calibri"/>
                <w:b/>
                <w:bCs/>
                <w:i/>
                <w:iCs/>
                <w:sz w:val="28"/>
                <w:szCs w:val="28"/>
              </w:rPr>
              <w:t>Termovizní binokulární přístroj</w:t>
            </w:r>
          </w:p>
        </w:tc>
        <w:tc>
          <w:tcPr>
            <w:tcW w:w="42" w:type="pct"/>
            <w:vAlign w:val="center"/>
            <w:hideMark/>
          </w:tcPr>
          <w:p w14:paraId="06CECAB0" w14:textId="77777777" w:rsidR="00901E4F" w:rsidRDefault="00901E4F">
            <w:pPr>
              <w:rPr>
                <w:sz w:val="20"/>
                <w:szCs w:val="20"/>
              </w:rPr>
            </w:pPr>
          </w:p>
        </w:tc>
      </w:tr>
      <w:tr w:rsidR="00901E4F" w14:paraId="3EDEBD76" w14:textId="77777777" w:rsidTr="00901E4F">
        <w:trPr>
          <w:trHeight w:val="315"/>
        </w:trPr>
        <w:tc>
          <w:tcPr>
            <w:tcW w:w="2749" w:type="pct"/>
            <w:gridSpan w:val="2"/>
            <w:vMerge/>
            <w:tcBorders>
              <w:top w:val="nil"/>
              <w:left w:val="single" w:sz="12" w:space="0" w:color="auto"/>
              <w:bottom w:val="single" w:sz="8" w:space="0" w:color="000000"/>
              <w:right w:val="single" w:sz="8" w:space="0" w:color="000000"/>
            </w:tcBorders>
            <w:vAlign w:val="center"/>
            <w:hideMark/>
          </w:tcPr>
          <w:p w14:paraId="7C23F1C2" w14:textId="77777777" w:rsidR="00901E4F" w:rsidRDefault="00901E4F">
            <w:pPr>
              <w:rPr>
                <w:rFonts w:ascii="Calibri" w:hAnsi="Calibri" w:cs="Calibri"/>
                <w:b/>
                <w:bCs/>
                <w:i/>
                <w:iCs/>
                <w:color w:val="FF0000"/>
                <w:sz w:val="28"/>
                <w:szCs w:val="28"/>
              </w:rPr>
            </w:pPr>
          </w:p>
        </w:tc>
        <w:tc>
          <w:tcPr>
            <w:tcW w:w="380" w:type="pct"/>
            <w:vMerge/>
            <w:tcBorders>
              <w:top w:val="single" w:sz="8" w:space="0" w:color="auto"/>
              <w:left w:val="double" w:sz="6" w:space="0" w:color="auto"/>
              <w:bottom w:val="nil"/>
              <w:right w:val="double" w:sz="6" w:space="0" w:color="auto"/>
            </w:tcBorders>
            <w:vAlign w:val="center"/>
            <w:hideMark/>
          </w:tcPr>
          <w:p w14:paraId="09FE9544" w14:textId="77777777" w:rsidR="00901E4F" w:rsidRDefault="00901E4F">
            <w:pPr>
              <w:rPr>
                <w:rFonts w:ascii="Calibri" w:hAnsi="Calibri" w:cs="Calibri"/>
                <w:b/>
                <w:bCs/>
                <w:i/>
                <w:iCs/>
                <w:color w:val="FF0000"/>
              </w:rPr>
            </w:pPr>
          </w:p>
        </w:tc>
        <w:tc>
          <w:tcPr>
            <w:tcW w:w="847" w:type="pct"/>
            <w:tcBorders>
              <w:top w:val="nil"/>
              <w:left w:val="single" w:sz="8" w:space="0" w:color="auto"/>
              <w:bottom w:val="single" w:sz="4" w:space="0" w:color="auto"/>
              <w:right w:val="nil"/>
            </w:tcBorders>
            <w:shd w:val="clear" w:color="000000" w:fill="FFFF99"/>
            <w:vAlign w:val="center"/>
            <w:hideMark/>
          </w:tcPr>
          <w:p w14:paraId="06B119DD" w14:textId="77777777" w:rsidR="00901E4F" w:rsidRDefault="00901E4F">
            <w:pPr>
              <w:jc w:val="center"/>
              <w:rPr>
                <w:rFonts w:ascii="Calibri" w:hAnsi="Calibri" w:cs="Calibri"/>
                <w:b/>
                <w:bCs/>
                <w:i/>
                <w:iCs/>
              </w:rPr>
            </w:pPr>
            <w:r>
              <w:rPr>
                <w:rFonts w:ascii="Calibri" w:hAnsi="Calibri" w:cs="Calibri"/>
                <w:b/>
                <w:bCs/>
                <w:i/>
                <w:iCs/>
              </w:rPr>
              <w:t> </w:t>
            </w:r>
          </w:p>
        </w:tc>
        <w:tc>
          <w:tcPr>
            <w:tcW w:w="982" w:type="pct"/>
            <w:tcBorders>
              <w:top w:val="nil"/>
              <w:left w:val="double" w:sz="6" w:space="0" w:color="auto"/>
              <w:bottom w:val="single" w:sz="4" w:space="0" w:color="auto"/>
              <w:right w:val="single" w:sz="12" w:space="0" w:color="auto"/>
            </w:tcBorders>
            <w:shd w:val="clear" w:color="000000" w:fill="FFFF99"/>
            <w:vAlign w:val="center"/>
            <w:hideMark/>
          </w:tcPr>
          <w:p w14:paraId="5339E3B0" w14:textId="77777777" w:rsidR="00901E4F" w:rsidRDefault="00901E4F">
            <w:pPr>
              <w:jc w:val="center"/>
              <w:rPr>
                <w:rFonts w:ascii="Calibri" w:hAnsi="Calibri" w:cs="Calibri"/>
                <w:b/>
                <w:bCs/>
                <w:i/>
                <w:iCs/>
              </w:rPr>
            </w:pPr>
            <w:r>
              <w:rPr>
                <w:rFonts w:ascii="Calibri" w:hAnsi="Calibri" w:cs="Calibri"/>
                <w:b/>
                <w:bCs/>
                <w:i/>
                <w:iCs/>
              </w:rPr>
              <w:t> </w:t>
            </w:r>
          </w:p>
        </w:tc>
        <w:tc>
          <w:tcPr>
            <w:tcW w:w="42" w:type="pct"/>
            <w:vAlign w:val="center"/>
            <w:hideMark/>
          </w:tcPr>
          <w:p w14:paraId="6EE0BDD0" w14:textId="77777777" w:rsidR="00901E4F" w:rsidRDefault="00901E4F">
            <w:pPr>
              <w:rPr>
                <w:sz w:val="20"/>
                <w:szCs w:val="20"/>
              </w:rPr>
            </w:pPr>
          </w:p>
        </w:tc>
      </w:tr>
      <w:tr w:rsidR="00901E4F" w14:paraId="26560EDB" w14:textId="77777777" w:rsidTr="00901E4F">
        <w:trPr>
          <w:trHeight w:val="330"/>
        </w:trPr>
        <w:tc>
          <w:tcPr>
            <w:tcW w:w="2749" w:type="pct"/>
            <w:gridSpan w:val="2"/>
            <w:vMerge/>
            <w:tcBorders>
              <w:top w:val="nil"/>
              <w:left w:val="single" w:sz="12" w:space="0" w:color="auto"/>
              <w:bottom w:val="single" w:sz="8" w:space="0" w:color="000000"/>
              <w:right w:val="single" w:sz="8" w:space="0" w:color="000000"/>
            </w:tcBorders>
            <w:vAlign w:val="center"/>
            <w:hideMark/>
          </w:tcPr>
          <w:p w14:paraId="02173D19" w14:textId="77777777" w:rsidR="00901E4F" w:rsidRDefault="00901E4F">
            <w:pPr>
              <w:rPr>
                <w:rFonts w:ascii="Calibri" w:hAnsi="Calibri" w:cs="Calibri"/>
                <w:b/>
                <w:bCs/>
                <w:i/>
                <w:iCs/>
                <w:color w:val="FF0000"/>
                <w:sz w:val="28"/>
                <w:szCs w:val="28"/>
              </w:rPr>
            </w:pPr>
          </w:p>
        </w:tc>
        <w:tc>
          <w:tcPr>
            <w:tcW w:w="1227" w:type="pct"/>
            <w:gridSpan w:val="2"/>
            <w:tcBorders>
              <w:top w:val="nil"/>
              <w:left w:val="double" w:sz="6" w:space="0" w:color="auto"/>
              <w:bottom w:val="single" w:sz="8" w:space="0" w:color="auto"/>
              <w:right w:val="nil"/>
            </w:tcBorders>
            <w:shd w:val="clear" w:color="000000" w:fill="A9D08E"/>
            <w:vAlign w:val="center"/>
            <w:hideMark/>
          </w:tcPr>
          <w:p w14:paraId="508FAAC4" w14:textId="77777777" w:rsidR="00901E4F" w:rsidRDefault="00901E4F">
            <w:pPr>
              <w:jc w:val="center"/>
              <w:rPr>
                <w:rFonts w:ascii="Calibri" w:hAnsi="Calibri" w:cs="Calibri"/>
                <w:b/>
                <w:bCs/>
                <w:i/>
                <w:iCs/>
              </w:rPr>
            </w:pPr>
            <w:r>
              <w:rPr>
                <w:rFonts w:ascii="Calibri" w:hAnsi="Calibri" w:cs="Calibri"/>
                <w:b/>
                <w:bCs/>
                <w:i/>
                <w:iCs/>
              </w:rPr>
              <w:t>Požadované parametry</w:t>
            </w:r>
          </w:p>
        </w:tc>
        <w:tc>
          <w:tcPr>
            <w:tcW w:w="982" w:type="pct"/>
            <w:tcBorders>
              <w:top w:val="nil"/>
              <w:left w:val="double" w:sz="6" w:space="0" w:color="auto"/>
              <w:bottom w:val="single" w:sz="8" w:space="0" w:color="auto"/>
              <w:right w:val="single" w:sz="12" w:space="0" w:color="auto"/>
            </w:tcBorders>
            <w:shd w:val="clear" w:color="000000" w:fill="A9D08E"/>
            <w:vAlign w:val="center"/>
            <w:hideMark/>
          </w:tcPr>
          <w:p w14:paraId="3297145F" w14:textId="77777777" w:rsidR="00901E4F" w:rsidRDefault="00901E4F">
            <w:pPr>
              <w:rPr>
                <w:rFonts w:ascii="Calibri" w:hAnsi="Calibri" w:cs="Calibri"/>
                <w:b/>
                <w:bCs/>
                <w:i/>
                <w:iCs/>
              </w:rPr>
            </w:pPr>
            <w:r>
              <w:rPr>
                <w:rFonts w:ascii="Calibri" w:hAnsi="Calibri" w:cs="Calibri"/>
                <w:b/>
                <w:bCs/>
                <w:i/>
                <w:iCs/>
              </w:rPr>
              <w:t>Parametry nabízeného zařízení</w:t>
            </w:r>
          </w:p>
        </w:tc>
        <w:tc>
          <w:tcPr>
            <w:tcW w:w="42" w:type="pct"/>
            <w:vAlign w:val="center"/>
            <w:hideMark/>
          </w:tcPr>
          <w:p w14:paraId="68F551F5" w14:textId="77777777" w:rsidR="00901E4F" w:rsidRDefault="00901E4F">
            <w:pPr>
              <w:rPr>
                <w:sz w:val="20"/>
                <w:szCs w:val="20"/>
              </w:rPr>
            </w:pPr>
          </w:p>
        </w:tc>
      </w:tr>
      <w:tr w:rsidR="00901E4F" w14:paraId="6D16B566" w14:textId="77777777" w:rsidTr="00901E4F">
        <w:trPr>
          <w:trHeight w:val="300"/>
        </w:trPr>
        <w:tc>
          <w:tcPr>
            <w:tcW w:w="2749" w:type="pct"/>
            <w:gridSpan w:val="2"/>
            <w:tcBorders>
              <w:top w:val="single" w:sz="8" w:space="0" w:color="auto"/>
              <w:left w:val="single" w:sz="12" w:space="0" w:color="auto"/>
              <w:bottom w:val="single" w:sz="8" w:space="0" w:color="auto"/>
              <w:right w:val="single" w:sz="8" w:space="0" w:color="000000"/>
            </w:tcBorders>
            <w:shd w:val="clear" w:color="000000" w:fill="FFFFFF"/>
            <w:hideMark/>
          </w:tcPr>
          <w:p w14:paraId="4E849BC8" w14:textId="77777777" w:rsidR="00901E4F" w:rsidRDefault="00901E4F">
            <w:pPr>
              <w:rPr>
                <w:rFonts w:ascii="Calibri" w:hAnsi="Calibri" w:cs="Calibri"/>
                <w:sz w:val="22"/>
                <w:szCs w:val="22"/>
              </w:rPr>
            </w:pPr>
            <w:r>
              <w:rPr>
                <w:rFonts w:ascii="Calibri" w:hAnsi="Calibri" w:cs="Calibri"/>
                <w:sz w:val="22"/>
                <w:szCs w:val="22"/>
              </w:rPr>
              <w:t>Voděodolný (IPX7) termovizní dalekohled s možností obrazového záznamu</w:t>
            </w:r>
          </w:p>
        </w:tc>
        <w:tc>
          <w:tcPr>
            <w:tcW w:w="380" w:type="pct"/>
            <w:tcBorders>
              <w:top w:val="single" w:sz="8" w:space="0" w:color="auto"/>
              <w:left w:val="nil"/>
              <w:bottom w:val="nil"/>
              <w:right w:val="double" w:sz="6" w:space="0" w:color="auto"/>
            </w:tcBorders>
            <w:shd w:val="clear" w:color="000000" w:fill="FFFFFF"/>
            <w:hideMark/>
          </w:tcPr>
          <w:p w14:paraId="505938A6"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single" w:sz="4" w:space="0" w:color="auto"/>
              <w:left w:val="nil"/>
              <w:bottom w:val="nil"/>
              <w:right w:val="nil"/>
            </w:tcBorders>
            <w:shd w:val="clear" w:color="auto" w:fill="auto"/>
            <w:hideMark/>
          </w:tcPr>
          <w:p w14:paraId="09DF0EDA" w14:textId="77777777" w:rsidR="00901E4F" w:rsidRDefault="00901E4F">
            <w:pPr>
              <w:rPr>
                <w:rFonts w:ascii="Calibri" w:hAnsi="Calibri" w:cs="Calibri"/>
                <w:sz w:val="22"/>
                <w:szCs w:val="22"/>
              </w:rPr>
            </w:pPr>
            <w:r>
              <w:rPr>
                <w:rFonts w:ascii="Calibri" w:hAnsi="Calibri" w:cs="Calibri"/>
                <w:sz w:val="22"/>
                <w:szCs w:val="22"/>
              </w:rPr>
              <w:t>ano</w:t>
            </w:r>
          </w:p>
        </w:tc>
        <w:tc>
          <w:tcPr>
            <w:tcW w:w="982" w:type="pct"/>
            <w:tcBorders>
              <w:top w:val="single" w:sz="4" w:space="0" w:color="auto"/>
              <w:left w:val="double" w:sz="6" w:space="0" w:color="auto"/>
              <w:bottom w:val="nil"/>
              <w:right w:val="single" w:sz="12" w:space="0" w:color="auto"/>
            </w:tcBorders>
            <w:shd w:val="clear" w:color="000000" w:fill="FFFF00"/>
            <w:hideMark/>
          </w:tcPr>
          <w:p w14:paraId="4D496CCE" w14:textId="77777777" w:rsidR="00901E4F" w:rsidRDefault="00901E4F">
            <w:pPr>
              <w:rPr>
                <w:rFonts w:ascii="Calibri" w:hAnsi="Calibri" w:cs="Calibri"/>
                <w:b/>
                <w:bCs/>
                <w:sz w:val="22"/>
                <w:szCs w:val="22"/>
              </w:rPr>
            </w:pPr>
            <w:r>
              <w:rPr>
                <w:rFonts w:ascii="Calibri" w:hAnsi="Calibri" w:cs="Calibri"/>
                <w:b/>
                <w:bCs/>
                <w:sz w:val="22"/>
                <w:szCs w:val="22"/>
              </w:rPr>
              <w:t>ano</w:t>
            </w:r>
          </w:p>
        </w:tc>
        <w:tc>
          <w:tcPr>
            <w:tcW w:w="42" w:type="pct"/>
            <w:vAlign w:val="center"/>
            <w:hideMark/>
          </w:tcPr>
          <w:p w14:paraId="14DFE9BD" w14:textId="77777777" w:rsidR="00901E4F" w:rsidRDefault="00901E4F">
            <w:pPr>
              <w:rPr>
                <w:sz w:val="20"/>
                <w:szCs w:val="20"/>
              </w:rPr>
            </w:pPr>
          </w:p>
        </w:tc>
      </w:tr>
      <w:tr w:rsidR="00901E4F" w14:paraId="7000DB31" w14:textId="77777777" w:rsidTr="00901E4F">
        <w:trPr>
          <w:trHeight w:val="300"/>
        </w:trPr>
        <w:tc>
          <w:tcPr>
            <w:tcW w:w="2749" w:type="pct"/>
            <w:gridSpan w:val="2"/>
            <w:tcBorders>
              <w:top w:val="single" w:sz="8" w:space="0" w:color="auto"/>
              <w:left w:val="single" w:sz="12" w:space="0" w:color="auto"/>
              <w:bottom w:val="single" w:sz="8" w:space="0" w:color="auto"/>
              <w:right w:val="single" w:sz="8" w:space="0" w:color="000000"/>
            </w:tcBorders>
            <w:shd w:val="clear" w:color="000000" w:fill="FFFFFF"/>
            <w:hideMark/>
          </w:tcPr>
          <w:p w14:paraId="1B39FDAC" w14:textId="77777777" w:rsidR="00901E4F" w:rsidRDefault="00901E4F">
            <w:pPr>
              <w:rPr>
                <w:rFonts w:ascii="Calibri" w:hAnsi="Calibri" w:cs="Calibri"/>
                <w:sz w:val="22"/>
                <w:szCs w:val="22"/>
              </w:rPr>
            </w:pPr>
            <w:r>
              <w:rPr>
                <w:rFonts w:ascii="Calibri" w:hAnsi="Calibri" w:cs="Calibri"/>
                <w:sz w:val="22"/>
                <w:szCs w:val="22"/>
              </w:rPr>
              <w:t xml:space="preserve">Kapacita uložiště </w:t>
            </w:r>
          </w:p>
        </w:tc>
        <w:tc>
          <w:tcPr>
            <w:tcW w:w="380" w:type="pct"/>
            <w:tcBorders>
              <w:top w:val="single" w:sz="8" w:space="0" w:color="auto"/>
              <w:left w:val="nil"/>
              <w:bottom w:val="single" w:sz="8" w:space="0" w:color="auto"/>
              <w:right w:val="double" w:sz="6" w:space="0" w:color="auto"/>
            </w:tcBorders>
            <w:shd w:val="clear" w:color="000000" w:fill="FFFFFF"/>
            <w:hideMark/>
          </w:tcPr>
          <w:p w14:paraId="1AC56D74" w14:textId="77777777" w:rsidR="00901E4F" w:rsidRDefault="00901E4F">
            <w:pPr>
              <w:jc w:val="center"/>
              <w:rPr>
                <w:rFonts w:ascii="Calibri" w:hAnsi="Calibri" w:cs="Calibri"/>
                <w:sz w:val="22"/>
                <w:szCs w:val="22"/>
              </w:rPr>
            </w:pPr>
            <w:r>
              <w:rPr>
                <w:rFonts w:ascii="Calibri" w:hAnsi="Calibri" w:cs="Calibri"/>
                <w:sz w:val="22"/>
                <w:szCs w:val="22"/>
              </w:rPr>
              <w:t>min.</w:t>
            </w:r>
          </w:p>
        </w:tc>
        <w:tc>
          <w:tcPr>
            <w:tcW w:w="847" w:type="pct"/>
            <w:tcBorders>
              <w:top w:val="single" w:sz="8" w:space="0" w:color="auto"/>
              <w:left w:val="nil"/>
              <w:bottom w:val="single" w:sz="8" w:space="0" w:color="auto"/>
              <w:right w:val="nil"/>
            </w:tcBorders>
            <w:shd w:val="clear" w:color="auto" w:fill="auto"/>
            <w:hideMark/>
          </w:tcPr>
          <w:p w14:paraId="2304B6EF" w14:textId="77777777" w:rsidR="00901E4F" w:rsidRDefault="00901E4F">
            <w:pPr>
              <w:rPr>
                <w:rFonts w:ascii="Calibri" w:hAnsi="Calibri" w:cs="Calibri"/>
                <w:sz w:val="22"/>
                <w:szCs w:val="22"/>
              </w:rPr>
            </w:pPr>
            <w:r>
              <w:rPr>
                <w:rFonts w:ascii="Calibri" w:hAnsi="Calibri" w:cs="Calibri"/>
                <w:sz w:val="22"/>
                <w:szCs w:val="22"/>
              </w:rPr>
              <w:t>16 GB</w:t>
            </w:r>
          </w:p>
        </w:tc>
        <w:tc>
          <w:tcPr>
            <w:tcW w:w="982" w:type="pct"/>
            <w:tcBorders>
              <w:top w:val="single" w:sz="8" w:space="0" w:color="auto"/>
              <w:left w:val="double" w:sz="6" w:space="0" w:color="auto"/>
              <w:bottom w:val="single" w:sz="8" w:space="0" w:color="auto"/>
              <w:right w:val="single" w:sz="12" w:space="0" w:color="auto"/>
            </w:tcBorders>
            <w:shd w:val="clear" w:color="000000" w:fill="FFFF00"/>
            <w:hideMark/>
          </w:tcPr>
          <w:p w14:paraId="06EAC6B8" w14:textId="77777777" w:rsidR="00901E4F" w:rsidRDefault="00901E4F">
            <w:pPr>
              <w:rPr>
                <w:rFonts w:ascii="Calibri" w:hAnsi="Calibri" w:cs="Calibri"/>
                <w:sz w:val="22"/>
                <w:szCs w:val="22"/>
              </w:rPr>
            </w:pPr>
            <w:r>
              <w:rPr>
                <w:rFonts w:ascii="Calibri" w:hAnsi="Calibri" w:cs="Calibri"/>
                <w:sz w:val="22"/>
                <w:szCs w:val="22"/>
              </w:rPr>
              <w:t>16 GB</w:t>
            </w:r>
          </w:p>
        </w:tc>
        <w:tc>
          <w:tcPr>
            <w:tcW w:w="42" w:type="pct"/>
            <w:vAlign w:val="center"/>
            <w:hideMark/>
          </w:tcPr>
          <w:p w14:paraId="77D636CA" w14:textId="77777777" w:rsidR="00901E4F" w:rsidRDefault="00901E4F">
            <w:pPr>
              <w:rPr>
                <w:sz w:val="20"/>
                <w:szCs w:val="20"/>
              </w:rPr>
            </w:pPr>
          </w:p>
        </w:tc>
      </w:tr>
      <w:tr w:rsidR="00901E4F" w14:paraId="13007B13" w14:textId="77777777" w:rsidTr="00901E4F">
        <w:trPr>
          <w:trHeight w:val="315"/>
        </w:trPr>
        <w:tc>
          <w:tcPr>
            <w:tcW w:w="2749" w:type="pct"/>
            <w:gridSpan w:val="2"/>
            <w:tcBorders>
              <w:top w:val="single" w:sz="8" w:space="0" w:color="auto"/>
              <w:left w:val="single" w:sz="12" w:space="0" w:color="auto"/>
              <w:bottom w:val="single" w:sz="8" w:space="0" w:color="auto"/>
              <w:right w:val="single" w:sz="8" w:space="0" w:color="000000"/>
            </w:tcBorders>
            <w:shd w:val="clear" w:color="000000" w:fill="FFFFFF"/>
            <w:hideMark/>
          </w:tcPr>
          <w:p w14:paraId="6BE5D1B9" w14:textId="77777777" w:rsidR="00901E4F" w:rsidRDefault="00901E4F">
            <w:pPr>
              <w:rPr>
                <w:rFonts w:ascii="Calibri" w:hAnsi="Calibri" w:cs="Calibri"/>
                <w:sz w:val="22"/>
                <w:szCs w:val="22"/>
              </w:rPr>
            </w:pPr>
            <w:r>
              <w:rPr>
                <w:rFonts w:ascii="Calibri" w:hAnsi="Calibri" w:cs="Calibri"/>
                <w:sz w:val="22"/>
                <w:szCs w:val="22"/>
              </w:rPr>
              <w:t xml:space="preserve">Rozlišení videa </w:t>
            </w:r>
          </w:p>
        </w:tc>
        <w:tc>
          <w:tcPr>
            <w:tcW w:w="380" w:type="pct"/>
            <w:tcBorders>
              <w:top w:val="nil"/>
              <w:left w:val="nil"/>
              <w:bottom w:val="single" w:sz="8" w:space="0" w:color="auto"/>
              <w:right w:val="double" w:sz="6" w:space="0" w:color="auto"/>
            </w:tcBorders>
            <w:shd w:val="clear" w:color="000000" w:fill="FFFFFF"/>
            <w:hideMark/>
          </w:tcPr>
          <w:p w14:paraId="6AAB87D6" w14:textId="77777777" w:rsidR="00901E4F" w:rsidRDefault="00901E4F">
            <w:pPr>
              <w:jc w:val="center"/>
              <w:rPr>
                <w:rFonts w:ascii="Calibri" w:hAnsi="Calibri" w:cs="Calibri"/>
                <w:sz w:val="22"/>
                <w:szCs w:val="22"/>
              </w:rPr>
            </w:pPr>
            <w:r>
              <w:rPr>
                <w:rFonts w:ascii="Calibri" w:hAnsi="Calibri" w:cs="Calibri"/>
                <w:sz w:val="22"/>
                <w:szCs w:val="22"/>
              </w:rPr>
              <w:t>min.</w:t>
            </w:r>
          </w:p>
        </w:tc>
        <w:tc>
          <w:tcPr>
            <w:tcW w:w="847" w:type="pct"/>
            <w:tcBorders>
              <w:top w:val="nil"/>
              <w:left w:val="nil"/>
              <w:bottom w:val="single" w:sz="8" w:space="0" w:color="auto"/>
              <w:right w:val="nil"/>
            </w:tcBorders>
            <w:shd w:val="clear" w:color="auto" w:fill="auto"/>
            <w:hideMark/>
          </w:tcPr>
          <w:p w14:paraId="518710A8" w14:textId="77777777" w:rsidR="00901E4F" w:rsidRDefault="00901E4F">
            <w:pPr>
              <w:rPr>
                <w:rFonts w:ascii="Calibri" w:hAnsi="Calibri" w:cs="Calibri"/>
                <w:sz w:val="22"/>
                <w:szCs w:val="22"/>
              </w:rPr>
            </w:pPr>
            <w:r>
              <w:rPr>
                <w:rFonts w:ascii="Calibri" w:hAnsi="Calibri" w:cs="Calibri"/>
                <w:sz w:val="22"/>
                <w:szCs w:val="22"/>
              </w:rPr>
              <w:t>640x480px</w:t>
            </w:r>
          </w:p>
        </w:tc>
        <w:tc>
          <w:tcPr>
            <w:tcW w:w="982" w:type="pct"/>
            <w:tcBorders>
              <w:top w:val="nil"/>
              <w:left w:val="double" w:sz="6" w:space="0" w:color="auto"/>
              <w:bottom w:val="single" w:sz="8" w:space="0" w:color="auto"/>
              <w:right w:val="single" w:sz="12" w:space="0" w:color="auto"/>
            </w:tcBorders>
            <w:shd w:val="clear" w:color="000000" w:fill="FFFF00"/>
            <w:hideMark/>
          </w:tcPr>
          <w:p w14:paraId="4596D6CC" w14:textId="77777777" w:rsidR="00901E4F" w:rsidRDefault="00901E4F">
            <w:pPr>
              <w:rPr>
                <w:rFonts w:ascii="Calibri" w:hAnsi="Calibri" w:cs="Calibri"/>
                <w:sz w:val="22"/>
                <w:szCs w:val="22"/>
              </w:rPr>
            </w:pPr>
            <w:r>
              <w:rPr>
                <w:rFonts w:ascii="Calibri" w:hAnsi="Calibri" w:cs="Calibri"/>
                <w:sz w:val="22"/>
                <w:szCs w:val="22"/>
              </w:rPr>
              <w:t>640x480px</w:t>
            </w:r>
          </w:p>
        </w:tc>
        <w:tc>
          <w:tcPr>
            <w:tcW w:w="42" w:type="pct"/>
            <w:vAlign w:val="center"/>
            <w:hideMark/>
          </w:tcPr>
          <w:p w14:paraId="46BB1AD0" w14:textId="77777777" w:rsidR="00901E4F" w:rsidRDefault="00901E4F">
            <w:pPr>
              <w:rPr>
                <w:sz w:val="20"/>
                <w:szCs w:val="20"/>
              </w:rPr>
            </w:pPr>
          </w:p>
        </w:tc>
      </w:tr>
      <w:tr w:rsidR="00901E4F" w14:paraId="135E28E0" w14:textId="77777777" w:rsidTr="00901E4F">
        <w:trPr>
          <w:trHeight w:val="315"/>
        </w:trPr>
        <w:tc>
          <w:tcPr>
            <w:tcW w:w="2749" w:type="pct"/>
            <w:gridSpan w:val="2"/>
            <w:tcBorders>
              <w:top w:val="single" w:sz="8" w:space="0" w:color="auto"/>
              <w:left w:val="single" w:sz="12" w:space="0" w:color="auto"/>
              <w:bottom w:val="single" w:sz="8" w:space="0" w:color="auto"/>
              <w:right w:val="single" w:sz="8" w:space="0" w:color="000000"/>
            </w:tcBorders>
            <w:shd w:val="clear" w:color="000000" w:fill="FFFFFF"/>
            <w:hideMark/>
          </w:tcPr>
          <w:p w14:paraId="147E55C1" w14:textId="77777777" w:rsidR="00901E4F" w:rsidRDefault="00901E4F">
            <w:pPr>
              <w:rPr>
                <w:rFonts w:ascii="Calibri" w:hAnsi="Calibri" w:cs="Calibri"/>
                <w:sz w:val="22"/>
                <w:szCs w:val="22"/>
              </w:rPr>
            </w:pPr>
            <w:r>
              <w:rPr>
                <w:rFonts w:ascii="Calibri" w:hAnsi="Calibri" w:cs="Calibri"/>
                <w:sz w:val="22"/>
                <w:szCs w:val="22"/>
              </w:rPr>
              <w:t xml:space="preserve">Optické zvětšení </w:t>
            </w:r>
          </w:p>
        </w:tc>
        <w:tc>
          <w:tcPr>
            <w:tcW w:w="380" w:type="pct"/>
            <w:tcBorders>
              <w:top w:val="nil"/>
              <w:left w:val="nil"/>
              <w:bottom w:val="single" w:sz="8" w:space="0" w:color="auto"/>
              <w:right w:val="double" w:sz="6" w:space="0" w:color="auto"/>
            </w:tcBorders>
            <w:shd w:val="clear" w:color="000000" w:fill="FFFFFF"/>
            <w:hideMark/>
          </w:tcPr>
          <w:p w14:paraId="4DAC9C63" w14:textId="77777777" w:rsidR="00901E4F" w:rsidRDefault="00901E4F">
            <w:pPr>
              <w:jc w:val="center"/>
              <w:rPr>
                <w:rFonts w:ascii="Calibri" w:hAnsi="Calibri" w:cs="Calibri"/>
                <w:sz w:val="22"/>
                <w:szCs w:val="22"/>
              </w:rPr>
            </w:pPr>
            <w:r>
              <w:rPr>
                <w:rFonts w:ascii="Calibri" w:hAnsi="Calibri" w:cs="Calibri"/>
                <w:sz w:val="22"/>
                <w:szCs w:val="22"/>
              </w:rPr>
              <w:t>min.</w:t>
            </w:r>
          </w:p>
        </w:tc>
        <w:tc>
          <w:tcPr>
            <w:tcW w:w="847" w:type="pct"/>
            <w:tcBorders>
              <w:top w:val="nil"/>
              <w:left w:val="nil"/>
              <w:bottom w:val="single" w:sz="8" w:space="0" w:color="auto"/>
              <w:right w:val="nil"/>
            </w:tcBorders>
            <w:shd w:val="clear" w:color="auto" w:fill="auto"/>
            <w:hideMark/>
          </w:tcPr>
          <w:p w14:paraId="71F8628B" w14:textId="77777777" w:rsidR="00901E4F" w:rsidRDefault="00901E4F">
            <w:pPr>
              <w:rPr>
                <w:rFonts w:ascii="Calibri" w:hAnsi="Calibri" w:cs="Calibri"/>
                <w:sz w:val="22"/>
                <w:szCs w:val="22"/>
              </w:rPr>
            </w:pPr>
            <w:r>
              <w:rPr>
                <w:rFonts w:ascii="Calibri" w:hAnsi="Calibri" w:cs="Calibri"/>
                <w:sz w:val="22"/>
                <w:szCs w:val="22"/>
              </w:rPr>
              <w:t xml:space="preserve">2.5 − 20x </w:t>
            </w:r>
          </w:p>
        </w:tc>
        <w:tc>
          <w:tcPr>
            <w:tcW w:w="982" w:type="pct"/>
            <w:tcBorders>
              <w:top w:val="nil"/>
              <w:left w:val="double" w:sz="6" w:space="0" w:color="auto"/>
              <w:bottom w:val="single" w:sz="8" w:space="0" w:color="auto"/>
              <w:right w:val="single" w:sz="12" w:space="0" w:color="auto"/>
            </w:tcBorders>
            <w:shd w:val="clear" w:color="000000" w:fill="FFFF00"/>
            <w:hideMark/>
          </w:tcPr>
          <w:p w14:paraId="60E973DE" w14:textId="77777777" w:rsidR="00901E4F" w:rsidRDefault="00901E4F">
            <w:pPr>
              <w:rPr>
                <w:rFonts w:ascii="Calibri" w:hAnsi="Calibri" w:cs="Calibri"/>
                <w:sz w:val="22"/>
                <w:szCs w:val="22"/>
              </w:rPr>
            </w:pPr>
            <w:r>
              <w:rPr>
                <w:rFonts w:ascii="Calibri" w:hAnsi="Calibri" w:cs="Calibri"/>
                <w:sz w:val="22"/>
                <w:szCs w:val="22"/>
              </w:rPr>
              <w:t xml:space="preserve">2.5 − 20x </w:t>
            </w:r>
          </w:p>
        </w:tc>
        <w:tc>
          <w:tcPr>
            <w:tcW w:w="42" w:type="pct"/>
            <w:vAlign w:val="center"/>
            <w:hideMark/>
          </w:tcPr>
          <w:p w14:paraId="770EF1C6" w14:textId="77777777" w:rsidR="00901E4F" w:rsidRDefault="00901E4F">
            <w:pPr>
              <w:rPr>
                <w:sz w:val="20"/>
                <w:szCs w:val="20"/>
              </w:rPr>
            </w:pPr>
          </w:p>
        </w:tc>
      </w:tr>
      <w:tr w:rsidR="00901E4F" w14:paraId="0F984AC1" w14:textId="77777777" w:rsidTr="00901E4F">
        <w:trPr>
          <w:trHeight w:val="312"/>
        </w:trPr>
        <w:tc>
          <w:tcPr>
            <w:tcW w:w="2749" w:type="pct"/>
            <w:gridSpan w:val="2"/>
            <w:tcBorders>
              <w:top w:val="single" w:sz="8" w:space="0" w:color="auto"/>
              <w:left w:val="single" w:sz="12" w:space="0" w:color="auto"/>
              <w:bottom w:val="single" w:sz="8" w:space="0" w:color="auto"/>
              <w:right w:val="single" w:sz="8" w:space="0" w:color="000000"/>
            </w:tcBorders>
            <w:shd w:val="clear" w:color="000000" w:fill="FFFFFF"/>
            <w:hideMark/>
          </w:tcPr>
          <w:p w14:paraId="1E52DB3D" w14:textId="77777777" w:rsidR="00901E4F" w:rsidRDefault="00901E4F">
            <w:pPr>
              <w:rPr>
                <w:rFonts w:ascii="Calibri" w:hAnsi="Calibri" w:cs="Calibri"/>
                <w:sz w:val="22"/>
                <w:szCs w:val="22"/>
              </w:rPr>
            </w:pPr>
            <w:r>
              <w:rPr>
                <w:rFonts w:ascii="Calibri" w:hAnsi="Calibri" w:cs="Calibri"/>
                <w:sz w:val="22"/>
                <w:szCs w:val="22"/>
              </w:rPr>
              <w:t xml:space="preserve">Rozlišení </w:t>
            </w:r>
            <w:proofErr w:type="spellStart"/>
            <w:r>
              <w:rPr>
                <w:rFonts w:ascii="Calibri" w:hAnsi="Calibri" w:cs="Calibri"/>
                <w:sz w:val="22"/>
                <w:szCs w:val="22"/>
              </w:rPr>
              <w:t>mikrobolometru</w:t>
            </w:r>
            <w:proofErr w:type="spellEnd"/>
            <w:r>
              <w:rPr>
                <w:rFonts w:ascii="Calibri" w:hAnsi="Calibri" w:cs="Calibri"/>
                <w:sz w:val="22"/>
                <w:szCs w:val="22"/>
              </w:rPr>
              <w:t xml:space="preserve"> </w:t>
            </w:r>
          </w:p>
        </w:tc>
        <w:tc>
          <w:tcPr>
            <w:tcW w:w="380" w:type="pct"/>
            <w:tcBorders>
              <w:top w:val="nil"/>
              <w:left w:val="nil"/>
              <w:bottom w:val="single" w:sz="8" w:space="0" w:color="auto"/>
              <w:right w:val="double" w:sz="6" w:space="0" w:color="auto"/>
            </w:tcBorders>
            <w:shd w:val="clear" w:color="000000" w:fill="FFFFFF"/>
            <w:hideMark/>
          </w:tcPr>
          <w:p w14:paraId="6BB18009" w14:textId="77777777" w:rsidR="00901E4F" w:rsidRDefault="00901E4F">
            <w:pPr>
              <w:jc w:val="center"/>
              <w:rPr>
                <w:rFonts w:ascii="Calibri" w:hAnsi="Calibri" w:cs="Calibri"/>
                <w:sz w:val="22"/>
                <w:szCs w:val="22"/>
              </w:rPr>
            </w:pPr>
            <w:r>
              <w:rPr>
                <w:rFonts w:ascii="Calibri" w:hAnsi="Calibri" w:cs="Calibri"/>
                <w:sz w:val="22"/>
                <w:szCs w:val="22"/>
              </w:rPr>
              <w:t>min.</w:t>
            </w:r>
          </w:p>
        </w:tc>
        <w:tc>
          <w:tcPr>
            <w:tcW w:w="847" w:type="pct"/>
            <w:tcBorders>
              <w:top w:val="nil"/>
              <w:left w:val="nil"/>
              <w:bottom w:val="single" w:sz="8" w:space="0" w:color="auto"/>
              <w:right w:val="nil"/>
            </w:tcBorders>
            <w:shd w:val="clear" w:color="auto" w:fill="auto"/>
            <w:hideMark/>
          </w:tcPr>
          <w:p w14:paraId="1389C10C" w14:textId="77777777" w:rsidR="00901E4F" w:rsidRDefault="00901E4F">
            <w:pPr>
              <w:rPr>
                <w:rFonts w:ascii="Calibri" w:hAnsi="Calibri" w:cs="Calibri"/>
                <w:sz w:val="22"/>
                <w:szCs w:val="22"/>
              </w:rPr>
            </w:pPr>
            <w:r>
              <w:rPr>
                <w:rFonts w:ascii="Calibri" w:hAnsi="Calibri" w:cs="Calibri"/>
                <w:sz w:val="22"/>
                <w:szCs w:val="22"/>
              </w:rPr>
              <w:t xml:space="preserve">640x480 </w:t>
            </w:r>
          </w:p>
        </w:tc>
        <w:tc>
          <w:tcPr>
            <w:tcW w:w="982" w:type="pct"/>
            <w:tcBorders>
              <w:top w:val="nil"/>
              <w:left w:val="double" w:sz="6" w:space="0" w:color="auto"/>
              <w:bottom w:val="single" w:sz="8" w:space="0" w:color="auto"/>
              <w:right w:val="single" w:sz="12" w:space="0" w:color="auto"/>
            </w:tcBorders>
            <w:shd w:val="clear" w:color="000000" w:fill="FFFF00"/>
            <w:hideMark/>
          </w:tcPr>
          <w:p w14:paraId="26BFB2DE" w14:textId="77777777" w:rsidR="00901E4F" w:rsidRDefault="00901E4F">
            <w:pPr>
              <w:rPr>
                <w:rFonts w:ascii="Calibri" w:hAnsi="Calibri" w:cs="Calibri"/>
                <w:sz w:val="22"/>
                <w:szCs w:val="22"/>
              </w:rPr>
            </w:pPr>
            <w:r>
              <w:rPr>
                <w:rFonts w:ascii="Calibri" w:hAnsi="Calibri" w:cs="Calibri"/>
                <w:sz w:val="22"/>
                <w:szCs w:val="22"/>
              </w:rPr>
              <w:t xml:space="preserve">640x480 </w:t>
            </w:r>
          </w:p>
        </w:tc>
        <w:tc>
          <w:tcPr>
            <w:tcW w:w="42" w:type="pct"/>
            <w:vAlign w:val="center"/>
            <w:hideMark/>
          </w:tcPr>
          <w:p w14:paraId="233DA965" w14:textId="77777777" w:rsidR="00901E4F" w:rsidRDefault="00901E4F">
            <w:pPr>
              <w:rPr>
                <w:sz w:val="20"/>
                <w:szCs w:val="20"/>
              </w:rPr>
            </w:pPr>
          </w:p>
        </w:tc>
      </w:tr>
      <w:tr w:rsidR="00901E4F" w14:paraId="63F6DF92" w14:textId="77777777" w:rsidTr="00901E4F">
        <w:trPr>
          <w:trHeight w:val="312"/>
        </w:trPr>
        <w:tc>
          <w:tcPr>
            <w:tcW w:w="2749" w:type="pct"/>
            <w:gridSpan w:val="2"/>
            <w:tcBorders>
              <w:top w:val="single" w:sz="8" w:space="0" w:color="auto"/>
              <w:left w:val="single" w:sz="12" w:space="0" w:color="auto"/>
              <w:bottom w:val="single" w:sz="8" w:space="0" w:color="auto"/>
              <w:right w:val="single" w:sz="8" w:space="0" w:color="000000"/>
            </w:tcBorders>
            <w:shd w:val="clear" w:color="000000" w:fill="FFFFFF"/>
            <w:hideMark/>
          </w:tcPr>
          <w:p w14:paraId="60789764" w14:textId="77777777" w:rsidR="00901E4F" w:rsidRDefault="00901E4F">
            <w:pPr>
              <w:rPr>
                <w:rFonts w:ascii="Calibri" w:hAnsi="Calibri" w:cs="Calibri"/>
                <w:sz w:val="22"/>
                <w:szCs w:val="22"/>
              </w:rPr>
            </w:pPr>
            <w:r>
              <w:rPr>
                <w:rFonts w:ascii="Calibri" w:hAnsi="Calibri" w:cs="Calibri"/>
                <w:sz w:val="22"/>
                <w:szCs w:val="22"/>
              </w:rPr>
              <w:t xml:space="preserve">Vzdálenost měření </w:t>
            </w:r>
          </w:p>
        </w:tc>
        <w:tc>
          <w:tcPr>
            <w:tcW w:w="380" w:type="pct"/>
            <w:tcBorders>
              <w:top w:val="nil"/>
              <w:left w:val="nil"/>
              <w:bottom w:val="single" w:sz="8" w:space="0" w:color="auto"/>
              <w:right w:val="double" w:sz="6" w:space="0" w:color="auto"/>
            </w:tcBorders>
            <w:shd w:val="clear" w:color="000000" w:fill="FFFFFF"/>
            <w:hideMark/>
          </w:tcPr>
          <w:p w14:paraId="0D54C9E6" w14:textId="77777777" w:rsidR="00901E4F" w:rsidRDefault="00901E4F">
            <w:pPr>
              <w:jc w:val="center"/>
              <w:rPr>
                <w:rFonts w:ascii="Calibri" w:hAnsi="Calibri" w:cs="Calibri"/>
                <w:sz w:val="22"/>
                <w:szCs w:val="22"/>
              </w:rPr>
            </w:pPr>
            <w:r>
              <w:rPr>
                <w:rFonts w:ascii="Calibri" w:hAnsi="Calibri" w:cs="Calibri"/>
                <w:sz w:val="22"/>
                <w:szCs w:val="22"/>
              </w:rPr>
              <w:t>min.</w:t>
            </w:r>
          </w:p>
        </w:tc>
        <w:tc>
          <w:tcPr>
            <w:tcW w:w="847" w:type="pct"/>
            <w:tcBorders>
              <w:top w:val="nil"/>
              <w:left w:val="nil"/>
              <w:bottom w:val="single" w:sz="8" w:space="0" w:color="auto"/>
              <w:right w:val="nil"/>
            </w:tcBorders>
            <w:shd w:val="clear" w:color="auto" w:fill="auto"/>
            <w:hideMark/>
          </w:tcPr>
          <w:p w14:paraId="08D2259E" w14:textId="77777777" w:rsidR="00901E4F" w:rsidRDefault="00901E4F">
            <w:pPr>
              <w:rPr>
                <w:rFonts w:ascii="Calibri" w:hAnsi="Calibri" w:cs="Calibri"/>
                <w:sz w:val="22"/>
                <w:szCs w:val="22"/>
              </w:rPr>
            </w:pPr>
            <w:r>
              <w:rPr>
                <w:rFonts w:ascii="Calibri" w:hAnsi="Calibri" w:cs="Calibri"/>
                <w:sz w:val="22"/>
                <w:szCs w:val="22"/>
              </w:rPr>
              <w:t>1000 m</w:t>
            </w:r>
          </w:p>
        </w:tc>
        <w:tc>
          <w:tcPr>
            <w:tcW w:w="982" w:type="pct"/>
            <w:tcBorders>
              <w:top w:val="nil"/>
              <w:left w:val="double" w:sz="6" w:space="0" w:color="auto"/>
              <w:bottom w:val="single" w:sz="8" w:space="0" w:color="auto"/>
              <w:right w:val="single" w:sz="12" w:space="0" w:color="auto"/>
            </w:tcBorders>
            <w:shd w:val="clear" w:color="000000" w:fill="FFFF00"/>
            <w:hideMark/>
          </w:tcPr>
          <w:p w14:paraId="00F9E68F" w14:textId="77777777" w:rsidR="00901E4F" w:rsidRDefault="00901E4F">
            <w:pPr>
              <w:rPr>
                <w:rFonts w:ascii="Calibri" w:hAnsi="Calibri" w:cs="Calibri"/>
                <w:sz w:val="22"/>
                <w:szCs w:val="22"/>
              </w:rPr>
            </w:pPr>
            <w:r>
              <w:rPr>
                <w:rFonts w:ascii="Calibri" w:hAnsi="Calibri" w:cs="Calibri"/>
                <w:sz w:val="22"/>
                <w:szCs w:val="22"/>
              </w:rPr>
              <w:t>1000 m</w:t>
            </w:r>
          </w:p>
        </w:tc>
        <w:tc>
          <w:tcPr>
            <w:tcW w:w="42" w:type="pct"/>
            <w:vAlign w:val="center"/>
            <w:hideMark/>
          </w:tcPr>
          <w:p w14:paraId="0E0EAC5B" w14:textId="77777777" w:rsidR="00901E4F" w:rsidRDefault="00901E4F">
            <w:pPr>
              <w:rPr>
                <w:sz w:val="20"/>
                <w:szCs w:val="20"/>
              </w:rPr>
            </w:pPr>
          </w:p>
        </w:tc>
      </w:tr>
      <w:tr w:rsidR="00901E4F" w14:paraId="15453508" w14:textId="77777777" w:rsidTr="00901E4F">
        <w:trPr>
          <w:trHeight w:val="312"/>
        </w:trPr>
        <w:tc>
          <w:tcPr>
            <w:tcW w:w="2749" w:type="pct"/>
            <w:gridSpan w:val="2"/>
            <w:tcBorders>
              <w:top w:val="single" w:sz="8" w:space="0" w:color="auto"/>
              <w:left w:val="single" w:sz="12" w:space="0" w:color="auto"/>
              <w:bottom w:val="single" w:sz="8" w:space="0" w:color="auto"/>
              <w:right w:val="single" w:sz="8" w:space="0" w:color="000000"/>
            </w:tcBorders>
            <w:shd w:val="clear" w:color="auto" w:fill="auto"/>
            <w:hideMark/>
          </w:tcPr>
          <w:p w14:paraId="10EBD871" w14:textId="77777777" w:rsidR="00901E4F" w:rsidRDefault="00901E4F">
            <w:pPr>
              <w:rPr>
                <w:rFonts w:ascii="Calibri" w:hAnsi="Calibri" w:cs="Calibri"/>
                <w:sz w:val="22"/>
                <w:szCs w:val="22"/>
              </w:rPr>
            </w:pPr>
            <w:r>
              <w:rPr>
                <w:rFonts w:ascii="Calibri" w:hAnsi="Calibri" w:cs="Calibri"/>
                <w:sz w:val="22"/>
                <w:szCs w:val="22"/>
              </w:rPr>
              <w:t xml:space="preserve">Přesnost </w:t>
            </w:r>
            <w:proofErr w:type="gramStart"/>
            <w:r>
              <w:rPr>
                <w:rFonts w:ascii="Calibri" w:hAnsi="Calibri" w:cs="Calibri"/>
                <w:sz w:val="22"/>
                <w:szCs w:val="22"/>
              </w:rPr>
              <w:t>měření - chyba</w:t>
            </w:r>
            <w:proofErr w:type="gramEnd"/>
          </w:p>
        </w:tc>
        <w:tc>
          <w:tcPr>
            <w:tcW w:w="380" w:type="pct"/>
            <w:tcBorders>
              <w:top w:val="nil"/>
              <w:left w:val="nil"/>
              <w:bottom w:val="single" w:sz="8" w:space="0" w:color="auto"/>
              <w:right w:val="double" w:sz="6" w:space="0" w:color="auto"/>
            </w:tcBorders>
            <w:shd w:val="clear" w:color="000000" w:fill="FFFFFF"/>
            <w:hideMark/>
          </w:tcPr>
          <w:p w14:paraId="42DB3487" w14:textId="77777777" w:rsidR="00901E4F" w:rsidRDefault="00901E4F">
            <w:pPr>
              <w:jc w:val="center"/>
              <w:rPr>
                <w:rFonts w:ascii="Calibri" w:hAnsi="Calibri" w:cs="Calibri"/>
                <w:sz w:val="22"/>
                <w:szCs w:val="22"/>
              </w:rPr>
            </w:pPr>
            <w:r>
              <w:rPr>
                <w:rFonts w:ascii="Calibri" w:hAnsi="Calibri" w:cs="Calibri"/>
                <w:sz w:val="22"/>
                <w:szCs w:val="22"/>
              </w:rPr>
              <w:t>max.</w:t>
            </w:r>
          </w:p>
        </w:tc>
        <w:tc>
          <w:tcPr>
            <w:tcW w:w="847" w:type="pct"/>
            <w:tcBorders>
              <w:top w:val="nil"/>
              <w:left w:val="nil"/>
              <w:bottom w:val="single" w:sz="8" w:space="0" w:color="auto"/>
              <w:right w:val="nil"/>
            </w:tcBorders>
            <w:shd w:val="clear" w:color="auto" w:fill="auto"/>
            <w:hideMark/>
          </w:tcPr>
          <w:p w14:paraId="6E7AF1D6" w14:textId="77777777" w:rsidR="00901E4F" w:rsidRDefault="00901E4F">
            <w:pPr>
              <w:rPr>
                <w:rFonts w:ascii="Calibri" w:hAnsi="Calibri" w:cs="Calibri"/>
                <w:sz w:val="22"/>
                <w:szCs w:val="22"/>
              </w:rPr>
            </w:pPr>
            <w:r>
              <w:rPr>
                <w:rFonts w:ascii="Calibri" w:hAnsi="Calibri" w:cs="Calibri"/>
                <w:sz w:val="22"/>
                <w:szCs w:val="22"/>
              </w:rPr>
              <w:t>± 1 m</w:t>
            </w:r>
          </w:p>
        </w:tc>
        <w:tc>
          <w:tcPr>
            <w:tcW w:w="982" w:type="pct"/>
            <w:tcBorders>
              <w:top w:val="nil"/>
              <w:left w:val="double" w:sz="6" w:space="0" w:color="auto"/>
              <w:bottom w:val="single" w:sz="8" w:space="0" w:color="auto"/>
              <w:right w:val="single" w:sz="12" w:space="0" w:color="auto"/>
            </w:tcBorders>
            <w:shd w:val="clear" w:color="000000" w:fill="FFFF00"/>
            <w:hideMark/>
          </w:tcPr>
          <w:p w14:paraId="7D9C93ED" w14:textId="77777777" w:rsidR="00901E4F" w:rsidRDefault="00901E4F">
            <w:pPr>
              <w:rPr>
                <w:rFonts w:ascii="Calibri" w:hAnsi="Calibri" w:cs="Calibri"/>
                <w:sz w:val="22"/>
                <w:szCs w:val="22"/>
              </w:rPr>
            </w:pPr>
            <w:r>
              <w:rPr>
                <w:rFonts w:ascii="Calibri" w:hAnsi="Calibri" w:cs="Calibri"/>
                <w:sz w:val="22"/>
                <w:szCs w:val="22"/>
              </w:rPr>
              <w:t>± 1 m</w:t>
            </w:r>
          </w:p>
        </w:tc>
        <w:tc>
          <w:tcPr>
            <w:tcW w:w="42" w:type="pct"/>
            <w:vAlign w:val="center"/>
            <w:hideMark/>
          </w:tcPr>
          <w:p w14:paraId="7AE3EE98" w14:textId="77777777" w:rsidR="00901E4F" w:rsidRDefault="00901E4F">
            <w:pPr>
              <w:rPr>
                <w:sz w:val="20"/>
                <w:szCs w:val="20"/>
              </w:rPr>
            </w:pPr>
          </w:p>
        </w:tc>
      </w:tr>
      <w:tr w:rsidR="00901E4F" w14:paraId="69EBF979" w14:textId="77777777" w:rsidTr="00901E4F">
        <w:trPr>
          <w:trHeight w:val="315"/>
        </w:trPr>
        <w:tc>
          <w:tcPr>
            <w:tcW w:w="2749" w:type="pct"/>
            <w:gridSpan w:val="2"/>
            <w:tcBorders>
              <w:top w:val="single" w:sz="8" w:space="0" w:color="auto"/>
              <w:left w:val="single" w:sz="12" w:space="0" w:color="auto"/>
              <w:bottom w:val="single" w:sz="8" w:space="0" w:color="auto"/>
              <w:right w:val="single" w:sz="8" w:space="0" w:color="000000"/>
            </w:tcBorders>
            <w:shd w:val="clear" w:color="000000" w:fill="FFFFFF"/>
            <w:hideMark/>
          </w:tcPr>
          <w:p w14:paraId="1B103878" w14:textId="77777777" w:rsidR="00901E4F" w:rsidRDefault="00901E4F">
            <w:pPr>
              <w:rPr>
                <w:rFonts w:ascii="Calibri" w:hAnsi="Calibri" w:cs="Calibri"/>
                <w:sz w:val="22"/>
                <w:szCs w:val="22"/>
              </w:rPr>
            </w:pPr>
            <w:r>
              <w:rPr>
                <w:rFonts w:ascii="Calibri" w:hAnsi="Calibri" w:cs="Calibri"/>
                <w:sz w:val="22"/>
                <w:szCs w:val="22"/>
              </w:rPr>
              <w:t>Typ displeje AMOLED</w:t>
            </w:r>
          </w:p>
        </w:tc>
        <w:tc>
          <w:tcPr>
            <w:tcW w:w="380" w:type="pct"/>
            <w:tcBorders>
              <w:top w:val="nil"/>
              <w:left w:val="nil"/>
              <w:bottom w:val="single" w:sz="8" w:space="0" w:color="auto"/>
              <w:right w:val="double" w:sz="6" w:space="0" w:color="auto"/>
            </w:tcBorders>
            <w:shd w:val="clear" w:color="000000" w:fill="FFFFFF"/>
            <w:hideMark/>
          </w:tcPr>
          <w:p w14:paraId="58530EC9"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nil"/>
              <w:left w:val="nil"/>
              <w:bottom w:val="single" w:sz="8" w:space="0" w:color="auto"/>
              <w:right w:val="nil"/>
            </w:tcBorders>
            <w:shd w:val="clear" w:color="auto" w:fill="auto"/>
            <w:hideMark/>
          </w:tcPr>
          <w:p w14:paraId="056B21E5" w14:textId="77777777" w:rsidR="00901E4F" w:rsidRDefault="00901E4F">
            <w:pPr>
              <w:rPr>
                <w:rFonts w:ascii="Calibri" w:hAnsi="Calibri" w:cs="Calibri"/>
                <w:sz w:val="22"/>
                <w:szCs w:val="22"/>
              </w:rPr>
            </w:pPr>
            <w:r>
              <w:rPr>
                <w:rFonts w:ascii="Calibri" w:hAnsi="Calibri" w:cs="Calibri"/>
                <w:sz w:val="22"/>
                <w:szCs w:val="22"/>
              </w:rPr>
              <w:t>ano</w:t>
            </w:r>
          </w:p>
        </w:tc>
        <w:tc>
          <w:tcPr>
            <w:tcW w:w="982" w:type="pct"/>
            <w:tcBorders>
              <w:top w:val="nil"/>
              <w:left w:val="double" w:sz="6" w:space="0" w:color="auto"/>
              <w:bottom w:val="single" w:sz="8" w:space="0" w:color="auto"/>
              <w:right w:val="single" w:sz="12" w:space="0" w:color="auto"/>
            </w:tcBorders>
            <w:shd w:val="clear" w:color="000000" w:fill="FFFF00"/>
            <w:hideMark/>
          </w:tcPr>
          <w:p w14:paraId="79FFFEBE" w14:textId="77777777" w:rsidR="00901E4F" w:rsidRDefault="00901E4F">
            <w:pPr>
              <w:rPr>
                <w:rFonts w:ascii="Calibri" w:hAnsi="Calibri" w:cs="Calibri"/>
                <w:sz w:val="22"/>
                <w:szCs w:val="22"/>
              </w:rPr>
            </w:pPr>
            <w:r>
              <w:rPr>
                <w:rFonts w:ascii="Calibri" w:hAnsi="Calibri" w:cs="Calibri"/>
                <w:sz w:val="22"/>
                <w:szCs w:val="22"/>
              </w:rPr>
              <w:t>ano</w:t>
            </w:r>
          </w:p>
        </w:tc>
        <w:tc>
          <w:tcPr>
            <w:tcW w:w="42" w:type="pct"/>
            <w:vAlign w:val="center"/>
            <w:hideMark/>
          </w:tcPr>
          <w:p w14:paraId="6CDCB3D6" w14:textId="77777777" w:rsidR="00901E4F" w:rsidRDefault="00901E4F">
            <w:pPr>
              <w:rPr>
                <w:sz w:val="20"/>
                <w:szCs w:val="20"/>
              </w:rPr>
            </w:pPr>
          </w:p>
        </w:tc>
      </w:tr>
      <w:tr w:rsidR="00901E4F" w14:paraId="003B19EB" w14:textId="77777777" w:rsidTr="00901E4F">
        <w:trPr>
          <w:trHeight w:val="315"/>
        </w:trPr>
        <w:tc>
          <w:tcPr>
            <w:tcW w:w="2749" w:type="pct"/>
            <w:gridSpan w:val="2"/>
            <w:tcBorders>
              <w:top w:val="single" w:sz="8" w:space="0" w:color="auto"/>
              <w:left w:val="single" w:sz="12" w:space="0" w:color="auto"/>
              <w:bottom w:val="single" w:sz="8" w:space="0" w:color="auto"/>
              <w:right w:val="single" w:sz="8" w:space="0" w:color="000000"/>
            </w:tcBorders>
            <w:shd w:val="clear" w:color="auto" w:fill="auto"/>
            <w:hideMark/>
          </w:tcPr>
          <w:p w14:paraId="1CCE83FB" w14:textId="77777777" w:rsidR="00901E4F" w:rsidRDefault="00901E4F">
            <w:pPr>
              <w:rPr>
                <w:rFonts w:ascii="Calibri" w:hAnsi="Calibri" w:cs="Calibri"/>
                <w:sz w:val="22"/>
                <w:szCs w:val="22"/>
              </w:rPr>
            </w:pPr>
            <w:r>
              <w:rPr>
                <w:rFonts w:ascii="Calibri" w:hAnsi="Calibri" w:cs="Calibri"/>
                <w:sz w:val="22"/>
                <w:szCs w:val="22"/>
              </w:rPr>
              <w:t xml:space="preserve">Snímkový kmitočet </w:t>
            </w:r>
          </w:p>
        </w:tc>
        <w:tc>
          <w:tcPr>
            <w:tcW w:w="380" w:type="pct"/>
            <w:tcBorders>
              <w:top w:val="nil"/>
              <w:left w:val="nil"/>
              <w:bottom w:val="single" w:sz="8" w:space="0" w:color="auto"/>
              <w:right w:val="double" w:sz="6" w:space="0" w:color="auto"/>
            </w:tcBorders>
            <w:shd w:val="clear" w:color="000000" w:fill="FFFFFF"/>
            <w:hideMark/>
          </w:tcPr>
          <w:p w14:paraId="39A9F2AD" w14:textId="77777777" w:rsidR="00901E4F" w:rsidRDefault="00901E4F">
            <w:pPr>
              <w:jc w:val="center"/>
              <w:rPr>
                <w:rFonts w:ascii="Calibri" w:hAnsi="Calibri" w:cs="Calibri"/>
                <w:sz w:val="22"/>
                <w:szCs w:val="22"/>
              </w:rPr>
            </w:pPr>
            <w:r>
              <w:rPr>
                <w:rFonts w:ascii="Calibri" w:hAnsi="Calibri" w:cs="Calibri"/>
                <w:sz w:val="22"/>
                <w:szCs w:val="22"/>
              </w:rPr>
              <w:t>min.</w:t>
            </w:r>
          </w:p>
        </w:tc>
        <w:tc>
          <w:tcPr>
            <w:tcW w:w="847" w:type="pct"/>
            <w:tcBorders>
              <w:top w:val="nil"/>
              <w:left w:val="nil"/>
              <w:bottom w:val="single" w:sz="8" w:space="0" w:color="auto"/>
              <w:right w:val="nil"/>
            </w:tcBorders>
            <w:shd w:val="clear" w:color="auto" w:fill="auto"/>
            <w:hideMark/>
          </w:tcPr>
          <w:p w14:paraId="47CF9D0E" w14:textId="77777777" w:rsidR="00901E4F" w:rsidRDefault="00901E4F">
            <w:pPr>
              <w:rPr>
                <w:rFonts w:ascii="Calibri" w:hAnsi="Calibri" w:cs="Calibri"/>
                <w:sz w:val="22"/>
                <w:szCs w:val="22"/>
              </w:rPr>
            </w:pPr>
            <w:r>
              <w:rPr>
                <w:rFonts w:ascii="Calibri" w:hAnsi="Calibri" w:cs="Calibri"/>
                <w:sz w:val="22"/>
                <w:szCs w:val="22"/>
              </w:rPr>
              <w:t>50 Hz</w:t>
            </w:r>
          </w:p>
        </w:tc>
        <w:tc>
          <w:tcPr>
            <w:tcW w:w="982" w:type="pct"/>
            <w:tcBorders>
              <w:top w:val="nil"/>
              <w:left w:val="double" w:sz="6" w:space="0" w:color="auto"/>
              <w:bottom w:val="single" w:sz="8" w:space="0" w:color="auto"/>
              <w:right w:val="single" w:sz="12" w:space="0" w:color="auto"/>
            </w:tcBorders>
            <w:shd w:val="clear" w:color="000000" w:fill="FFFF00"/>
            <w:hideMark/>
          </w:tcPr>
          <w:p w14:paraId="02C9037F" w14:textId="77777777" w:rsidR="00901E4F" w:rsidRDefault="00901E4F">
            <w:pPr>
              <w:rPr>
                <w:rFonts w:ascii="Calibri" w:hAnsi="Calibri" w:cs="Calibri"/>
                <w:sz w:val="22"/>
                <w:szCs w:val="22"/>
              </w:rPr>
            </w:pPr>
            <w:r>
              <w:rPr>
                <w:rFonts w:ascii="Calibri" w:hAnsi="Calibri" w:cs="Calibri"/>
                <w:sz w:val="22"/>
                <w:szCs w:val="22"/>
              </w:rPr>
              <w:t>50 Hz</w:t>
            </w:r>
          </w:p>
        </w:tc>
        <w:tc>
          <w:tcPr>
            <w:tcW w:w="42" w:type="pct"/>
            <w:vAlign w:val="center"/>
            <w:hideMark/>
          </w:tcPr>
          <w:p w14:paraId="7497D7B4" w14:textId="77777777" w:rsidR="00901E4F" w:rsidRDefault="00901E4F">
            <w:pPr>
              <w:rPr>
                <w:sz w:val="20"/>
                <w:szCs w:val="20"/>
              </w:rPr>
            </w:pPr>
          </w:p>
        </w:tc>
      </w:tr>
      <w:tr w:rsidR="00901E4F" w14:paraId="3C517C2C" w14:textId="77777777" w:rsidTr="00901E4F">
        <w:trPr>
          <w:trHeight w:val="315"/>
        </w:trPr>
        <w:tc>
          <w:tcPr>
            <w:tcW w:w="2749" w:type="pct"/>
            <w:gridSpan w:val="2"/>
            <w:tcBorders>
              <w:top w:val="single" w:sz="8" w:space="0" w:color="auto"/>
              <w:left w:val="single" w:sz="12" w:space="0" w:color="auto"/>
              <w:bottom w:val="single" w:sz="8" w:space="0" w:color="auto"/>
              <w:right w:val="single" w:sz="8" w:space="0" w:color="000000"/>
            </w:tcBorders>
            <w:shd w:val="clear" w:color="auto" w:fill="auto"/>
            <w:hideMark/>
          </w:tcPr>
          <w:p w14:paraId="765E0AC9" w14:textId="77777777" w:rsidR="00901E4F" w:rsidRDefault="00901E4F">
            <w:pPr>
              <w:rPr>
                <w:rFonts w:ascii="Calibri" w:hAnsi="Calibri" w:cs="Calibri"/>
                <w:sz w:val="22"/>
                <w:szCs w:val="22"/>
              </w:rPr>
            </w:pPr>
            <w:r>
              <w:rPr>
                <w:rFonts w:ascii="Calibri" w:hAnsi="Calibri" w:cs="Calibri"/>
                <w:sz w:val="22"/>
                <w:szCs w:val="22"/>
              </w:rPr>
              <w:t xml:space="preserve">Vzdálenost detekce </w:t>
            </w:r>
          </w:p>
        </w:tc>
        <w:tc>
          <w:tcPr>
            <w:tcW w:w="380" w:type="pct"/>
            <w:tcBorders>
              <w:top w:val="nil"/>
              <w:left w:val="nil"/>
              <w:bottom w:val="single" w:sz="8" w:space="0" w:color="auto"/>
              <w:right w:val="double" w:sz="6" w:space="0" w:color="auto"/>
            </w:tcBorders>
            <w:shd w:val="clear" w:color="000000" w:fill="FFFFFF"/>
            <w:hideMark/>
          </w:tcPr>
          <w:p w14:paraId="10D0A6A1" w14:textId="77777777" w:rsidR="00901E4F" w:rsidRDefault="00901E4F">
            <w:pPr>
              <w:jc w:val="center"/>
              <w:rPr>
                <w:rFonts w:ascii="Calibri" w:hAnsi="Calibri" w:cs="Calibri"/>
                <w:sz w:val="22"/>
                <w:szCs w:val="22"/>
              </w:rPr>
            </w:pPr>
            <w:r>
              <w:rPr>
                <w:rFonts w:ascii="Calibri" w:hAnsi="Calibri" w:cs="Calibri"/>
                <w:sz w:val="22"/>
                <w:szCs w:val="22"/>
              </w:rPr>
              <w:t>min.</w:t>
            </w:r>
          </w:p>
        </w:tc>
        <w:tc>
          <w:tcPr>
            <w:tcW w:w="847" w:type="pct"/>
            <w:tcBorders>
              <w:top w:val="nil"/>
              <w:left w:val="nil"/>
              <w:bottom w:val="single" w:sz="8" w:space="0" w:color="auto"/>
              <w:right w:val="nil"/>
            </w:tcBorders>
            <w:shd w:val="clear" w:color="auto" w:fill="auto"/>
            <w:hideMark/>
          </w:tcPr>
          <w:p w14:paraId="2F9515AD" w14:textId="77777777" w:rsidR="00901E4F" w:rsidRDefault="00901E4F">
            <w:pPr>
              <w:rPr>
                <w:rFonts w:ascii="Calibri" w:hAnsi="Calibri" w:cs="Calibri"/>
                <w:sz w:val="22"/>
                <w:szCs w:val="22"/>
              </w:rPr>
            </w:pPr>
            <w:r>
              <w:rPr>
                <w:rFonts w:ascii="Calibri" w:hAnsi="Calibri" w:cs="Calibri"/>
                <w:sz w:val="22"/>
                <w:szCs w:val="22"/>
              </w:rPr>
              <w:t>1500 m</w:t>
            </w:r>
          </w:p>
        </w:tc>
        <w:tc>
          <w:tcPr>
            <w:tcW w:w="982" w:type="pct"/>
            <w:tcBorders>
              <w:top w:val="nil"/>
              <w:left w:val="double" w:sz="6" w:space="0" w:color="auto"/>
              <w:bottom w:val="single" w:sz="8" w:space="0" w:color="auto"/>
              <w:right w:val="single" w:sz="12" w:space="0" w:color="auto"/>
            </w:tcBorders>
            <w:shd w:val="clear" w:color="000000" w:fill="FFFF00"/>
            <w:hideMark/>
          </w:tcPr>
          <w:p w14:paraId="056D679E" w14:textId="77777777" w:rsidR="00901E4F" w:rsidRDefault="00901E4F">
            <w:pPr>
              <w:rPr>
                <w:rFonts w:ascii="Calibri" w:hAnsi="Calibri" w:cs="Calibri"/>
                <w:sz w:val="22"/>
                <w:szCs w:val="22"/>
              </w:rPr>
            </w:pPr>
            <w:r>
              <w:rPr>
                <w:rFonts w:ascii="Calibri" w:hAnsi="Calibri" w:cs="Calibri"/>
                <w:sz w:val="22"/>
                <w:szCs w:val="22"/>
              </w:rPr>
              <w:t>1500 m</w:t>
            </w:r>
          </w:p>
        </w:tc>
        <w:tc>
          <w:tcPr>
            <w:tcW w:w="42" w:type="pct"/>
            <w:vAlign w:val="center"/>
            <w:hideMark/>
          </w:tcPr>
          <w:p w14:paraId="512CBCBD" w14:textId="77777777" w:rsidR="00901E4F" w:rsidRDefault="00901E4F">
            <w:pPr>
              <w:rPr>
                <w:sz w:val="20"/>
                <w:szCs w:val="20"/>
              </w:rPr>
            </w:pPr>
          </w:p>
        </w:tc>
      </w:tr>
      <w:tr w:rsidR="00901E4F" w14:paraId="6B289450" w14:textId="77777777" w:rsidTr="00901E4F">
        <w:trPr>
          <w:trHeight w:val="315"/>
        </w:trPr>
        <w:tc>
          <w:tcPr>
            <w:tcW w:w="2749" w:type="pct"/>
            <w:gridSpan w:val="2"/>
            <w:tcBorders>
              <w:top w:val="single" w:sz="8" w:space="0" w:color="auto"/>
              <w:left w:val="single" w:sz="12" w:space="0" w:color="auto"/>
              <w:bottom w:val="single" w:sz="8" w:space="0" w:color="auto"/>
              <w:right w:val="single" w:sz="8" w:space="0" w:color="000000"/>
            </w:tcBorders>
            <w:shd w:val="clear" w:color="auto" w:fill="auto"/>
            <w:hideMark/>
          </w:tcPr>
          <w:p w14:paraId="1D1571D6" w14:textId="77777777" w:rsidR="00901E4F" w:rsidRDefault="00901E4F">
            <w:pPr>
              <w:rPr>
                <w:rFonts w:ascii="Calibri" w:hAnsi="Calibri" w:cs="Calibri"/>
                <w:sz w:val="22"/>
                <w:szCs w:val="22"/>
              </w:rPr>
            </w:pPr>
            <w:r>
              <w:rPr>
                <w:rFonts w:ascii="Calibri" w:hAnsi="Calibri" w:cs="Calibri"/>
                <w:sz w:val="22"/>
                <w:szCs w:val="22"/>
              </w:rPr>
              <w:t xml:space="preserve">Ohnisková vzdálenost </w:t>
            </w:r>
          </w:p>
        </w:tc>
        <w:tc>
          <w:tcPr>
            <w:tcW w:w="380" w:type="pct"/>
            <w:tcBorders>
              <w:top w:val="nil"/>
              <w:left w:val="nil"/>
              <w:bottom w:val="single" w:sz="8" w:space="0" w:color="auto"/>
              <w:right w:val="double" w:sz="6" w:space="0" w:color="auto"/>
            </w:tcBorders>
            <w:shd w:val="clear" w:color="000000" w:fill="FFFFFF"/>
            <w:hideMark/>
          </w:tcPr>
          <w:p w14:paraId="5ABCEE04"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nil"/>
              <w:left w:val="nil"/>
              <w:bottom w:val="single" w:sz="8" w:space="0" w:color="auto"/>
              <w:right w:val="nil"/>
            </w:tcBorders>
            <w:shd w:val="clear" w:color="auto" w:fill="auto"/>
            <w:hideMark/>
          </w:tcPr>
          <w:p w14:paraId="1D03F00A" w14:textId="77777777" w:rsidR="00901E4F" w:rsidRDefault="00901E4F">
            <w:pPr>
              <w:rPr>
                <w:rFonts w:ascii="Calibri" w:hAnsi="Calibri" w:cs="Calibri"/>
                <w:sz w:val="22"/>
                <w:szCs w:val="22"/>
              </w:rPr>
            </w:pPr>
            <w:proofErr w:type="gramStart"/>
            <w:r>
              <w:rPr>
                <w:rFonts w:ascii="Calibri" w:hAnsi="Calibri" w:cs="Calibri"/>
                <w:sz w:val="22"/>
                <w:szCs w:val="22"/>
              </w:rPr>
              <w:t>35 - 50</w:t>
            </w:r>
            <w:proofErr w:type="gramEnd"/>
            <w:r>
              <w:rPr>
                <w:rFonts w:ascii="Calibri" w:hAnsi="Calibri" w:cs="Calibri"/>
                <w:sz w:val="22"/>
                <w:szCs w:val="22"/>
              </w:rPr>
              <w:t xml:space="preserve"> mm</w:t>
            </w:r>
          </w:p>
        </w:tc>
        <w:tc>
          <w:tcPr>
            <w:tcW w:w="982" w:type="pct"/>
            <w:tcBorders>
              <w:top w:val="nil"/>
              <w:left w:val="double" w:sz="6" w:space="0" w:color="auto"/>
              <w:bottom w:val="single" w:sz="8" w:space="0" w:color="auto"/>
              <w:right w:val="single" w:sz="12" w:space="0" w:color="auto"/>
            </w:tcBorders>
            <w:shd w:val="clear" w:color="000000" w:fill="FFFF00"/>
            <w:hideMark/>
          </w:tcPr>
          <w:p w14:paraId="3B1C6847" w14:textId="77777777" w:rsidR="00901E4F" w:rsidRDefault="00901E4F">
            <w:pPr>
              <w:rPr>
                <w:rFonts w:ascii="Calibri" w:hAnsi="Calibri" w:cs="Calibri"/>
                <w:sz w:val="22"/>
                <w:szCs w:val="22"/>
              </w:rPr>
            </w:pPr>
            <w:r>
              <w:rPr>
                <w:rFonts w:ascii="Calibri" w:hAnsi="Calibri" w:cs="Calibri"/>
                <w:sz w:val="22"/>
                <w:szCs w:val="22"/>
              </w:rPr>
              <w:t>50 mm</w:t>
            </w:r>
          </w:p>
        </w:tc>
        <w:tc>
          <w:tcPr>
            <w:tcW w:w="42" w:type="pct"/>
            <w:vAlign w:val="center"/>
            <w:hideMark/>
          </w:tcPr>
          <w:p w14:paraId="4BD951EB" w14:textId="77777777" w:rsidR="00901E4F" w:rsidRDefault="00901E4F">
            <w:pPr>
              <w:rPr>
                <w:sz w:val="20"/>
                <w:szCs w:val="20"/>
              </w:rPr>
            </w:pPr>
          </w:p>
        </w:tc>
      </w:tr>
      <w:tr w:rsidR="00901E4F" w14:paraId="7EEE6052" w14:textId="77777777" w:rsidTr="00901E4F">
        <w:trPr>
          <w:trHeight w:val="315"/>
        </w:trPr>
        <w:tc>
          <w:tcPr>
            <w:tcW w:w="2749" w:type="pct"/>
            <w:gridSpan w:val="2"/>
            <w:tcBorders>
              <w:top w:val="single" w:sz="8" w:space="0" w:color="auto"/>
              <w:left w:val="single" w:sz="12" w:space="0" w:color="auto"/>
              <w:bottom w:val="single" w:sz="8" w:space="0" w:color="auto"/>
              <w:right w:val="single" w:sz="8" w:space="0" w:color="000000"/>
            </w:tcBorders>
            <w:shd w:val="clear" w:color="auto" w:fill="auto"/>
            <w:hideMark/>
          </w:tcPr>
          <w:p w14:paraId="0ECEA924" w14:textId="77777777" w:rsidR="00901E4F" w:rsidRDefault="00901E4F">
            <w:pPr>
              <w:rPr>
                <w:rFonts w:ascii="Calibri" w:hAnsi="Calibri" w:cs="Calibri"/>
                <w:sz w:val="22"/>
                <w:szCs w:val="22"/>
              </w:rPr>
            </w:pPr>
            <w:r>
              <w:rPr>
                <w:rFonts w:ascii="Calibri" w:hAnsi="Calibri" w:cs="Calibri"/>
                <w:sz w:val="22"/>
                <w:szCs w:val="22"/>
              </w:rPr>
              <w:t xml:space="preserve">Vlastní napájení zaručující provoz na jedno nabití </w:t>
            </w:r>
          </w:p>
        </w:tc>
        <w:tc>
          <w:tcPr>
            <w:tcW w:w="380" w:type="pct"/>
            <w:tcBorders>
              <w:top w:val="nil"/>
              <w:left w:val="nil"/>
              <w:bottom w:val="single" w:sz="8" w:space="0" w:color="auto"/>
              <w:right w:val="double" w:sz="6" w:space="0" w:color="auto"/>
            </w:tcBorders>
            <w:shd w:val="clear" w:color="000000" w:fill="FFFFFF"/>
            <w:hideMark/>
          </w:tcPr>
          <w:p w14:paraId="293B8918" w14:textId="77777777" w:rsidR="00901E4F" w:rsidRDefault="00901E4F">
            <w:pPr>
              <w:jc w:val="center"/>
              <w:rPr>
                <w:rFonts w:ascii="Calibri" w:hAnsi="Calibri" w:cs="Calibri"/>
                <w:sz w:val="22"/>
                <w:szCs w:val="22"/>
              </w:rPr>
            </w:pPr>
            <w:r>
              <w:rPr>
                <w:rFonts w:ascii="Calibri" w:hAnsi="Calibri" w:cs="Calibri"/>
                <w:sz w:val="22"/>
                <w:szCs w:val="22"/>
              </w:rPr>
              <w:t>min.</w:t>
            </w:r>
          </w:p>
        </w:tc>
        <w:tc>
          <w:tcPr>
            <w:tcW w:w="847" w:type="pct"/>
            <w:tcBorders>
              <w:top w:val="nil"/>
              <w:left w:val="nil"/>
              <w:bottom w:val="single" w:sz="8" w:space="0" w:color="auto"/>
              <w:right w:val="nil"/>
            </w:tcBorders>
            <w:shd w:val="clear" w:color="auto" w:fill="auto"/>
            <w:hideMark/>
          </w:tcPr>
          <w:p w14:paraId="6C072E57" w14:textId="77777777" w:rsidR="00901E4F" w:rsidRDefault="00901E4F">
            <w:pPr>
              <w:rPr>
                <w:rFonts w:ascii="Calibri" w:hAnsi="Calibri" w:cs="Calibri"/>
                <w:sz w:val="22"/>
                <w:szCs w:val="22"/>
              </w:rPr>
            </w:pPr>
            <w:r>
              <w:rPr>
                <w:rFonts w:ascii="Calibri" w:hAnsi="Calibri" w:cs="Calibri"/>
                <w:sz w:val="22"/>
                <w:szCs w:val="22"/>
              </w:rPr>
              <w:t>6 hodin</w:t>
            </w:r>
          </w:p>
        </w:tc>
        <w:tc>
          <w:tcPr>
            <w:tcW w:w="982" w:type="pct"/>
            <w:tcBorders>
              <w:top w:val="nil"/>
              <w:left w:val="double" w:sz="6" w:space="0" w:color="auto"/>
              <w:bottom w:val="single" w:sz="8" w:space="0" w:color="auto"/>
              <w:right w:val="single" w:sz="12" w:space="0" w:color="auto"/>
            </w:tcBorders>
            <w:shd w:val="clear" w:color="000000" w:fill="FFFF00"/>
            <w:hideMark/>
          </w:tcPr>
          <w:p w14:paraId="6A89AA87" w14:textId="77777777" w:rsidR="00901E4F" w:rsidRDefault="00901E4F">
            <w:pPr>
              <w:rPr>
                <w:rFonts w:ascii="Calibri" w:hAnsi="Calibri" w:cs="Calibri"/>
                <w:sz w:val="22"/>
                <w:szCs w:val="22"/>
              </w:rPr>
            </w:pPr>
            <w:r>
              <w:rPr>
                <w:rFonts w:ascii="Calibri" w:hAnsi="Calibri" w:cs="Calibri"/>
                <w:sz w:val="22"/>
                <w:szCs w:val="22"/>
              </w:rPr>
              <w:t>10 h</w:t>
            </w:r>
          </w:p>
        </w:tc>
        <w:tc>
          <w:tcPr>
            <w:tcW w:w="42" w:type="pct"/>
            <w:vAlign w:val="center"/>
            <w:hideMark/>
          </w:tcPr>
          <w:p w14:paraId="3E5FDEAD" w14:textId="77777777" w:rsidR="00901E4F" w:rsidRDefault="00901E4F">
            <w:pPr>
              <w:rPr>
                <w:sz w:val="20"/>
                <w:szCs w:val="20"/>
              </w:rPr>
            </w:pPr>
          </w:p>
        </w:tc>
      </w:tr>
      <w:tr w:rsidR="00901E4F" w14:paraId="331BA351" w14:textId="77777777" w:rsidTr="00901E4F">
        <w:trPr>
          <w:trHeight w:val="315"/>
        </w:trPr>
        <w:tc>
          <w:tcPr>
            <w:tcW w:w="2749" w:type="pct"/>
            <w:gridSpan w:val="2"/>
            <w:tcBorders>
              <w:top w:val="single" w:sz="8" w:space="0" w:color="auto"/>
              <w:left w:val="single" w:sz="12" w:space="0" w:color="auto"/>
              <w:bottom w:val="single" w:sz="8" w:space="0" w:color="auto"/>
              <w:right w:val="single" w:sz="8" w:space="0" w:color="000000"/>
            </w:tcBorders>
            <w:shd w:val="clear" w:color="auto" w:fill="auto"/>
            <w:hideMark/>
          </w:tcPr>
          <w:p w14:paraId="19F222F3" w14:textId="77777777" w:rsidR="00901E4F" w:rsidRDefault="00901E4F">
            <w:pPr>
              <w:rPr>
                <w:rFonts w:ascii="Calibri" w:hAnsi="Calibri" w:cs="Calibri"/>
                <w:sz w:val="22"/>
                <w:szCs w:val="22"/>
              </w:rPr>
            </w:pPr>
            <w:r>
              <w:rPr>
                <w:rFonts w:ascii="Calibri" w:hAnsi="Calibri" w:cs="Calibri"/>
                <w:sz w:val="22"/>
                <w:szCs w:val="22"/>
              </w:rPr>
              <w:t xml:space="preserve">Externí napájení/nabíjení </w:t>
            </w:r>
            <w:proofErr w:type="gramStart"/>
            <w:r>
              <w:rPr>
                <w:rFonts w:ascii="Calibri" w:hAnsi="Calibri" w:cs="Calibri"/>
                <w:sz w:val="22"/>
                <w:szCs w:val="22"/>
              </w:rPr>
              <w:t>5V</w:t>
            </w:r>
            <w:proofErr w:type="gramEnd"/>
            <w:r>
              <w:rPr>
                <w:rFonts w:ascii="Calibri" w:hAnsi="Calibri" w:cs="Calibri"/>
                <w:sz w:val="22"/>
                <w:szCs w:val="22"/>
              </w:rPr>
              <w:t xml:space="preserve"> (USB-C)</w:t>
            </w:r>
          </w:p>
        </w:tc>
        <w:tc>
          <w:tcPr>
            <w:tcW w:w="380" w:type="pct"/>
            <w:tcBorders>
              <w:top w:val="nil"/>
              <w:left w:val="nil"/>
              <w:bottom w:val="single" w:sz="8" w:space="0" w:color="auto"/>
              <w:right w:val="double" w:sz="6" w:space="0" w:color="auto"/>
            </w:tcBorders>
            <w:shd w:val="clear" w:color="000000" w:fill="FFFFFF"/>
            <w:hideMark/>
          </w:tcPr>
          <w:p w14:paraId="7933932C"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nil"/>
              <w:left w:val="nil"/>
              <w:bottom w:val="single" w:sz="8" w:space="0" w:color="auto"/>
              <w:right w:val="nil"/>
            </w:tcBorders>
            <w:shd w:val="clear" w:color="auto" w:fill="auto"/>
            <w:hideMark/>
          </w:tcPr>
          <w:p w14:paraId="4AA20974" w14:textId="77777777" w:rsidR="00901E4F" w:rsidRDefault="00901E4F">
            <w:pPr>
              <w:rPr>
                <w:rFonts w:ascii="Calibri" w:hAnsi="Calibri" w:cs="Calibri"/>
                <w:sz w:val="22"/>
                <w:szCs w:val="22"/>
              </w:rPr>
            </w:pPr>
            <w:r>
              <w:rPr>
                <w:rFonts w:ascii="Calibri" w:hAnsi="Calibri" w:cs="Calibri"/>
                <w:sz w:val="22"/>
                <w:szCs w:val="22"/>
              </w:rPr>
              <w:t>ano</w:t>
            </w:r>
          </w:p>
        </w:tc>
        <w:tc>
          <w:tcPr>
            <w:tcW w:w="982" w:type="pct"/>
            <w:tcBorders>
              <w:top w:val="nil"/>
              <w:left w:val="double" w:sz="6" w:space="0" w:color="auto"/>
              <w:bottom w:val="single" w:sz="8" w:space="0" w:color="auto"/>
              <w:right w:val="single" w:sz="12" w:space="0" w:color="auto"/>
            </w:tcBorders>
            <w:shd w:val="clear" w:color="000000" w:fill="FFFF00"/>
            <w:hideMark/>
          </w:tcPr>
          <w:p w14:paraId="45517464" w14:textId="77777777" w:rsidR="00901E4F" w:rsidRDefault="00901E4F">
            <w:pPr>
              <w:rPr>
                <w:rFonts w:ascii="Calibri" w:hAnsi="Calibri" w:cs="Calibri"/>
                <w:sz w:val="22"/>
                <w:szCs w:val="22"/>
              </w:rPr>
            </w:pPr>
            <w:r>
              <w:rPr>
                <w:rFonts w:ascii="Calibri" w:hAnsi="Calibri" w:cs="Calibri"/>
                <w:sz w:val="22"/>
                <w:szCs w:val="22"/>
              </w:rPr>
              <w:t>ano</w:t>
            </w:r>
          </w:p>
        </w:tc>
        <w:tc>
          <w:tcPr>
            <w:tcW w:w="42" w:type="pct"/>
            <w:vAlign w:val="center"/>
            <w:hideMark/>
          </w:tcPr>
          <w:p w14:paraId="60EB0495" w14:textId="77777777" w:rsidR="00901E4F" w:rsidRDefault="00901E4F">
            <w:pPr>
              <w:rPr>
                <w:sz w:val="20"/>
                <w:szCs w:val="20"/>
              </w:rPr>
            </w:pPr>
          </w:p>
        </w:tc>
      </w:tr>
      <w:tr w:rsidR="00901E4F" w14:paraId="0A6CDC40" w14:textId="77777777" w:rsidTr="00901E4F">
        <w:trPr>
          <w:trHeight w:val="312"/>
        </w:trPr>
        <w:tc>
          <w:tcPr>
            <w:tcW w:w="2749" w:type="pct"/>
            <w:gridSpan w:val="2"/>
            <w:tcBorders>
              <w:top w:val="single" w:sz="8" w:space="0" w:color="auto"/>
              <w:left w:val="single" w:sz="12" w:space="0" w:color="auto"/>
              <w:bottom w:val="single" w:sz="8" w:space="0" w:color="auto"/>
              <w:right w:val="single" w:sz="8" w:space="0" w:color="000000"/>
            </w:tcBorders>
            <w:shd w:val="clear" w:color="000000" w:fill="FFFFFF"/>
            <w:hideMark/>
          </w:tcPr>
          <w:p w14:paraId="46553670" w14:textId="77777777" w:rsidR="00901E4F" w:rsidRDefault="00901E4F">
            <w:pPr>
              <w:rPr>
                <w:rFonts w:ascii="Calibri" w:hAnsi="Calibri" w:cs="Calibri"/>
                <w:sz w:val="22"/>
                <w:szCs w:val="22"/>
              </w:rPr>
            </w:pPr>
            <w:r>
              <w:rPr>
                <w:rFonts w:ascii="Calibri" w:hAnsi="Calibri" w:cs="Calibri"/>
                <w:sz w:val="22"/>
                <w:szCs w:val="22"/>
              </w:rPr>
              <w:t>Konektivita: Wi-Fi (IOS, Android)</w:t>
            </w:r>
          </w:p>
        </w:tc>
        <w:tc>
          <w:tcPr>
            <w:tcW w:w="380" w:type="pct"/>
            <w:tcBorders>
              <w:top w:val="nil"/>
              <w:left w:val="nil"/>
              <w:bottom w:val="single" w:sz="8" w:space="0" w:color="auto"/>
              <w:right w:val="double" w:sz="6" w:space="0" w:color="auto"/>
            </w:tcBorders>
            <w:shd w:val="clear" w:color="000000" w:fill="FFFFFF"/>
            <w:hideMark/>
          </w:tcPr>
          <w:p w14:paraId="4E1642A0"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nil"/>
              <w:left w:val="nil"/>
              <w:bottom w:val="single" w:sz="8" w:space="0" w:color="auto"/>
              <w:right w:val="nil"/>
            </w:tcBorders>
            <w:shd w:val="clear" w:color="auto" w:fill="auto"/>
            <w:hideMark/>
          </w:tcPr>
          <w:p w14:paraId="4706C918" w14:textId="77777777" w:rsidR="00901E4F" w:rsidRDefault="00901E4F">
            <w:pPr>
              <w:rPr>
                <w:rFonts w:ascii="Calibri" w:hAnsi="Calibri" w:cs="Calibri"/>
                <w:sz w:val="22"/>
                <w:szCs w:val="22"/>
              </w:rPr>
            </w:pPr>
            <w:r>
              <w:rPr>
                <w:rFonts w:ascii="Calibri" w:hAnsi="Calibri" w:cs="Calibri"/>
                <w:sz w:val="22"/>
                <w:szCs w:val="22"/>
              </w:rPr>
              <w:t>ano</w:t>
            </w:r>
          </w:p>
        </w:tc>
        <w:tc>
          <w:tcPr>
            <w:tcW w:w="982" w:type="pct"/>
            <w:tcBorders>
              <w:top w:val="nil"/>
              <w:left w:val="double" w:sz="6" w:space="0" w:color="auto"/>
              <w:bottom w:val="single" w:sz="8" w:space="0" w:color="auto"/>
              <w:right w:val="single" w:sz="12" w:space="0" w:color="auto"/>
            </w:tcBorders>
            <w:shd w:val="clear" w:color="000000" w:fill="FFFF00"/>
            <w:hideMark/>
          </w:tcPr>
          <w:p w14:paraId="6A5D76CE" w14:textId="77777777" w:rsidR="00901E4F" w:rsidRDefault="00901E4F">
            <w:pPr>
              <w:rPr>
                <w:rFonts w:ascii="Calibri" w:hAnsi="Calibri" w:cs="Calibri"/>
                <w:sz w:val="22"/>
                <w:szCs w:val="22"/>
              </w:rPr>
            </w:pPr>
            <w:r>
              <w:rPr>
                <w:rFonts w:ascii="Calibri" w:hAnsi="Calibri" w:cs="Calibri"/>
                <w:sz w:val="22"/>
                <w:szCs w:val="22"/>
              </w:rPr>
              <w:t>ano</w:t>
            </w:r>
          </w:p>
        </w:tc>
        <w:tc>
          <w:tcPr>
            <w:tcW w:w="42" w:type="pct"/>
            <w:vAlign w:val="center"/>
            <w:hideMark/>
          </w:tcPr>
          <w:p w14:paraId="1EA3BBEB" w14:textId="77777777" w:rsidR="00901E4F" w:rsidRDefault="00901E4F">
            <w:pPr>
              <w:rPr>
                <w:sz w:val="20"/>
                <w:szCs w:val="20"/>
              </w:rPr>
            </w:pPr>
          </w:p>
        </w:tc>
      </w:tr>
      <w:tr w:rsidR="00901E4F" w14:paraId="1DC9A362" w14:textId="77777777" w:rsidTr="00901E4F">
        <w:trPr>
          <w:trHeight w:val="312"/>
        </w:trPr>
        <w:tc>
          <w:tcPr>
            <w:tcW w:w="2749" w:type="pct"/>
            <w:gridSpan w:val="2"/>
            <w:tcBorders>
              <w:top w:val="single" w:sz="8" w:space="0" w:color="auto"/>
              <w:left w:val="single" w:sz="12" w:space="0" w:color="auto"/>
              <w:bottom w:val="single" w:sz="8" w:space="0" w:color="auto"/>
              <w:right w:val="single" w:sz="8" w:space="0" w:color="000000"/>
            </w:tcBorders>
            <w:shd w:val="clear" w:color="auto" w:fill="auto"/>
            <w:hideMark/>
          </w:tcPr>
          <w:p w14:paraId="0D4A275E" w14:textId="77777777" w:rsidR="00901E4F" w:rsidRDefault="00901E4F">
            <w:pPr>
              <w:rPr>
                <w:rFonts w:ascii="Calibri" w:hAnsi="Calibri" w:cs="Calibri"/>
                <w:sz w:val="22"/>
                <w:szCs w:val="22"/>
              </w:rPr>
            </w:pPr>
            <w:r>
              <w:rPr>
                <w:rFonts w:ascii="Calibri" w:hAnsi="Calibri" w:cs="Calibri"/>
                <w:sz w:val="22"/>
                <w:szCs w:val="22"/>
              </w:rPr>
              <w:t>Hmotnost s bateriemi včetně napájecího zdroje</w:t>
            </w:r>
          </w:p>
        </w:tc>
        <w:tc>
          <w:tcPr>
            <w:tcW w:w="380" w:type="pct"/>
            <w:tcBorders>
              <w:top w:val="nil"/>
              <w:left w:val="nil"/>
              <w:bottom w:val="single" w:sz="8" w:space="0" w:color="auto"/>
              <w:right w:val="double" w:sz="6" w:space="0" w:color="auto"/>
            </w:tcBorders>
            <w:shd w:val="clear" w:color="000000" w:fill="FFFFFF"/>
            <w:hideMark/>
          </w:tcPr>
          <w:p w14:paraId="70D509C0" w14:textId="77777777" w:rsidR="00901E4F" w:rsidRDefault="00901E4F">
            <w:pPr>
              <w:jc w:val="center"/>
              <w:rPr>
                <w:rFonts w:ascii="Calibri" w:hAnsi="Calibri" w:cs="Calibri"/>
                <w:sz w:val="22"/>
                <w:szCs w:val="22"/>
              </w:rPr>
            </w:pPr>
            <w:r>
              <w:rPr>
                <w:rFonts w:ascii="Calibri" w:hAnsi="Calibri" w:cs="Calibri"/>
                <w:sz w:val="22"/>
                <w:szCs w:val="22"/>
              </w:rPr>
              <w:t>max.</w:t>
            </w:r>
          </w:p>
        </w:tc>
        <w:tc>
          <w:tcPr>
            <w:tcW w:w="847" w:type="pct"/>
            <w:tcBorders>
              <w:top w:val="single" w:sz="8" w:space="0" w:color="auto"/>
              <w:left w:val="nil"/>
              <w:bottom w:val="nil"/>
              <w:right w:val="nil"/>
            </w:tcBorders>
            <w:shd w:val="clear" w:color="auto" w:fill="auto"/>
            <w:hideMark/>
          </w:tcPr>
          <w:p w14:paraId="37E40B54" w14:textId="77777777" w:rsidR="00901E4F" w:rsidRDefault="00901E4F">
            <w:pPr>
              <w:rPr>
                <w:rFonts w:ascii="Calibri" w:hAnsi="Calibri" w:cs="Calibri"/>
                <w:sz w:val="22"/>
                <w:szCs w:val="22"/>
              </w:rPr>
            </w:pPr>
            <w:r>
              <w:rPr>
                <w:rFonts w:ascii="Calibri" w:hAnsi="Calibri" w:cs="Calibri"/>
                <w:sz w:val="22"/>
                <w:szCs w:val="22"/>
              </w:rPr>
              <w:t>1000 g</w:t>
            </w:r>
          </w:p>
        </w:tc>
        <w:tc>
          <w:tcPr>
            <w:tcW w:w="982" w:type="pct"/>
            <w:tcBorders>
              <w:top w:val="nil"/>
              <w:left w:val="double" w:sz="6" w:space="0" w:color="auto"/>
              <w:bottom w:val="single" w:sz="8" w:space="0" w:color="auto"/>
              <w:right w:val="single" w:sz="12" w:space="0" w:color="auto"/>
            </w:tcBorders>
            <w:shd w:val="clear" w:color="000000" w:fill="FFFF00"/>
            <w:hideMark/>
          </w:tcPr>
          <w:p w14:paraId="429363AA" w14:textId="77777777" w:rsidR="00901E4F" w:rsidRDefault="00901E4F">
            <w:pPr>
              <w:rPr>
                <w:rFonts w:ascii="Calibri" w:hAnsi="Calibri" w:cs="Calibri"/>
                <w:sz w:val="22"/>
                <w:szCs w:val="22"/>
              </w:rPr>
            </w:pPr>
            <w:r>
              <w:rPr>
                <w:rFonts w:ascii="Calibri" w:hAnsi="Calibri" w:cs="Calibri"/>
                <w:sz w:val="22"/>
                <w:szCs w:val="22"/>
              </w:rPr>
              <w:t>0,8 kg</w:t>
            </w:r>
          </w:p>
        </w:tc>
        <w:tc>
          <w:tcPr>
            <w:tcW w:w="42" w:type="pct"/>
            <w:vAlign w:val="center"/>
            <w:hideMark/>
          </w:tcPr>
          <w:p w14:paraId="2B635BE8" w14:textId="77777777" w:rsidR="00901E4F" w:rsidRDefault="00901E4F">
            <w:pPr>
              <w:rPr>
                <w:sz w:val="20"/>
                <w:szCs w:val="20"/>
              </w:rPr>
            </w:pPr>
          </w:p>
        </w:tc>
      </w:tr>
      <w:tr w:rsidR="00901E4F" w14:paraId="15C26C11" w14:textId="77777777" w:rsidTr="00901E4F">
        <w:trPr>
          <w:trHeight w:val="312"/>
        </w:trPr>
        <w:tc>
          <w:tcPr>
            <w:tcW w:w="2749" w:type="pct"/>
            <w:gridSpan w:val="2"/>
            <w:tcBorders>
              <w:top w:val="single" w:sz="8" w:space="0" w:color="auto"/>
              <w:left w:val="single" w:sz="12" w:space="0" w:color="auto"/>
              <w:bottom w:val="single" w:sz="8" w:space="0" w:color="auto"/>
              <w:right w:val="single" w:sz="8" w:space="0" w:color="000000"/>
            </w:tcBorders>
            <w:shd w:val="clear" w:color="auto" w:fill="auto"/>
            <w:hideMark/>
          </w:tcPr>
          <w:p w14:paraId="5B8DA0BF" w14:textId="77777777" w:rsidR="00901E4F" w:rsidRDefault="00901E4F">
            <w:pPr>
              <w:rPr>
                <w:rFonts w:ascii="Calibri" w:hAnsi="Calibri" w:cs="Calibri"/>
                <w:sz w:val="22"/>
                <w:szCs w:val="22"/>
              </w:rPr>
            </w:pPr>
            <w:r>
              <w:rPr>
                <w:rFonts w:ascii="Calibri" w:hAnsi="Calibri" w:cs="Calibri"/>
                <w:sz w:val="22"/>
                <w:szCs w:val="22"/>
              </w:rPr>
              <w:t xml:space="preserve">Funkční teplota </w:t>
            </w:r>
          </w:p>
        </w:tc>
        <w:tc>
          <w:tcPr>
            <w:tcW w:w="380" w:type="pct"/>
            <w:tcBorders>
              <w:top w:val="nil"/>
              <w:left w:val="nil"/>
              <w:bottom w:val="single" w:sz="8" w:space="0" w:color="auto"/>
              <w:right w:val="double" w:sz="6" w:space="0" w:color="auto"/>
            </w:tcBorders>
            <w:shd w:val="clear" w:color="000000" w:fill="FFFFFF"/>
            <w:hideMark/>
          </w:tcPr>
          <w:p w14:paraId="635C976D" w14:textId="77777777" w:rsidR="00901E4F" w:rsidRDefault="00901E4F">
            <w:pPr>
              <w:jc w:val="center"/>
              <w:rPr>
                <w:rFonts w:ascii="Calibri" w:hAnsi="Calibri" w:cs="Calibri"/>
                <w:sz w:val="22"/>
                <w:szCs w:val="22"/>
              </w:rPr>
            </w:pPr>
            <w:r>
              <w:rPr>
                <w:rFonts w:ascii="Calibri" w:hAnsi="Calibri" w:cs="Calibri"/>
                <w:sz w:val="22"/>
                <w:szCs w:val="22"/>
              </w:rPr>
              <w:t>min.</w:t>
            </w:r>
          </w:p>
        </w:tc>
        <w:tc>
          <w:tcPr>
            <w:tcW w:w="847" w:type="pct"/>
            <w:tcBorders>
              <w:top w:val="single" w:sz="8" w:space="0" w:color="auto"/>
              <w:left w:val="nil"/>
              <w:bottom w:val="nil"/>
              <w:right w:val="nil"/>
            </w:tcBorders>
            <w:shd w:val="clear" w:color="auto" w:fill="auto"/>
            <w:hideMark/>
          </w:tcPr>
          <w:p w14:paraId="722A1AD8" w14:textId="77777777" w:rsidR="00901E4F" w:rsidRDefault="00901E4F">
            <w:pPr>
              <w:rPr>
                <w:rFonts w:ascii="Calibri" w:hAnsi="Calibri" w:cs="Calibri"/>
                <w:sz w:val="22"/>
                <w:szCs w:val="22"/>
              </w:rPr>
            </w:pPr>
            <w:r>
              <w:rPr>
                <w:rFonts w:ascii="Calibri" w:hAnsi="Calibri" w:cs="Calibri"/>
                <w:sz w:val="22"/>
                <w:szCs w:val="22"/>
              </w:rPr>
              <w:t xml:space="preserve"> -15 až +</w:t>
            </w:r>
            <w:proofErr w:type="gramStart"/>
            <w:r>
              <w:rPr>
                <w:rFonts w:ascii="Calibri" w:hAnsi="Calibri" w:cs="Calibri"/>
                <w:sz w:val="22"/>
                <w:szCs w:val="22"/>
              </w:rPr>
              <w:t>50°C</w:t>
            </w:r>
            <w:proofErr w:type="gramEnd"/>
          </w:p>
        </w:tc>
        <w:tc>
          <w:tcPr>
            <w:tcW w:w="982" w:type="pct"/>
            <w:tcBorders>
              <w:top w:val="nil"/>
              <w:left w:val="double" w:sz="6" w:space="0" w:color="auto"/>
              <w:bottom w:val="single" w:sz="8" w:space="0" w:color="auto"/>
              <w:right w:val="single" w:sz="12" w:space="0" w:color="auto"/>
            </w:tcBorders>
            <w:shd w:val="clear" w:color="000000" w:fill="FFFF00"/>
            <w:hideMark/>
          </w:tcPr>
          <w:p w14:paraId="5454C009" w14:textId="77777777" w:rsidR="00901E4F" w:rsidRDefault="00901E4F">
            <w:pPr>
              <w:rPr>
                <w:rFonts w:ascii="Calibri" w:hAnsi="Calibri" w:cs="Calibri"/>
                <w:sz w:val="22"/>
                <w:szCs w:val="22"/>
              </w:rPr>
            </w:pPr>
            <w:r>
              <w:rPr>
                <w:rFonts w:ascii="Calibri" w:hAnsi="Calibri" w:cs="Calibri"/>
                <w:sz w:val="22"/>
                <w:szCs w:val="22"/>
              </w:rPr>
              <w:t>minus 25 až plus 50 °C</w:t>
            </w:r>
          </w:p>
        </w:tc>
        <w:tc>
          <w:tcPr>
            <w:tcW w:w="42" w:type="pct"/>
            <w:vAlign w:val="center"/>
            <w:hideMark/>
          </w:tcPr>
          <w:p w14:paraId="525804F1" w14:textId="77777777" w:rsidR="00901E4F" w:rsidRDefault="00901E4F">
            <w:pPr>
              <w:rPr>
                <w:sz w:val="20"/>
                <w:szCs w:val="20"/>
              </w:rPr>
            </w:pPr>
          </w:p>
        </w:tc>
      </w:tr>
      <w:tr w:rsidR="00901E4F" w14:paraId="11BF8668" w14:textId="77777777" w:rsidTr="00901E4F">
        <w:trPr>
          <w:trHeight w:val="323"/>
        </w:trPr>
        <w:tc>
          <w:tcPr>
            <w:tcW w:w="2749" w:type="pct"/>
            <w:gridSpan w:val="2"/>
            <w:tcBorders>
              <w:top w:val="single" w:sz="8" w:space="0" w:color="auto"/>
              <w:left w:val="single" w:sz="12" w:space="0" w:color="auto"/>
              <w:bottom w:val="single" w:sz="8" w:space="0" w:color="auto"/>
              <w:right w:val="single" w:sz="8" w:space="0" w:color="000000"/>
            </w:tcBorders>
            <w:shd w:val="clear" w:color="auto" w:fill="auto"/>
            <w:hideMark/>
          </w:tcPr>
          <w:p w14:paraId="5EB88BD6" w14:textId="77777777" w:rsidR="00901E4F" w:rsidRDefault="00901E4F">
            <w:pPr>
              <w:rPr>
                <w:rFonts w:ascii="Calibri" w:hAnsi="Calibri" w:cs="Calibri"/>
                <w:sz w:val="22"/>
                <w:szCs w:val="22"/>
              </w:rPr>
            </w:pPr>
            <w:r>
              <w:rPr>
                <w:rFonts w:ascii="Calibri" w:hAnsi="Calibri" w:cs="Calibri"/>
                <w:sz w:val="22"/>
                <w:szCs w:val="22"/>
              </w:rPr>
              <w:t>Nárazu odolné pouzdro</w:t>
            </w:r>
          </w:p>
        </w:tc>
        <w:tc>
          <w:tcPr>
            <w:tcW w:w="380" w:type="pct"/>
            <w:tcBorders>
              <w:top w:val="nil"/>
              <w:left w:val="nil"/>
              <w:bottom w:val="single" w:sz="8" w:space="0" w:color="auto"/>
              <w:right w:val="double" w:sz="6" w:space="0" w:color="auto"/>
            </w:tcBorders>
            <w:shd w:val="clear" w:color="auto" w:fill="auto"/>
            <w:hideMark/>
          </w:tcPr>
          <w:p w14:paraId="68D96B67"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single" w:sz="8" w:space="0" w:color="auto"/>
              <w:left w:val="nil"/>
              <w:bottom w:val="nil"/>
              <w:right w:val="nil"/>
            </w:tcBorders>
            <w:shd w:val="clear" w:color="auto" w:fill="auto"/>
            <w:hideMark/>
          </w:tcPr>
          <w:p w14:paraId="77FA4660" w14:textId="77777777" w:rsidR="00901E4F" w:rsidRDefault="00901E4F">
            <w:pPr>
              <w:rPr>
                <w:rFonts w:ascii="Calibri" w:hAnsi="Calibri" w:cs="Calibri"/>
                <w:sz w:val="22"/>
                <w:szCs w:val="22"/>
              </w:rPr>
            </w:pPr>
            <w:r>
              <w:rPr>
                <w:rFonts w:ascii="Calibri" w:hAnsi="Calibri" w:cs="Calibri"/>
                <w:sz w:val="22"/>
                <w:szCs w:val="22"/>
              </w:rPr>
              <w:t>ano</w:t>
            </w:r>
          </w:p>
        </w:tc>
        <w:tc>
          <w:tcPr>
            <w:tcW w:w="982" w:type="pct"/>
            <w:tcBorders>
              <w:top w:val="nil"/>
              <w:left w:val="double" w:sz="6" w:space="0" w:color="auto"/>
              <w:bottom w:val="single" w:sz="8" w:space="0" w:color="auto"/>
              <w:right w:val="single" w:sz="12" w:space="0" w:color="auto"/>
            </w:tcBorders>
            <w:shd w:val="clear" w:color="000000" w:fill="FFFF00"/>
            <w:hideMark/>
          </w:tcPr>
          <w:p w14:paraId="576AC9A9" w14:textId="77777777" w:rsidR="00901E4F" w:rsidRDefault="00901E4F">
            <w:pPr>
              <w:rPr>
                <w:rFonts w:ascii="Calibri" w:hAnsi="Calibri" w:cs="Calibri"/>
                <w:sz w:val="22"/>
                <w:szCs w:val="22"/>
              </w:rPr>
            </w:pPr>
            <w:r>
              <w:rPr>
                <w:rFonts w:ascii="Calibri" w:hAnsi="Calibri" w:cs="Calibri"/>
                <w:sz w:val="22"/>
                <w:szCs w:val="22"/>
              </w:rPr>
              <w:t>ano</w:t>
            </w:r>
          </w:p>
        </w:tc>
        <w:tc>
          <w:tcPr>
            <w:tcW w:w="42" w:type="pct"/>
            <w:vAlign w:val="center"/>
            <w:hideMark/>
          </w:tcPr>
          <w:p w14:paraId="36C72ABE" w14:textId="77777777" w:rsidR="00901E4F" w:rsidRDefault="00901E4F">
            <w:pPr>
              <w:rPr>
                <w:sz w:val="20"/>
                <w:szCs w:val="20"/>
              </w:rPr>
            </w:pPr>
          </w:p>
        </w:tc>
      </w:tr>
      <w:tr w:rsidR="00901E4F" w14:paraId="26F18DDB" w14:textId="77777777" w:rsidTr="00901E4F">
        <w:trPr>
          <w:trHeight w:val="578"/>
        </w:trPr>
        <w:tc>
          <w:tcPr>
            <w:tcW w:w="2749" w:type="pct"/>
            <w:gridSpan w:val="2"/>
            <w:tcBorders>
              <w:top w:val="single" w:sz="8" w:space="0" w:color="auto"/>
              <w:left w:val="single" w:sz="12" w:space="0" w:color="auto"/>
              <w:bottom w:val="double" w:sz="6" w:space="0" w:color="auto"/>
              <w:right w:val="single" w:sz="8" w:space="0" w:color="000000"/>
            </w:tcBorders>
            <w:shd w:val="clear" w:color="auto" w:fill="auto"/>
            <w:hideMark/>
          </w:tcPr>
          <w:p w14:paraId="7B93ECEA" w14:textId="77777777" w:rsidR="00901E4F" w:rsidRDefault="00901E4F">
            <w:pPr>
              <w:rPr>
                <w:rFonts w:ascii="Calibri" w:hAnsi="Calibri" w:cs="Calibri"/>
                <w:sz w:val="22"/>
                <w:szCs w:val="22"/>
              </w:rPr>
            </w:pPr>
            <w:r>
              <w:rPr>
                <w:rFonts w:ascii="Calibri" w:hAnsi="Calibri" w:cs="Calibri"/>
                <w:sz w:val="22"/>
                <w:szCs w:val="22"/>
              </w:rPr>
              <w:t xml:space="preserve">Podrobný uživatelský návod k obsluze v českém jazyce </w:t>
            </w:r>
            <w:r>
              <w:rPr>
                <w:rFonts w:ascii="Calibri" w:hAnsi="Calibri" w:cs="Calibri"/>
                <w:b/>
                <w:bCs/>
                <w:i/>
                <w:iCs/>
                <w:sz w:val="22"/>
                <w:szCs w:val="22"/>
              </w:rPr>
              <w:t>V souladu s čl. 11 Zadávací dokumentace dodavatel uživatelský návod k obsluze v českém jazyce předloží v rámci nabídky.</w:t>
            </w:r>
          </w:p>
        </w:tc>
        <w:tc>
          <w:tcPr>
            <w:tcW w:w="380" w:type="pct"/>
            <w:tcBorders>
              <w:top w:val="nil"/>
              <w:left w:val="nil"/>
              <w:bottom w:val="double" w:sz="6" w:space="0" w:color="auto"/>
              <w:right w:val="double" w:sz="6" w:space="0" w:color="auto"/>
            </w:tcBorders>
            <w:shd w:val="clear" w:color="auto" w:fill="auto"/>
            <w:hideMark/>
          </w:tcPr>
          <w:p w14:paraId="74F4C27E"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single" w:sz="8" w:space="0" w:color="auto"/>
              <w:left w:val="nil"/>
              <w:bottom w:val="double" w:sz="6" w:space="0" w:color="auto"/>
              <w:right w:val="nil"/>
            </w:tcBorders>
            <w:shd w:val="clear" w:color="auto" w:fill="auto"/>
            <w:hideMark/>
          </w:tcPr>
          <w:p w14:paraId="6CD654C8" w14:textId="77777777" w:rsidR="00901E4F" w:rsidRDefault="00901E4F">
            <w:pPr>
              <w:rPr>
                <w:rFonts w:ascii="Calibri" w:hAnsi="Calibri" w:cs="Calibri"/>
                <w:sz w:val="22"/>
                <w:szCs w:val="22"/>
              </w:rPr>
            </w:pPr>
            <w:r>
              <w:rPr>
                <w:rFonts w:ascii="Calibri" w:hAnsi="Calibri" w:cs="Calibri"/>
                <w:sz w:val="22"/>
                <w:szCs w:val="22"/>
              </w:rPr>
              <w:t>ano</w:t>
            </w:r>
          </w:p>
        </w:tc>
        <w:tc>
          <w:tcPr>
            <w:tcW w:w="982" w:type="pct"/>
            <w:tcBorders>
              <w:top w:val="nil"/>
              <w:left w:val="double" w:sz="6" w:space="0" w:color="auto"/>
              <w:bottom w:val="double" w:sz="6" w:space="0" w:color="auto"/>
              <w:right w:val="single" w:sz="12" w:space="0" w:color="auto"/>
            </w:tcBorders>
            <w:shd w:val="clear" w:color="000000" w:fill="FFFF00"/>
            <w:hideMark/>
          </w:tcPr>
          <w:p w14:paraId="757F63FB" w14:textId="77777777" w:rsidR="00901E4F" w:rsidRDefault="00901E4F">
            <w:pPr>
              <w:rPr>
                <w:rFonts w:ascii="Calibri" w:hAnsi="Calibri" w:cs="Calibri"/>
                <w:sz w:val="22"/>
                <w:szCs w:val="22"/>
              </w:rPr>
            </w:pPr>
            <w:r>
              <w:rPr>
                <w:rFonts w:ascii="Calibri" w:hAnsi="Calibri" w:cs="Calibri"/>
                <w:sz w:val="22"/>
                <w:szCs w:val="22"/>
              </w:rPr>
              <w:t>ano</w:t>
            </w:r>
          </w:p>
        </w:tc>
        <w:tc>
          <w:tcPr>
            <w:tcW w:w="42" w:type="pct"/>
            <w:vAlign w:val="center"/>
            <w:hideMark/>
          </w:tcPr>
          <w:p w14:paraId="332B809B" w14:textId="77777777" w:rsidR="00901E4F" w:rsidRDefault="00901E4F">
            <w:pPr>
              <w:rPr>
                <w:sz w:val="20"/>
                <w:szCs w:val="20"/>
              </w:rPr>
            </w:pPr>
          </w:p>
        </w:tc>
      </w:tr>
      <w:tr w:rsidR="00901E4F" w14:paraId="1EB852FC" w14:textId="77777777" w:rsidTr="00901E4F">
        <w:trPr>
          <w:trHeight w:val="330"/>
        </w:trPr>
        <w:tc>
          <w:tcPr>
            <w:tcW w:w="2749" w:type="pct"/>
            <w:gridSpan w:val="2"/>
            <w:tcBorders>
              <w:top w:val="single" w:sz="8" w:space="0" w:color="auto"/>
              <w:left w:val="single" w:sz="12" w:space="0" w:color="auto"/>
              <w:bottom w:val="double" w:sz="6" w:space="0" w:color="auto"/>
              <w:right w:val="single" w:sz="8" w:space="0" w:color="000000"/>
            </w:tcBorders>
            <w:shd w:val="clear" w:color="auto" w:fill="auto"/>
            <w:hideMark/>
          </w:tcPr>
          <w:p w14:paraId="1BDBD258" w14:textId="77777777" w:rsidR="00901E4F" w:rsidRDefault="00901E4F">
            <w:pPr>
              <w:rPr>
                <w:rFonts w:ascii="Calibri" w:hAnsi="Calibri" w:cs="Calibri"/>
                <w:sz w:val="22"/>
                <w:szCs w:val="22"/>
              </w:rPr>
            </w:pPr>
            <w:r>
              <w:rPr>
                <w:rFonts w:ascii="Calibri" w:hAnsi="Calibri" w:cs="Calibri"/>
                <w:sz w:val="22"/>
                <w:szCs w:val="22"/>
              </w:rPr>
              <w:t> </w:t>
            </w:r>
          </w:p>
        </w:tc>
        <w:tc>
          <w:tcPr>
            <w:tcW w:w="380" w:type="pct"/>
            <w:tcBorders>
              <w:top w:val="single" w:sz="8" w:space="0" w:color="auto"/>
              <w:left w:val="nil"/>
              <w:bottom w:val="double" w:sz="6" w:space="0" w:color="auto"/>
              <w:right w:val="double" w:sz="6" w:space="0" w:color="auto"/>
            </w:tcBorders>
            <w:shd w:val="clear" w:color="auto" w:fill="auto"/>
            <w:hideMark/>
          </w:tcPr>
          <w:p w14:paraId="5B212DE5"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single" w:sz="8" w:space="0" w:color="auto"/>
              <w:left w:val="nil"/>
              <w:bottom w:val="double" w:sz="6" w:space="0" w:color="auto"/>
              <w:right w:val="nil"/>
            </w:tcBorders>
            <w:shd w:val="clear" w:color="auto" w:fill="auto"/>
            <w:hideMark/>
          </w:tcPr>
          <w:p w14:paraId="22EA7F50" w14:textId="77777777" w:rsidR="00901E4F" w:rsidRDefault="00901E4F">
            <w:pPr>
              <w:rPr>
                <w:rFonts w:ascii="Calibri" w:hAnsi="Calibri" w:cs="Calibri"/>
                <w:sz w:val="22"/>
                <w:szCs w:val="22"/>
              </w:rPr>
            </w:pPr>
            <w:r>
              <w:rPr>
                <w:rFonts w:ascii="Calibri" w:hAnsi="Calibri" w:cs="Calibri"/>
                <w:sz w:val="22"/>
                <w:szCs w:val="22"/>
              </w:rPr>
              <w:t> </w:t>
            </w:r>
          </w:p>
        </w:tc>
        <w:tc>
          <w:tcPr>
            <w:tcW w:w="982" w:type="pct"/>
            <w:tcBorders>
              <w:top w:val="single" w:sz="4" w:space="0" w:color="auto"/>
              <w:left w:val="double" w:sz="6" w:space="0" w:color="auto"/>
              <w:bottom w:val="nil"/>
              <w:right w:val="single" w:sz="12" w:space="0" w:color="auto"/>
            </w:tcBorders>
            <w:shd w:val="clear" w:color="000000" w:fill="FFFF00"/>
            <w:hideMark/>
          </w:tcPr>
          <w:p w14:paraId="1922E0BA" w14:textId="77777777" w:rsidR="00901E4F" w:rsidRDefault="00901E4F">
            <w:pPr>
              <w:rPr>
                <w:rFonts w:ascii="Calibri" w:hAnsi="Calibri" w:cs="Calibri"/>
                <w:b/>
                <w:bCs/>
                <w:sz w:val="22"/>
                <w:szCs w:val="22"/>
              </w:rPr>
            </w:pPr>
            <w:r>
              <w:rPr>
                <w:rFonts w:ascii="Calibri" w:hAnsi="Calibri" w:cs="Calibri"/>
                <w:b/>
                <w:bCs/>
                <w:sz w:val="22"/>
                <w:szCs w:val="22"/>
              </w:rPr>
              <w:t> </w:t>
            </w:r>
          </w:p>
        </w:tc>
        <w:tc>
          <w:tcPr>
            <w:tcW w:w="42" w:type="pct"/>
            <w:vAlign w:val="center"/>
            <w:hideMark/>
          </w:tcPr>
          <w:p w14:paraId="6A14100B" w14:textId="77777777" w:rsidR="00901E4F" w:rsidRDefault="00901E4F">
            <w:pPr>
              <w:rPr>
                <w:sz w:val="20"/>
                <w:szCs w:val="20"/>
              </w:rPr>
            </w:pPr>
          </w:p>
        </w:tc>
      </w:tr>
      <w:tr w:rsidR="00901E4F" w14:paraId="414422BB" w14:textId="77777777" w:rsidTr="00901E4F">
        <w:trPr>
          <w:trHeight w:val="330"/>
        </w:trPr>
        <w:tc>
          <w:tcPr>
            <w:tcW w:w="795" w:type="pct"/>
            <w:tcBorders>
              <w:top w:val="nil"/>
              <w:left w:val="single" w:sz="12" w:space="0" w:color="auto"/>
              <w:bottom w:val="double" w:sz="6" w:space="0" w:color="auto"/>
              <w:right w:val="nil"/>
            </w:tcBorders>
            <w:shd w:val="clear" w:color="000000" w:fill="92D050"/>
            <w:hideMark/>
          </w:tcPr>
          <w:p w14:paraId="205450FC" w14:textId="77777777" w:rsidR="00901E4F" w:rsidRDefault="00901E4F">
            <w:pPr>
              <w:rPr>
                <w:rFonts w:ascii="Calibri" w:hAnsi="Calibri" w:cs="Calibri"/>
                <w:sz w:val="22"/>
                <w:szCs w:val="22"/>
              </w:rPr>
            </w:pPr>
            <w:r>
              <w:rPr>
                <w:rFonts w:ascii="Calibri" w:hAnsi="Calibri" w:cs="Calibri"/>
                <w:sz w:val="22"/>
                <w:szCs w:val="22"/>
              </w:rPr>
              <w:t>Společné parametry</w:t>
            </w:r>
          </w:p>
        </w:tc>
        <w:tc>
          <w:tcPr>
            <w:tcW w:w="1955" w:type="pct"/>
            <w:tcBorders>
              <w:top w:val="nil"/>
              <w:left w:val="nil"/>
              <w:bottom w:val="double" w:sz="6" w:space="0" w:color="auto"/>
              <w:right w:val="nil"/>
            </w:tcBorders>
            <w:shd w:val="clear" w:color="000000" w:fill="92D050"/>
            <w:hideMark/>
          </w:tcPr>
          <w:p w14:paraId="5DB3994E" w14:textId="77777777" w:rsidR="00901E4F" w:rsidRDefault="00901E4F">
            <w:pPr>
              <w:rPr>
                <w:rFonts w:ascii="Calibri" w:hAnsi="Calibri" w:cs="Calibri"/>
                <w:sz w:val="22"/>
                <w:szCs w:val="22"/>
              </w:rPr>
            </w:pPr>
            <w:r>
              <w:rPr>
                <w:rFonts w:ascii="Calibri" w:hAnsi="Calibri" w:cs="Calibri"/>
                <w:sz w:val="22"/>
                <w:szCs w:val="22"/>
              </w:rPr>
              <w:t> </w:t>
            </w:r>
          </w:p>
        </w:tc>
        <w:tc>
          <w:tcPr>
            <w:tcW w:w="380" w:type="pct"/>
            <w:tcBorders>
              <w:top w:val="nil"/>
              <w:left w:val="nil"/>
              <w:bottom w:val="double" w:sz="6" w:space="0" w:color="auto"/>
              <w:right w:val="double" w:sz="6" w:space="0" w:color="auto"/>
            </w:tcBorders>
            <w:shd w:val="clear" w:color="000000" w:fill="92D050"/>
            <w:hideMark/>
          </w:tcPr>
          <w:p w14:paraId="4E0D234C" w14:textId="77777777" w:rsidR="00901E4F" w:rsidRDefault="00901E4F">
            <w:pPr>
              <w:rPr>
                <w:rFonts w:ascii="Calibri" w:hAnsi="Calibri" w:cs="Calibri"/>
                <w:sz w:val="22"/>
                <w:szCs w:val="22"/>
              </w:rPr>
            </w:pPr>
            <w:r>
              <w:rPr>
                <w:rFonts w:ascii="Calibri" w:hAnsi="Calibri" w:cs="Calibri"/>
                <w:sz w:val="22"/>
                <w:szCs w:val="22"/>
              </w:rPr>
              <w:t> </w:t>
            </w:r>
          </w:p>
        </w:tc>
        <w:tc>
          <w:tcPr>
            <w:tcW w:w="847" w:type="pct"/>
            <w:tcBorders>
              <w:top w:val="nil"/>
              <w:left w:val="nil"/>
              <w:bottom w:val="double" w:sz="6" w:space="0" w:color="auto"/>
              <w:right w:val="nil"/>
            </w:tcBorders>
            <w:shd w:val="clear" w:color="000000" w:fill="92D050"/>
            <w:hideMark/>
          </w:tcPr>
          <w:p w14:paraId="690FEBE8" w14:textId="77777777" w:rsidR="00901E4F" w:rsidRDefault="00901E4F">
            <w:pPr>
              <w:rPr>
                <w:rFonts w:ascii="Calibri" w:hAnsi="Calibri" w:cs="Calibri"/>
                <w:sz w:val="22"/>
                <w:szCs w:val="22"/>
              </w:rPr>
            </w:pPr>
            <w:r>
              <w:rPr>
                <w:rFonts w:ascii="Calibri" w:hAnsi="Calibri" w:cs="Calibri"/>
                <w:sz w:val="22"/>
                <w:szCs w:val="22"/>
              </w:rPr>
              <w:t> </w:t>
            </w:r>
          </w:p>
        </w:tc>
        <w:tc>
          <w:tcPr>
            <w:tcW w:w="982" w:type="pct"/>
            <w:tcBorders>
              <w:top w:val="double" w:sz="6" w:space="0" w:color="auto"/>
              <w:left w:val="double" w:sz="6" w:space="0" w:color="auto"/>
              <w:bottom w:val="double" w:sz="6" w:space="0" w:color="auto"/>
              <w:right w:val="single" w:sz="12" w:space="0" w:color="auto"/>
            </w:tcBorders>
            <w:shd w:val="clear" w:color="000000" w:fill="92D050"/>
            <w:hideMark/>
          </w:tcPr>
          <w:p w14:paraId="22DA0032" w14:textId="77777777" w:rsidR="00901E4F" w:rsidRDefault="00901E4F">
            <w:pPr>
              <w:rPr>
                <w:rFonts w:ascii="Calibri" w:hAnsi="Calibri" w:cs="Calibri"/>
                <w:sz w:val="22"/>
                <w:szCs w:val="22"/>
              </w:rPr>
            </w:pPr>
            <w:r>
              <w:rPr>
                <w:rFonts w:ascii="Calibri" w:hAnsi="Calibri" w:cs="Calibri"/>
                <w:sz w:val="22"/>
                <w:szCs w:val="22"/>
              </w:rPr>
              <w:t> </w:t>
            </w:r>
          </w:p>
        </w:tc>
        <w:tc>
          <w:tcPr>
            <w:tcW w:w="42" w:type="pct"/>
            <w:vAlign w:val="center"/>
            <w:hideMark/>
          </w:tcPr>
          <w:p w14:paraId="20463AA2" w14:textId="77777777" w:rsidR="00901E4F" w:rsidRDefault="00901E4F">
            <w:pPr>
              <w:rPr>
                <w:sz w:val="20"/>
                <w:szCs w:val="20"/>
              </w:rPr>
            </w:pPr>
          </w:p>
        </w:tc>
      </w:tr>
      <w:tr w:rsidR="00901E4F" w14:paraId="00EE6483" w14:textId="77777777" w:rsidTr="00901E4F">
        <w:trPr>
          <w:trHeight w:val="630"/>
        </w:trPr>
        <w:tc>
          <w:tcPr>
            <w:tcW w:w="795" w:type="pct"/>
            <w:tcBorders>
              <w:top w:val="nil"/>
              <w:left w:val="single" w:sz="12" w:space="0" w:color="auto"/>
              <w:bottom w:val="single" w:sz="8" w:space="0" w:color="auto"/>
              <w:right w:val="single" w:sz="8" w:space="0" w:color="auto"/>
            </w:tcBorders>
            <w:shd w:val="clear" w:color="auto" w:fill="auto"/>
            <w:hideMark/>
          </w:tcPr>
          <w:p w14:paraId="6DF53D84" w14:textId="77777777" w:rsidR="00901E4F" w:rsidRDefault="00901E4F">
            <w:pPr>
              <w:rPr>
                <w:rFonts w:ascii="Calibri" w:hAnsi="Calibri" w:cs="Calibri"/>
                <w:sz w:val="22"/>
                <w:szCs w:val="22"/>
              </w:rPr>
            </w:pPr>
            <w:r>
              <w:rPr>
                <w:rFonts w:ascii="Calibri" w:hAnsi="Calibri" w:cs="Calibri"/>
                <w:sz w:val="22"/>
                <w:szCs w:val="22"/>
              </w:rPr>
              <w:t> </w:t>
            </w:r>
          </w:p>
        </w:tc>
        <w:tc>
          <w:tcPr>
            <w:tcW w:w="1955" w:type="pct"/>
            <w:tcBorders>
              <w:top w:val="dotted" w:sz="4" w:space="0" w:color="auto"/>
              <w:left w:val="nil"/>
              <w:bottom w:val="single" w:sz="8" w:space="0" w:color="auto"/>
              <w:right w:val="nil"/>
            </w:tcBorders>
            <w:shd w:val="clear" w:color="auto" w:fill="auto"/>
            <w:hideMark/>
          </w:tcPr>
          <w:p w14:paraId="7445EC22" w14:textId="77777777" w:rsidR="00901E4F" w:rsidRDefault="00901E4F">
            <w:pPr>
              <w:rPr>
                <w:rFonts w:ascii="Calibri" w:hAnsi="Calibri" w:cs="Calibri"/>
                <w:sz w:val="22"/>
                <w:szCs w:val="22"/>
              </w:rPr>
            </w:pPr>
            <w:r>
              <w:rPr>
                <w:rFonts w:ascii="Calibri" w:hAnsi="Calibri" w:cs="Calibri"/>
                <w:sz w:val="22"/>
                <w:szCs w:val="22"/>
              </w:rPr>
              <w:t xml:space="preserve">Případný ostatní SW v </w:t>
            </w:r>
            <w:proofErr w:type="gramStart"/>
            <w:r>
              <w:rPr>
                <w:rFonts w:ascii="Calibri" w:hAnsi="Calibri" w:cs="Calibri"/>
                <w:sz w:val="22"/>
                <w:szCs w:val="22"/>
              </w:rPr>
              <w:t>ceně - instalační</w:t>
            </w:r>
            <w:proofErr w:type="gramEnd"/>
            <w:r>
              <w:rPr>
                <w:rFonts w:ascii="Calibri" w:hAnsi="Calibri" w:cs="Calibri"/>
                <w:sz w:val="22"/>
                <w:szCs w:val="22"/>
              </w:rPr>
              <w:t xml:space="preserve"> CD nebo DVD s ovladači a managementem na vyžádání při nákupu nebo na USB </w:t>
            </w:r>
            <w:proofErr w:type="spellStart"/>
            <w:r>
              <w:rPr>
                <w:rFonts w:ascii="Calibri" w:hAnsi="Calibri" w:cs="Calibri"/>
                <w:sz w:val="22"/>
                <w:szCs w:val="22"/>
              </w:rPr>
              <w:t>flash</w:t>
            </w:r>
            <w:proofErr w:type="spellEnd"/>
            <w:r>
              <w:rPr>
                <w:rFonts w:ascii="Calibri" w:hAnsi="Calibri" w:cs="Calibri"/>
                <w:sz w:val="22"/>
                <w:szCs w:val="22"/>
              </w:rPr>
              <w:t xml:space="preserve"> disku.</w:t>
            </w:r>
          </w:p>
        </w:tc>
        <w:tc>
          <w:tcPr>
            <w:tcW w:w="380" w:type="pct"/>
            <w:tcBorders>
              <w:top w:val="dotted" w:sz="4" w:space="0" w:color="auto"/>
              <w:left w:val="single" w:sz="8" w:space="0" w:color="auto"/>
              <w:bottom w:val="single" w:sz="8" w:space="0" w:color="auto"/>
              <w:right w:val="double" w:sz="6" w:space="0" w:color="auto"/>
            </w:tcBorders>
            <w:shd w:val="clear" w:color="auto" w:fill="auto"/>
            <w:vAlign w:val="center"/>
            <w:hideMark/>
          </w:tcPr>
          <w:p w14:paraId="3980C5DE"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dotted" w:sz="4" w:space="0" w:color="auto"/>
              <w:left w:val="nil"/>
              <w:bottom w:val="single" w:sz="8" w:space="0" w:color="auto"/>
              <w:right w:val="nil"/>
            </w:tcBorders>
            <w:shd w:val="clear" w:color="auto" w:fill="auto"/>
            <w:hideMark/>
          </w:tcPr>
          <w:p w14:paraId="1C33B6AF" w14:textId="77777777" w:rsidR="00901E4F" w:rsidRDefault="00901E4F">
            <w:pPr>
              <w:rPr>
                <w:rFonts w:ascii="Calibri" w:hAnsi="Calibri" w:cs="Calibri"/>
                <w:sz w:val="22"/>
                <w:szCs w:val="22"/>
              </w:rPr>
            </w:pPr>
            <w:r>
              <w:rPr>
                <w:rFonts w:ascii="Calibri" w:hAnsi="Calibri" w:cs="Calibri"/>
                <w:sz w:val="22"/>
                <w:szCs w:val="22"/>
              </w:rPr>
              <w:t>ano</w:t>
            </w:r>
          </w:p>
        </w:tc>
        <w:tc>
          <w:tcPr>
            <w:tcW w:w="982" w:type="pct"/>
            <w:tcBorders>
              <w:top w:val="single" w:sz="4" w:space="0" w:color="auto"/>
              <w:left w:val="double" w:sz="6" w:space="0" w:color="auto"/>
              <w:bottom w:val="nil"/>
              <w:right w:val="single" w:sz="12" w:space="0" w:color="auto"/>
            </w:tcBorders>
            <w:shd w:val="clear" w:color="000000" w:fill="FFFF00"/>
            <w:hideMark/>
          </w:tcPr>
          <w:p w14:paraId="06F413AC" w14:textId="77777777" w:rsidR="00901E4F" w:rsidRDefault="00901E4F">
            <w:pPr>
              <w:rPr>
                <w:rFonts w:ascii="Calibri" w:hAnsi="Calibri" w:cs="Calibri"/>
                <w:b/>
                <w:bCs/>
                <w:sz w:val="22"/>
                <w:szCs w:val="22"/>
              </w:rPr>
            </w:pPr>
            <w:r>
              <w:rPr>
                <w:rFonts w:ascii="Calibri" w:hAnsi="Calibri" w:cs="Calibri"/>
                <w:b/>
                <w:bCs/>
                <w:sz w:val="22"/>
                <w:szCs w:val="22"/>
              </w:rPr>
              <w:t>ano</w:t>
            </w:r>
          </w:p>
        </w:tc>
        <w:tc>
          <w:tcPr>
            <w:tcW w:w="42" w:type="pct"/>
            <w:vAlign w:val="center"/>
            <w:hideMark/>
          </w:tcPr>
          <w:p w14:paraId="5CA35485" w14:textId="77777777" w:rsidR="00901E4F" w:rsidRDefault="00901E4F">
            <w:pPr>
              <w:rPr>
                <w:sz w:val="20"/>
                <w:szCs w:val="20"/>
              </w:rPr>
            </w:pPr>
          </w:p>
        </w:tc>
      </w:tr>
      <w:tr w:rsidR="00901E4F" w14:paraId="3404043A" w14:textId="77777777" w:rsidTr="00901E4F">
        <w:trPr>
          <w:trHeight w:val="630"/>
        </w:trPr>
        <w:tc>
          <w:tcPr>
            <w:tcW w:w="795" w:type="pct"/>
            <w:tcBorders>
              <w:top w:val="nil"/>
              <w:left w:val="single" w:sz="12" w:space="0" w:color="auto"/>
              <w:bottom w:val="nil"/>
              <w:right w:val="single" w:sz="8" w:space="0" w:color="auto"/>
            </w:tcBorders>
            <w:shd w:val="clear" w:color="auto" w:fill="auto"/>
            <w:hideMark/>
          </w:tcPr>
          <w:p w14:paraId="5492A22C" w14:textId="77777777" w:rsidR="00901E4F" w:rsidRDefault="00901E4F">
            <w:pPr>
              <w:rPr>
                <w:rFonts w:ascii="Calibri" w:hAnsi="Calibri" w:cs="Calibri"/>
                <w:sz w:val="22"/>
                <w:szCs w:val="22"/>
              </w:rPr>
            </w:pPr>
            <w:r>
              <w:rPr>
                <w:rFonts w:ascii="Calibri" w:hAnsi="Calibri" w:cs="Calibri"/>
                <w:sz w:val="22"/>
                <w:szCs w:val="22"/>
              </w:rPr>
              <w:t>Záruka</w:t>
            </w:r>
          </w:p>
        </w:tc>
        <w:tc>
          <w:tcPr>
            <w:tcW w:w="1955" w:type="pct"/>
            <w:tcBorders>
              <w:top w:val="nil"/>
              <w:left w:val="nil"/>
              <w:bottom w:val="single" w:sz="4" w:space="0" w:color="auto"/>
              <w:right w:val="single" w:sz="8" w:space="0" w:color="auto"/>
            </w:tcBorders>
            <w:shd w:val="clear" w:color="auto" w:fill="auto"/>
            <w:hideMark/>
          </w:tcPr>
          <w:p w14:paraId="18644EC0" w14:textId="77777777" w:rsidR="00901E4F" w:rsidRDefault="00901E4F">
            <w:pPr>
              <w:rPr>
                <w:rFonts w:ascii="Calibri" w:hAnsi="Calibri" w:cs="Calibri"/>
                <w:sz w:val="22"/>
                <w:szCs w:val="22"/>
              </w:rPr>
            </w:pPr>
            <w:r>
              <w:rPr>
                <w:rFonts w:ascii="Calibri" w:hAnsi="Calibri" w:cs="Calibri"/>
                <w:sz w:val="22"/>
                <w:szCs w:val="22"/>
              </w:rPr>
              <w:t>Záruka v ČR.</w:t>
            </w:r>
          </w:p>
        </w:tc>
        <w:tc>
          <w:tcPr>
            <w:tcW w:w="380" w:type="pct"/>
            <w:tcBorders>
              <w:top w:val="nil"/>
              <w:left w:val="nil"/>
              <w:bottom w:val="single" w:sz="4" w:space="0" w:color="auto"/>
              <w:right w:val="double" w:sz="6" w:space="0" w:color="auto"/>
            </w:tcBorders>
            <w:shd w:val="clear" w:color="auto" w:fill="auto"/>
            <w:vAlign w:val="center"/>
            <w:hideMark/>
          </w:tcPr>
          <w:p w14:paraId="5B2DD5BE" w14:textId="77777777" w:rsidR="00901E4F" w:rsidRDefault="00901E4F">
            <w:pPr>
              <w:jc w:val="center"/>
              <w:rPr>
                <w:rFonts w:ascii="Calibri" w:hAnsi="Calibri" w:cs="Calibri"/>
                <w:sz w:val="22"/>
                <w:szCs w:val="22"/>
              </w:rPr>
            </w:pPr>
            <w:r>
              <w:rPr>
                <w:rFonts w:ascii="Calibri" w:hAnsi="Calibri" w:cs="Calibri"/>
                <w:sz w:val="22"/>
                <w:szCs w:val="22"/>
              </w:rPr>
              <w:t>min.</w:t>
            </w:r>
          </w:p>
        </w:tc>
        <w:tc>
          <w:tcPr>
            <w:tcW w:w="847" w:type="pct"/>
            <w:tcBorders>
              <w:top w:val="single" w:sz="8" w:space="0" w:color="auto"/>
              <w:left w:val="nil"/>
              <w:bottom w:val="nil"/>
              <w:right w:val="nil"/>
            </w:tcBorders>
            <w:shd w:val="clear" w:color="auto" w:fill="auto"/>
            <w:hideMark/>
          </w:tcPr>
          <w:p w14:paraId="086DCA7F" w14:textId="77777777" w:rsidR="00901E4F" w:rsidRDefault="00901E4F">
            <w:pPr>
              <w:rPr>
                <w:rFonts w:ascii="Calibri" w:hAnsi="Calibri" w:cs="Calibri"/>
                <w:sz w:val="22"/>
                <w:szCs w:val="22"/>
              </w:rPr>
            </w:pPr>
            <w:r>
              <w:rPr>
                <w:rFonts w:ascii="Calibri" w:hAnsi="Calibri" w:cs="Calibri"/>
                <w:sz w:val="22"/>
                <w:szCs w:val="22"/>
              </w:rPr>
              <w:t>2 roky</w:t>
            </w:r>
          </w:p>
        </w:tc>
        <w:tc>
          <w:tcPr>
            <w:tcW w:w="982" w:type="pct"/>
            <w:tcBorders>
              <w:top w:val="single" w:sz="8" w:space="0" w:color="auto"/>
              <w:left w:val="double" w:sz="6" w:space="0" w:color="auto"/>
              <w:bottom w:val="nil"/>
              <w:right w:val="single" w:sz="12" w:space="0" w:color="auto"/>
            </w:tcBorders>
            <w:shd w:val="clear" w:color="000000" w:fill="FFFF00"/>
            <w:hideMark/>
          </w:tcPr>
          <w:p w14:paraId="76FE0FE6" w14:textId="77777777" w:rsidR="00901E4F" w:rsidRDefault="00901E4F">
            <w:pPr>
              <w:rPr>
                <w:rFonts w:ascii="Calibri" w:hAnsi="Calibri" w:cs="Calibri"/>
                <w:sz w:val="22"/>
                <w:szCs w:val="22"/>
              </w:rPr>
            </w:pPr>
            <w:r>
              <w:rPr>
                <w:rFonts w:ascii="Calibri" w:hAnsi="Calibri" w:cs="Calibri"/>
                <w:sz w:val="22"/>
                <w:szCs w:val="22"/>
              </w:rPr>
              <w:t>ano</w:t>
            </w:r>
          </w:p>
        </w:tc>
        <w:tc>
          <w:tcPr>
            <w:tcW w:w="42" w:type="pct"/>
            <w:vAlign w:val="center"/>
            <w:hideMark/>
          </w:tcPr>
          <w:p w14:paraId="0BB4D961" w14:textId="77777777" w:rsidR="00901E4F" w:rsidRDefault="00901E4F">
            <w:pPr>
              <w:rPr>
                <w:sz w:val="20"/>
                <w:szCs w:val="20"/>
              </w:rPr>
            </w:pPr>
          </w:p>
        </w:tc>
      </w:tr>
      <w:tr w:rsidR="00901E4F" w14:paraId="43378442" w14:textId="77777777" w:rsidTr="00901E4F">
        <w:trPr>
          <w:trHeight w:val="630"/>
        </w:trPr>
        <w:tc>
          <w:tcPr>
            <w:tcW w:w="795" w:type="pct"/>
            <w:tcBorders>
              <w:top w:val="nil"/>
              <w:left w:val="single" w:sz="12" w:space="0" w:color="auto"/>
              <w:bottom w:val="nil"/>
              <w:right w:val="single" w:sz="8" w:space="0" w:color="auto"/>
            </w:tcBorders>
            <w:shd w:val="clear" w:color="auto" w:fill="auto"/>
            <w:hideMark/>
          </w:tcPr>
          <w:p w14:paraId="1923026F" w14:textId="77777777" w:rsidR="00901E4F" w:rsidRDefault="00901E4F">
            <w:pPr>
              <w:rPr>
                <w:rFonts w:ascii="Calibri" w:hAnsi="Calibri" w:cs="Calibri"/>
                <w:sz w:val="22"/>
                <w:szCs w:val="22"/>
              </w:rPr>
            </w:pPr>
            <w:r>
              <w:rPr>
                <w:rFonts w:ascii="Calibri" w:hAnsi="Calibri" w:cs="Calibri"/>
                <w:sz w:val="22"/>
                <w:szCs w:val="22"/>
              </w:rPr>
              <w:t> </w:t>
            </w:r>
          </w:p>
        </w:tc>
        <w:tc>
          <w:tcPr>
            <w:tcW w:w="1955" w:type="pct"/>
            <w:tcBorders>
              <w:top w:val="nil"/>
              <w:left w:val="nil"/>
              <w:bottom w:val="single" w:sz="4" w:space="0" w:color="auto"/>
              <w:right w:val="single" w:sz="8" w:space="0" w:color="auto"/>
            </w:tcBorders>
            <w:shd w:val="clear" w:color="auto" w:fill="auto"/>
            <w:hideMark/>
          </w:tcPr>
          <w:p w14:paraId="6F211C3C" w14:textId="77777777" w:rsidR="00901E4F" w:rsidRDefault="00901E4F">
            <w:pPr>
              <w:rPr>
                <w:rFonts w:ascii="Calibri" w:hAnsi="Calibri" w:cs="Calibri"/>
                <w:sz w:val="22"/>
                <w:szCs w:val="22"/>
              </w:rPr>
            </w:pPr>
            <w:r>
              <w:rPr>
                <w:rFonts w:ascii="Calibri" w:hAnsi="Calibri" w:cs="Calibri"/>
                <w:sz w:val="22"/>
                <w:szCs w:val="22"/>
              </w:rPr>
              <w:t xml:space="preserve">Záruka mimo </w:t>
            </w:r>
            <w:proofErr w:type="gramStart"/>
            <w:r>
              <w:rPr>
                <w:rFonts w:ascii="Calibri" w:hAnsi="Calibri" w:cs="Calibri"/>
                <w:sz w:val="22"/>
                <w:szCs w:val="22"/>
              </w:rPr>
              <w:t>ČR - definice</w:t>
            </w:r>
            <w:proofErr w:type="gramEnd"/>
            <w:r>
              <w:rPr>
                <w:rFonts w:ascii="Calibri" w:hAnsi="Calibri" w:cs="Calibri"/>
                <w:sz w:val="22"/>
                <w:szCs w:val="22"/>
              </w:rPr>
              <w:t xml:space="preserve"> oblastí.</w:t>
            </w:r>
          </w:p>
        </w:tc>
        <w:tc>
          <w:tcPr>
            <w:tcW w:w="380" w:type="pct"/>
            <w:tcBorders>
              <w:top w:val="nil"/>
              <w:left w:val="nil"/>
              <w:bottom w:val="single" w:sz="4" w:space="0" w:color="auto"/>
              <w:right w:val="double" w:sz="6" w:space="0" w:color="auto"/>
            </w:tcBorders>
            <w:shd w:val="clear" w:color="auto" w:fill="auto"/>
            <w:vAlign w:val="center"/>
            <w:hideMark/>
          </w:tcPr>
          <w:p w14:paraId="644527AD" w14:textId="77777777" w:rsidR="00901E4F" w:rsidRDefault="00901E4F">
            <w:pPr>
              <w:jc w:val="center"/>
              <w:rPr>
                <w:rFonts w:ascii="Calibri" w:hAnsi="Calibri" w:cs="Calibri"/>
                <w:sz w:val="22"/>
                <w:szCs w:val="22"/>
              </w:rPr>
            </w:pPr>
            <w:r>
              <w:rPr>
                <w:rFonts w:ascii="Calibri" w:hAnsi="Calibri" w:cs="Calibri"/>
                <w:sz w:val="22"/>
                <w:szCs w:val="22"/>
              </w:rPr>
              <w:t>min.</w:t>
            </w:r>
          </w:p>
        </w:tc>
        <w:tc>
          <w:tcPr>
            <w:tcW w:w="847" w:type="pct"/>
            <w:tcBorders>
              <w:top w:val="single" w:sz="4" w:space="0" w:color="auto"/>
              <w:left w:val="nil"/>
              <w:bottom w:val="single" w:sz="4" w:space="0" w:color="auto"/>
              <w:right w:val="double" w:sz="6" w:space="0" w:color="auto"/>
            </w:tcBorders>
            <w:shd w:val="clear" w:color="auto" w:fill="auto"/>
            <w:hideMark/>
          </w:tcPr>
          <w:p w14:paraId="4C0FF7AE" w14:textId="77777777" w:rsidR="00901E4F" w:rsidRDefault="00901E4F">
            <w:pPr>
              <w:rPr>
                <w:rFonts w:ascii="Calibri" w:hAnsi="Calibri" w:cs="Calibri"/>
                <w:sz w:val="22"/>
                <w:szCs w:val="22"/>
              </w:rPr>
            </w:pPr>
            <w:r>
              <w:rPr>
                <w:rFonts w:ascii="Calibri" w:hAnsi="Calibri" w:cs="Calibri"/>
                <w:sz w:val="22"/>
                <w:szCs w:val="22"/>
              </w:rPr>
              <w:t>ne</w:t>
            </w:r>
          </w:p>
        </w:tc>
        <w:tc>
          <w:tcPr>
            <w:tcW w:w="982" w:type="pct"/>
            <w:tcBorders>
              <w:top w:val="single" w:sz="4" w:space="0" w:color="auto"/>
              <w:left w:val="nil"/>
              <w:bottom w:val="single" w:sz="4" w:space="0" w:color="auto"/>
              <w:right w:val="single" w:sz="12" w:space="0" w:color="auto"/>
            </w:tcBorders>
            <w:shd w:val="clear" w:color="000000" w:fill="FFFF00"/>
            <w:hideMark/>
          </w:tcPr>
          <w:p w14:paraId="1B9DB444" w14:textId="77777777" w:rsidR="00901E4F" w:rsidRDefault="00901E4F">
            <w:pPr>
              <w:rPr>
                <w:rFonts w:ascii="Calibri" w:hAnsi="Calibri" w:cs="Calibri"/>
                <w:sz w:val="22"/>
                <w:szCs w:val="22"/>
              </w:rPr>
            </w:pPr>
            <w:r>
              <w:rPr>
                <w:rFonts w:ascii="Calibri" w:hAnsi="Calibri" w:cs="Calibri"/>
                <w:sz w:val="22"/>
                <w:szCs w:val="22"/>
              </w:rPr>
              <w:t>ne</w:t>
            </w:r>
          </w:p>
        </w:tc>
        <w:tc>
          <w:tcPr>
            <w:tcW w:w="42" w:type="pct"/>
            <w:vAlign w:val="center"/>
            <w:hideMark/>
          </w:tcPr>
          <w:p w14:paraId="0C195751" w14:textId="77777777" w:rsidR="00901E4F" w:rsidRDefault="00901E4F">
            <w:pPr>
              <w:rPr>
                <w:sz w:val="20"/>
                <w:szCs w:val="20"/>
              </w:rPr>
            </w:pPr>
          </w:p>
        </w:tc>
      </w:tr>
      <w:tr w:rsidR="00901E4F" w14:paraId="42262C63" w14:textId="77777777" w:rsidTr="00901E4F">
        <w:trPr>
          <w:trHeight w:val="2115"/>
        </w:trPr>
        <w:tc>
          <w:tcPr>
            <w:tcW w:w="795" w:type="pct"/>
            <w:tcBorders>
              <w:top w:val="nil"/>
              <w:left w:val="single" w:sz="12" w:space="0" w:color="auto"/>
              <w:bottom w:val="single" w:sz="8" w:space="0" w:color="auto"/>
              <w:right w:val="single" w:sz="8" w:space="0" w:color="auto"/>
            </w:tcBorders>
            <w:shd w:val="clear" w:color="auto" w:fill="auto"/>
            <w:hideMark/>
          </w:tcPr>
          <w:p w14:paraId="43D9BCE8" w14:textId="77777777" w:rsidR="00901E4F" w:rsidRDefault="00901E4F">
            <w:pPr>
              <w:jc w:val="center"/>
              <w:rPr>
                <w:rFonts w:ascii="Calibri" w:hAnsi="Calibri" w:cs="Calibri"/>
                <w:sz w:val="22"/>
                <w:szCs w:val="22"/>
              </w:rPr>
            </w:pPr>
            <w:r>
              <w:rPr>
                <w:rFonts w:ascii="Calibri" w:hAnsi="Calibri" w:cs="Calibri"/>
                <w:sz w:val="22"/>
                <w:szCs w:val="22"/>
              </w:rPr>
              <w:t> </w:t>
            </w:r>
          </w:p>
        </w:tc>
        <w:tc>
          <w:tcPr>
            <w:tcW w:w="1955" w:type="pct"/>
            <w:tcBorders>
              <w:top w:val="nil"/>
              <w:left w:val="nil"/>
              <w:bottom w:val="single" w:sz="8" w:space="0" w:color="auto"/>
              <w:right w:val="single" w:sz="8" w:space="0" w:color="auto"/>
            </w:tcBorders>
            <w:shd w:val="clear" w:color="auto" w:fill="auto"/>
            <w:hideMark/>
          </w:tcPr>
          <w:p w14:paraId="1330DD76" w14:textId="77777777" w:rsidR="00901E4F" w:rsidRDefault="00901E4F">
            <w:pPr>
              <w:rPr>
                <w:rFonts w:ascii="Calibri" w:hAnsi="Calibri" w:cs="Calibri"/>
                <w:sz w:val="22"/>
                <w:szCs w:val="22"/>
              </w:rPr>
            </w:pPr>
            <w:r>
              <w:rPr>
                <w:rFonts w:ascii="Calibri" w:hAnsi="Calibri" w:cs="Calibri"/>
                <w:sz w:val="22"/>
                <w:szCs w:val="22"/>
              </w:rPr>
              <w:t xml:space="preserve">Řešení </w:t>
            </w:r>
            <w:proofErr w:type="gramStart"/>
            <w:r>
              <w:rPr>
                <w:rFonts w:ascii="Calibri" w:hAnsi="Calibri" w:cs="Calibri"/>
                <w:sz w:val="22"/>
                <w:szCs w:val="22"/>
              </w:rPr>
              <w:t>závad - rozsah</w:t>
            </w:r>
            <w:proofErr w:type="gramEnd"/>
            <w:r>
              <w:rPr>
                <w:rFonts w:ascii="Calibri" w:hAnsi="Calibri" w:cs="Calibri"/>
                <w:sz w:val="22"/>
                <w:szCs w:val="22"/>
              </w:rPr>
              <w:t xml:space="preserve">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w:t>
            </w:r>
            <w:proofErr w:type="spellStart"/>
            <w:r>
              <w:rPr>
                <w:rFonts w:ascii="Calibri" w:hAnsi="Calibri" w:cs="Calibri"/>
                <w:sz w:val="22"/>
                <w:szCs w:val="22"/>
              </w:rPr>
              <w:t>účastnícký</w:t>
            </w:r>
            <w:proofErr w:type="spellEnd"/>
            <w:r>
              <w:rPr>
                <w:rFonts w:ascii="Calibri" w:hAnsi="Calibri" w:cs="Calibri"/>
                <w:sz w:val="22"/>
                <w:szCs w:val="22"/>
              </w:rPr>
              <w:t xml:space="preserve"> tarif) v českém /slovenském jazyce musí být dostupná v pracovní dny minimálně v době od 8:00 do 17:00 hod. </w:t>
            </w:r>
          </w:p>
        </w:tc>
        <w:tc>
          <w:tcPr>
            <w:tcW w:w="380" w:type="pct"/>
            <w:tcBorders>
              <w:top w:val="nil"/>
              <w:left w:val="nil"/>
              <w:bottom w:val="single" w:sz="8" w:space="0" w:color="auto"/>
              <w:right w:val="double" w:sz="6" w:space="0" w:color="auto"/>
            </w:tcBorders>
            <w:shd w:val="clear" w:color="auto" w:fill="auto"/>
            <w:vAlign w:val="center"/>
            <w:hideMark/>
          </w:tcPr>
          <w:p w14:paraId="54ACAECA"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nil"/>
              <w:left w:val="nil"/>
              <w:bottom w:val="single" w:sz="8" w:space="0" w:color="auto"/>
              <w:right w:val="nil"/>
            </w:tcBorders>
            <w:shd w:val="clear" w:color="auto" w:fill="auto"/>
            <w:hideMark/>
          </w:tcPr>
          <w:p w14:paraId="7FBA5AB0" w14:textId="77777777" w:rsidR="00901E4F" w:rsidRDefault="00901E4F">
            <w:pPr>
              <w:rPr>
                <w:rFonts w:ascii="Calibri" w:hAnsi="Calibri" w:cs="Calibri"/>
                <w:sz w:val="22"/>
                <w:szCs w:val="22"/>
              </w:rPr>
            </w:pPr>
            <w:r>
              <w:rPr>
                <w:rFonts w:ascii="Calibri" w:hAnsi="Calibri" w:cs="Calibri"/>
                <w:sz w:val="22"/>
                <w:szCs w:val="22"/>
              </w:rPr>
              <w:t>ano</w:t>
            </w:r>
          </w:p>
        </w:tc>
        <w:tc>
          <w:tcPr>
            <w:tcW w:w="982" w:type="pct"/>
            <w:tcBorders>
              <w:top w:val="nil"/>
              <w:left w:val="double" w:sz="6" w:space="0" w:color="auto"/>
              <w:bottom w:val="nil"/>
              <w:right w:val="single" w:sz="12" w:space="0" w:color="auto"/>
            </w:tcBorders>
            <w:shd w:val="clear" w:color="000000" w:fill="FFFF00"/>
            <w:hideMark/>
          </w:tcPr>
          <w:p w14:paraId="2B3613F1" w14:textId="77777777" w:rsidR="00901E4F" w:rsidRDefault="00901E4F">
            <w:pPr>
              <w:rPr>
                <w:rFonts w:ascii="Calibri" w:hAnsi="Calibri" w:cs="Calibri"/>
                <w:b/>
                <w:bCs/>
                <w:sz w:val="22"/>
                <w:szCs w:val="22"/>
              </w:rPr>
            </w:pPr>
            <w:r>
              <w:rPr>
                <w:rFonts w:ascii="Calibri" w:hAnsi="Calibri" w:cs="Calibri"/>
                <w:b/>
                <w:bCs/>
                <w:sz w:val="22"/>
                <w:szCs w:val="22"/>
              </w:rPr>
              <w:t>ano</w:t>
            </w:r>
          </w:p>
        </w:tc>
        <w:tc>
          <w:tcPr>
            <w:tcW w:w="42" w:type="pct"/>
            <w:vAlign w:val="center"/>
            <w:hideMark/>
          </w:tcPr>
          <w:p w14:paraId="54A7BDB8" w14:textId="77777777" w:rsidR="00901E4F" w:rsidRDefault="00901E4F">
            <w:pPr>
              <w:rPr>
                <w:sz w:val="20"/>
                <w:szCs w:val="20"/>
              </w:rPr>
            </w:pPr>
          </w:p>
        </w:tc>
      </w:tr>
      <w:tr w:rsidR="00901E4F" w14:paraId="25E3EACF" w14:textId="77777777" w:rsidTr="00901E4F">
        <w:trPr>
          <w:trHeight w:val="1515"/>
        </w:trPr>
        <w:tc>
          <w:tcPr>
            <w:tcW w:w="795" w:type="pct"/>
            <w:tcBorders>
              <w:top w:val="nil"/>
              <w:left w:val="single" w:sz="12" w:space="0" w:color="auto"/>
              <w:bottom w:val="nil"/>
              <w:right w:val="single" w:sz="8" w:space="0" w:color="auto"/>
            </w:tcBorders>
            <w:shd w:val="clear" w:color="auto" w:fill="auto"/>
            <w:hideMark/>
          </w:tcPr>
          <w:p w14:paraId="4D81A50F" w14:textId="77777777" w:rsidR="00901E4F" w:rsidRDefault="00901E4F">
            <w:pPr>
              <w:rPr>
                <w:rFonts w:ascii="Calibri" w:hAnsi="Calibri" w:cs="Calibri"/>
                <w:sz w:val="22"/>
                <w:szCs w:val="22"/>
              </w:rPr>
            </w:pPr>
            <w:r>
              <w:rPr>
                <w:rFonts w:ascii="Calibri" w:hAnsi="Calibri" w:cs="Calibri"/>
                <w:sz w:val="22"/>
                <w:szCs w:val="22"/>
              </w:rPr>
              <w:t xml:space="preserve">Ostatní </w:t>
            </w:r>
          </w:p>
        </w:tc>
        <w:tc>
          <w:tcPr>
            <w:tcW w:w="1955" w:type="pct"/>
            <w:tcBorders>
              <w:top w:val="nil"/>
              <w:left w:val="nil"/>
              <w:bottom w:val="single" w:sz="4" w:space="0" w:color="auto"/>
              <w:right w:val="single" w:sz="8" w:space="0" w:color="auto"/>
            </w:tcBorders>
            <w:shd w:val="clear" w:color="auto" w:fill="auto"/>
            <w:hideMark/>
          </w:tcPr>
          <w:p w14:paraId="01A61B27" w14:textId="77777777" w:rsidR="00901E4F" w:rsidRDefault="00901E4F">
            <w:pPr>
              <w:rPr>
                <w:rFonts w:ascii="Calibri" w:hAnsi="Calibri" w:cs="Calibri"/>
                <w:sz w:val="22"/>
                <w:szCs w:val="22"/>
              </w:rPr>
            </w:pPr>
            <w:r>
              <w:rPr>
                <w:rFonts w:ascii="Calibri" w:hAnsi="Calibri" w:cs="Calibri"/>
                <w:sz w:val="22"/>
                <w:szCs w:val="22"/>
              </w:rPr>
              <w:t xml:space="preserve">Zařízení musí splňovat: Nařízení Komise EU č. 617/2013 ze dne 26. června 2013, kterým se provádí směrnice Evropského parlamentu a Rady 2009/2009/125/ES, soulad s direktivou </w:t>
            </w:r>
            <w:proofErr w:type="spellStart"/>
            <w:r>
              <w:rPr>
                <w:rFonts w:ascii="Calibri" w:hAnsi="Calibri" w:cs="Calibri"/>
                <w:sz w:val="22"/>
                <w:szCs w:val="22"/>
              </w:rPr>
              <w:t>RoHS</w:t>
            </w:r>
            <w:proofErr w:type="spellEnd"/>
            <w:r>
              <w:rPr>
                <w:rFonts w:ascii="Calibri" w:hAnsi="Calibri" w:cs="Calibri"/>
                <w:sz w:val="22"/>
                <w:szCs w:val="22"/>
              </w:rPr>
              <w:t xml:space="preserve"> (</w:t>
            </w:r>
            <w:proofErr w:type="spellStart"/>
            <w:r>
              <w:rPr>
                <w:rFonts w:ascii="Calibri" w:hAnsi="Calibri" w:cs="Calibri"/>
                <w:sz w:val="22"/>
                <w:szCs w:val="22"/>
              </w:rPr>
              <w:t>Restriction</w:t>
            </w:r>
            <w:proofErr w:type="spellEnd"/>
            <w:r>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Use </w:t>
            </w:r>
            <w:proofErr w:type="spellStart"/>
            <w:r>
              <w:rPr>
                <w:rFonts w:ascii="Calibri" w:hAnsi="Calibri" w:cs="Calibri"/>
                <w:sz w:val="22"/>
                <w:szCs w:val="22"/>
              </w:rPr>
              <w:t>of</w:t>
            </w:r>
            <w:proofErr w:type="spellEnd"/>
            <w:r>
              <w:rPr>
                <w:rFonts w:ascii="Calibri" w:hAnsi="Calibri" w:cs="Calibri"/>
                <w:sz w:val="22"/>
                <w:szCs w:val="22"/>
              </w:rPr>
              <w:t xml:space="preserve"> </w:t>
            </w:r>
            <w:proofErr w:type="spellStart"/>
            <w:r>
              <w:rPr>
                <w:rFonts w:ascii="Calibri" w:hAnsi="Calibri" w:cs="Calibri"/>
                <w:sz w:val="22"/>
                <w:szCs w:val="22"/>
              </w:rPr>
              <w:t>Certain</w:t>
            </w:r>
            <w:proofErr w:type="spellEnd"/>
            <w:r>
              <w:rPr>
                <w:rFonts w:ascii="Calibri" w:hAnsi="Calibri" w:cs="Calibri"/>
                <w:sz w:val="22"/>
                <w:szCs w:val="22"/>
              </w:rPr>
              <w:t xml:space="preserve"> </w:t>
            </w:r>
            <w:proofErr w:type="spellStart"/>
            <w:r>
              <w:rPr>
                <w:rFonts w:ascii="Calibri" w:hAnsi="Calibri" w:cs="Calibri"/>
                <w:sz w:val="22"/>
                <w:szCs w:val="22"/>
              </w:rPr>
              <w:t>Hazardous</w:t>
            </w:r>
            <w:proofErr w:type="spellEnd"/>
            <w:r>
              <w:rPr>
                <w:rFonts w:ascii="Calibri" w:hAnsi="Calibri" w:cs="Calibri"/>
                <w:sz w:val="22"/>
                <w:szCs w:val="22"/>
              </w:rPr>
              <w:t xml:space="preserve"> </w:t>
            </w:r>
            <w:proofErr w:type="spellStart"/>
            <w:r>
              <w:rPr>
                <w:rFonts w:ascii="Calibri" w:hAnsi="Calibri" w:cs="Calibri"/>
                <w:sz w:val="22"/>
                <w:szCs w:val="22"/>
              </w:rPr>
              <w:t>Substances</w:t>
            </w:r>
            <w:proofErr w:type="spellEnd"/>
            <w:r>
              <w:rPr>
                <w:rFonts w:ascii="Calibri" w:hAnsi="Calibri" w:cs="Calibri"/>
                <w:sz w:val="22"/>
                <w:szCs w:val="22"/>
              </w:rPr>
              <w:t>), certifikát EPEAT (</w:t>
            </w:r>
            <w:proofErr w:type="spellStart"/>
            <w:r>
              <w:rPr>
                <w:rFonts w:ascii="Calibri" w:hAnsi="Calibri" w:cs="Calibri"/>
                <w:sz w:val="22"/>
                <w:szCs w:val="22"/>
              </w:rPr>
              <w:t>Electronic</w:t>
            </w:r>
            <w:proofErr w:type="spellEnd"/>
            <w:r>
              <w:rPr>
                <w:rFonts w:ascii="Calibri" w:hAnsi="Calibri" w:cs="Calibri"/>
                <w:sz w:val="22"/>
                <w:szCs w:val="22"/>
              </w:rPr>
              <w:t xml:space="preserve"> </w:t>
            </w:r>
            <w:proofErr w:type="spellStart"/>
            <w:r>
              <w:rPr>
                <w:rFonts w:ascii="Calibri" w:hAnsi="Calibri" w:cs="Calibri"/>
                <w:sz w:val="22"/>
                <w:szCs w:val="22"/>
              </w:rPr>
              <w:t>Product</w:t>
            </w:r>
            <w:proofErr w:type="spellEnd"/>
            <w:r>
              <w:rPr>
                <w:rFonts w:ascii="Calibri" w:hAnsi="Calibri" w:cs="Calibri"/>
                <w:sz w:val="22"/>
                <w:szCs w:val="22"/>
              </w:rPr>
              <w:t xml:space="preserve"> </w:t>
            </w:r>
            <w:proofErr w:type="spellStart"/>
            <w:r>
              <w:rPr>
                <w:rFonts w:ascii="Calibri" w:hAnsi="Calibri" w:cs="Calibri"/>
                <w:sz w:val="22"/>
                <w:szCs w:val="22"/>
              </w:rPr>
              <w:t>Environmental</w:t>
            </w:r>
            <w:proofErr w:type="spellEnd"/>
            <w:r>
              <w:rPr>
                <w:rFonts w:ascii="Calibri" w:hAnsi="Calibri" w:cs="Calibri"/>
                <w:sz w:val="22"/>
                <w:szCs w:val="22"/>
              </w:rPr>
              <w:t xml:space="preserve"> </w:t>
            </w:r>
            <w:proofErr w:type="spellStart"/>
            <w:r>
              <w:rPr>
                <w:rFonts w:ascii="Calibri" w:hAnsi="Calibri" w:cs="Calibri"/>
                <w:sz w:val="22"/>
                <w:szCs w:val="22"/>
              </w:rPr>
              <w:t>Assessment</w:t>
            </w:r>
            <w:proofErr w:type="spellEnd"/>
            <w:r>
              <w:rPr>
                <w:rFonts w:ascii="Calibri" w:hAnsi="Calibri" w:cs="Calibri"/>
                <w:sz w:val="22"/>
                <w:szCs w:val="22"/>
              </w:rPr>
              <w:t xml:space="preserve"> </w:t>
            </w:r>
            <w:proofErr w:type="spellStart"/>
            <w:r>
              <w:rPr>
                <w:rFonts w:ascii="Calibri" w:hAnsi="Calibri" w:cs="Calibri"/>
                <w:sz w:val="22"/>
                <w:szCs w:val="22"/>
              </w:rPr>
              <w:t>Tool</w:t>
            </w:r>
            <w:proofErr w:type="spellEnd"/>
            <w:r>
              <w:rPr>
                <w:rFonts w:ascii="Calibri" w:hAnsi="Calibri" w:cs="Calibri"/>
                <w:sz w:val="22"/>
                <w:szCs w:val="22"/>
              </w:rPr>
              <w:t>)</w:t>
            </w:r>
          </w:p>
        </w:tc>
        <w:tc>
          <w:tcPr>
            <w:tcW w:w="380" w:type="pct"/>
            <w:tcBorders>
              <w:top w:val="nil"/>
              <w:left w:val="nil"/>
              <w:bottom w:val="single" w:sz="4" w:space="0" w:color="auto"/>
              <w:right w:val="double" w:sz="6" w:space="0" w:color="auto"/>
            </w:tcBorders>
            <w:shd w:val="clear" w:color="auto" w:fill="auto"/>
            <w:vAlign w:val="center"/>
            <w:hideMark/>
          </w:tcPr>
          <w:p w14:paraId="5C6C4D74"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nil"/>
              <w:left w:val="single" w:sz="8" w:space="0" w:color="auto"/>
              <w:bottom w:val="single" w:sz="4" w:space="0" w:color="auto"/>
              <w:right w:val="nil"/>
            </w:tcBorders>
            <w:shd w:val="clear" w:color="auto" w:fill="auto"/>
            <w:hideMark/>
          </w:tcPr>
          <w:p w14:paraId="41E45460" w14:textId="77777777" w:rsidR="00901E4F" w:rsidRDefault="00901E4F">
            <w:pPr>
              <w:rPr>
                <w:rFonts w:ascii="Calibri" w:hAnsi="Calibri" w:cs="Calibri"/>
                <w:sz w:val="22"/>
                <w:szCs w:val="22"/>
              </w:rPr>
            </w:pPr>
            <w:r>
              <w:rPr>
                <w:rFonts w:ascii="Calibri" w:hAnsi="Calibri" w:cs="Calibri"/>
                <w:sz w:val="22"/>
                <w:szCs w:val="22"/>
              </w:rPr>
              <w:t>ano</w:t>
            </w:r>
          </w:p>
        </w:tc>
        <w:tc>
          <w:tcPr>
            <w:tcW w:w="982" w:type="pct"/>
            <w:tcBorders>
              <w:top w:val="single" w:sz="8" w:space="0" w:color="auto"/>
              <w:left w:val="double" w:sz="6" w:space="0" w:color="auto"/>
              <w:bottom w:val="single" w:sz="4" w:space="0" w:color="auto"/>
              <w:right w:val="single" w:sz="12" w:space="0" w:color="auto"/>
            </w:tcBorders>
            <w:shd w:val="clear" w:color="000000" w:fill="FFFF00"/>
            <w:hideMark/>
          </w:tcPr>
          <w:p w14:paraId="6F85C821" w14:textId="77777777" w:rsidR="00901E4F" w:rsidRDefault="00901E4F">
            <w:pPr>
              <w:rPr>
                <w:rFonts w:ascii="Calibri" w:hAnsi="Calibri" w:cs="Calibri"/>
                <w:b/>
                <w:bCs/>
                <w:sz w:val="22"/>
                <w:szCs w:val="22"/>
              </w:rPr>
            </w:pPr>
            <w:r>
              <w:rPr>
                <w:rFonts w:ascii="Calibri" w:hAnsi="Calibri" w:cs="Calibri"/>
                <w:b/>
                <w:bCs/>
                <w:sz w:val="22"/>
                <w:szCs w:val="22"/>
              </w:rPr>
              <w:t>Ano</w:t>
            </w:r>
          </w:p>
        </w:tc>
        <w:tc>
          <w:tcPr>
            <w:tcW w:w="42" w:type="pct"/>
            <w:vAlign w:val="center"/>
            <w:hideMark/>
          </w:tcPr>
          <w:p w14:paraId="7A5B9159" w14:textId="77777777" w:rsidR="00901E4F" w:rsidRDefault="00901E4F">
            <w:pPr>
              <w:rPr>
                <w:sz w:val="20"/>
                <w:szCs w:val="20"/>
              </w:rPr>
            </w:pPr>
          </w:p>
        </w:tc>
      </w:tr>
      <w:tr w:rsidR="00901E4F" w14:paraId="411B962D" w14:textId="77777777" w:rsidTr="00901E4F">
        <w:trPr>
          <w:trHeight w:val="315"/>
        </w:trPr>
        <w:tc>
          <w:tcPr>
            <w:tcW w:w="795" w:type="pct"/>
            <w:tcBorders>
              <w:top w:val="nil"/>
              <w:left w:val="single" w:sz="12" w:space="0" w:color="auto"/>
              <w:bottom w:val="single" w:sz="12" w:space="0" w:color="auto"/>
              <w:right w:val="single" w:sz="8" w:space="0" w:color="auto"/>
            </w:tcBorders>
            <w:shd w:val="clear" w:color="auto" w:fill="auto"/>
            <w:hideMark/>
          </w:tcPr>
          <w:p w14:paraId="33B3DB32" w14:textId="77777777" w:rsidR="00901E4F" w:rsidRDefault="00901E4F">
            <w:pPr>
              <w:jc w:val="center"/>
              <w:rPr>
                <w:rFonts w:ascii="Calibri" w:hAnsi="Calibri" w:cs="Calibri"/>
                <w:sz w:val="22"/>
                <w:szCs w:val="22"/>
              </w:rPr>
            </w:pPr>
            <w:r>
              <w:rPr>
                <w:rFonts w:ascii="Calibri" w:hAnsi="Calibri" w:cs="Calibri"/>
                <w:sz w:val="22"/>
                <w:szCs w:val="22"/>
              </w:rPr>
              <w:t> </w:t>
            </w:r>
          </w:p>
        </w:tc>
        <w:tc>
          <w:tcPr>
            <w:tcW w:w="1955" w:type="pct"/>
            <w:tcBorders>
              <w:top w:val="nil"/>
              <w:left w:val="nil"/>
              <w:bottom w:val="single" w:sz="12" w:space="0" w:color="auto"/>
              <w:right w:val="single" w:sz="8" w:space="0" w:color="auto"/>
            </w:tcBorders>
            <w:shd w:val="clear" w:color="auto" w:fill="auto"/>
            <w:hideMark/>
          </w:tcPr>
          <w:p w14:paraId="15ECD865" w14:textId="77777777" w:rsidR="00901E4F" w:rsidRDefault="00901E4F">
            <w:pPr>
              <w:rPr>
                <w:rFonts w:ascii="Calibri" w:hAnsi="Calibri" w:cs="Calibri"/>
                <w:sz w:val="22"/>
                <w:szCs w:val="22"/>
              </w:rPr>
            </w:pPr>
            <w:r>
              <w:rPr>
                <w:rFonts w:ascii="Calibri" w:hAnsi="Calibri" w:cs="Calibri"/>
                <w:sz w:val="22"/>
                <w:szCs w:val="22"/>
              </w:rPr>
              <w:t> </w:t>
            </w:r>
          </w:p>
        </w:tc>
        <w:tc>
          <w:tcPr>
            <w:tcW w:w="380" w:type="pct"/>
            <w:tcBorders>
              <w:top w:val="nil"/>
              <w:left w:val="nil"/>
              <w:bottom w:val="single" w:sz="12" w:space="0" w:color="auto"/>
              <w:right w:val="double" w:sz="6" w:space="0" w:color="auto"/>
            </w:tcBorders>
            <w:shd w:val="clear" w:color="auto" w:fill="auto"/>
            <w:vAlign w:val="center"/>
            <w:hideMark/>
          </w:tcPr>
          <w:p w14:paraId="3A365C41" w14:textId="77777777" w:rsidR="00901E4F" w:rsidRDefault="00901E4F">
            <w:pPr>
              <w:jc w:val="center"/>
              <w:rPr>
                <w:rFonts w:ascii="Calibri" w:hAnsi="Calibri" w:cs="Calibri"/>
                <w:sz w:val="22"/>
                <w:szCs w:val="22"/>
              </w:rPr>
            </w:pPr>
            <w:r>
              <w:rPr>
                <w:rFonts w:ascii="Calibri" w:hAnsi="Calibri" w:cs="Calibri"/>
                <w:sz w:val="22"/>
                <w:szCs w:val="22"/>
              </w:rPr>
              <w:t> </w:t>
            </w:r>
          </w:p>
        </w:tc>
        <w:tc>
          <w:tcPr>
            <w:tcW w:w="847" w:type="pct"/>
            <w:tcBorders>
              <w:top w:val="nil"/>
              <w:left w:val="single" w:sz="8" w:space="0" w:color="auto"/>
              <w:bottom w:val="single" w:sz="12" w:space="0" w:color="auto"/>
              <w:right w:val="nil"/>
            </w:tcBorders>
            <w:shd w:val="clear" w:color="auto" w:fill="auto"/>
            <w:hideMark/>
          </w:tcPr>
          <w:p w14:paraId="527E00FB" w14:textId="77777777" w:rsidR="00901E4F" w:rsidRDefault="00901E4F">
            <w:pPr>
              <w:rPr>
                <w:rFonts w:ascii="Calibri" w:hAnsi="Calibri" w:cs="Calibri"/>
                <w:sz w:val="22"/>
                <w:szCs w:val="22"/>
              </w:rPr>
            </w:pPr>
            <w:r>
              <w:rPr>
                <w:rFonts w:ascii="Calibri" w:hAnsi="Calibri" w:cs="Calibri"/>
                <w:sz w:val="22"/>
                <w:szCs w:val="22"/>
              </w:rPr>
              <w:t> </w:t>
            </w:r>
          </w:p>
        </w:tc>
        <w:tc>
          <w:tcPr>
            <w:tcW w:w="982" w:type="pct"/>
            <w:tcBorders>
              <w:top w:val="single" w:sz="4" w:space="0" w:color="auto"/>
              <w:left w:val="double" w:sz="6" w:space="0" w:color="auto"/>
              <w:bottom w:val="single" w:sz="12" w:space="0" w:color="auto"/>
              <w:right w:val="single" w:sz="12" w:space="0" w:color="auto"/>
            </w:tcBorders>
            <w:shd w:val="clear" w:color="000000" w:fill="FFFF00"/>
            <w:hideMark/>
          </w:tcPr>
          <w:p w14:paraId="46F86F15" w14:textId="77777777" w:rsidR="00901E4F" w:rsidRDefault="00901E4F">
            <w:pPr>
              <w:rPr>
                <w:rFonts w:ascii="Calibri" w:hAnsi="Calibri" w:cs="Calibri"/>
                <w:b/>
                <w:bCs/>
                <w:sz w:val="22"/>
                <w:szCs w:val="22"/>
              </w:rPr>
            </w:pPr>
            <w:r>
              <w:rPr>
                <w:rFonts w:ascii="Calibri" w:hAnsi="Calibri" w:cs="Calibri"/>
                <w:b/>
                <w:bCs/>
                <w:sz w:val="22"/>
                <w:szCs w:val="22"/>
              </w:rPr>
              <w:t> </w:t>
            </w:r>
          </w:p>
        </w:tc>
        <w:tc>
          <w:tcPr>
            <w:tcW w:w="42" w:type="pct"/>
            <w:vAlign w:val="center"/>
            <w:hideMark/>
          </w:tcPr>
          <w:p w14:paraId="43CA408F" w14:textId="77777777" w:rsidR="00901E4F" w:rsidRDefault="00901E4F">
            <w:pPr>
              <w:rPr>
                <w:sz w:val="20"/>
                <w:szCs w:val="20"/>
              </w:rPr>
            </w:pPr>
          </w:p>
        </w:tc>
      </w:tr>
      <w:tr w:rsidR="00901E4F" w14:paraId="2251F776" w14:textId="77777777" w:rsidTr="00901E4F">
        <w:trPr>
          <w:trHeight w:val="960"/>
        </w:trPr>
        <w:tc>
          <w:tcPr>
            <w:tcW w:w="3976" w:type="pct"/>
            <w:gridSpan w:val="4"/>
            <w:tcBorders>
              <w:top w:val="single" w:sz="12" w:space="0" w:color="auto"/>
              <w:left w:val="nil"/>
              <w:bottom w:val="nil"/>
              <w:right w:val="nil"/>
            </w:tcBorders>
            <w:shd w:val="clear" w:color="auto" w:fill="auto"/>
            <w:hideMark/>
          </w:tcPr>
          <w:p w14:paraId="5A5D0939" w14:textId="77777777" w:rsidR="00901E4F" w:rsidRDefault="00901E4F">
            <w:pPr>
              <w:rPr>
                <w:rFonts w:ascii="Calibri" w:hAnsi="Calibri" w:cs="Calibri"/>
                <w:b/>
                <w:bCs/>
                <w:color w:val="FF0000"/>
                <w:sz w:val="22"/>
                <w:szCs w:val="22"/>
              </w:rPr>
            </w:pPr>
            <w:r>
              <w:rPr>
                <w:rFonts w:ascii="Calibri" w:hAnsi="Calibri" w:cs="Calibri"/>
                <w:b/>
                <w:bCs/>
                <w:color w:val="FF0000"/>
                <w:sz w:val="22"/>
                <w:szCs w:val="22"/>
              </w:rPr>
              <w:t>Splnění technických parametrů prostřednictvím redukcí je možné pouze po předchozím schválení zadavatelem prostřednictvím dotazu v průběhu zadávacího řízení.</w:t>
            </w:r>
          </w:p>
        </w:tc>
        <w:tc>
          <w:tcPr>
            <w:tcW w:w="982" w:type="pct"/>
            <w:tcBorders>
              <w:top w:val="nil"/>
              <w:left w:val="nil"/>
              <w:bottom w:val="nil"/>
              <w:right w:val="nil"/>
            </w:tcBorders>
            <w:shd w:val="clear" w:color="auto" w:fill="auto"/>
            <w:hideMark/>
          </w:tcPr>
          <w:p w14:paraId="3E37B77C" w14:textId="77777777" w:rsidR="00901E4F" w:rsidRDefault="00901E4F">
            <w:pPr>
              <w:rPr>
                <w:rFonts w:ascii="Calibri" w:hAnsi="Calibri" w:cs="Calibri"/>
                <w:sz w:val="22"/>
                <w:szCs w:val="22"/>
              </w:rPr>
            </w:pPr>
            <w:r>
              <w:rPr>
                <w:rFonts w:ascii="Calibri" w:hAnsi="Calibri" w:cs="Calibri"/>
                <w:sz w:val="22"/>
                <w:szCs w:val="22"/>
              </w:rPr>
              <w:t> </w:t>
            </w:r>
          </w:p>
        </w:tc>
        <w:tc>
          <w:tcPr>
            <w:tcW w:w="42" w:type="pct"/>
            <w:vAlign w:val="center"/>
            <w:hideMark/>
          </w:tcPr>
          <w:p w14:paraId="7A86D979" w14:textId="77777777" w:rsidR="00901E4F" w:rsidRDefault="00901E4F">
            <w:pPr>
              <w:rPr>
                <w:sz w:val="20"/>
                <w:szCs w:val="20"/>
              </w:rPr>
            </w:pPr>
          </w:p>
        </w:tc>
      </w:tr>
    </w:tbl>
    <w:p w14:paraId="3EB7DBB8" w14:textId="649C31B9" w:rsidR="00901E4F" w:rsidRDefault="00901E4F" w:rsidP="008A5116">
      <w:pPr>
        <w:rPr>
          <w:b/>
        </w:rPr>
      </w:pPr>
    </w:p>
    <w:p w14:paraId="2786A544" w14:textId="77777777" w:rsidR="00901E4F" w:rsidRDefault="00901E4F">
      <w:pPr>
        <w:rPr>
          <w:b/>
        </w:rPr>
        <w:sectPr w:rsidR="00901E4F" w:rsidSect="00215A80">
          <w:pgSz w:w="11906" w:h="16838"/>
          <w:pgMar w:top="1134" w:right="1134" w:bottom="899" w:left="1134" w:header="708" w:footer="708" w:gutter="0"/>
          <w:cols w:space="708"/>
          <w:docGrid w:linePitch="360"/>
        </w:sectPr>
      </w:pPr>
      <w:r>
        <w:rPr>
          <w:b/>
        </w:rPr>
        <w:br w:type="page"/>
      </w:r>
    </w:p>
    <w:p w14:paraId="572C6956" w14:textId="77777777" w:rsidR="00901E4F" w:rsidRDefault="00901E4F">
      <w:pPr>
        <w:rPr>
          <w:b/>
        </w:rPr>
      </w:pPr>
    </w:p>
    <w:tbl>
      <w:tblPr>
        <w:tblW w:w="5000" w:type="pct"/>
        <w:tblCellMar>
          <w:left w:w="70" w:type="dxa"/>
          <w:right w:w="70" w:type="dxa"/>
        </w:tblCellMar>
        <w:tblLook w:val="04A0" w:firstRow="1" w:lastRow="0" w:firstColumn="1" w:lastColumn="0" w:noHBand="0" w:noVBand="1"/>
      </w:tblPr>
      <w:tblGrid>
        <w:gridCol w:w="826"/>
        <w:gridCol w:w="4074"/>
        <w:gridCol w:w="4021"/>
        <w:gridCol w:w="5884"/>
      </w:tblGrid>
      <w:tr w:rsidR="00901E4F" w14:paraId="27ECB508" w14:textId="77777777" w:rsidTr="00901E4F">
        <w:trPr>
          <w:trHeight w:val="600"/>
        </w:trPr>
        <w:tc>
          <w:tcPr>
            <w:tcW w:w="5000" w:type="pct"/>
            <w:gridSpan w:val="4"/>
            <w:tcBorders>
              <w:top w:val="nil"/>
              <w:left w:val="nil"/>
              <w:bottom w:val="single" w:sz="8" w:space="0" w:color="auto"/>
              <w:right w:val="nil"/>
            </w:tcBorders>
            <w:shd w:val="clear" w:color="auto" w:fill="auto"/>
            <w:noWrap/>
            <w:hideMark/>
          </w:tcPr>
          <w:p w14:paraId="663204BD" w14:textId="77777777" w:rsidR="00901E4F" w:rsidRDefault="00901E4F">
            <w:pPr>
              <w:jc w:val="right"/>
              <w:rPr>
                <w:color w:val="000000"/>
              </w:rPr>
            </w:pPr>
            <w:r>
              <w:rPr>
                <w:color w:val="000000"/>
              </w:rPr>
              <w:t>Příloha č. 2 Kupní smlouvy č. S/ŘVC/233/OSE/KUP/2021</w:t>
            </w:r>
          </w:p>
        </w:tc>
      </w:tr>
      <w:tr w:rsidR="00901E4F" w14:paraId="4C5E35A8" w14:textId="77777777" w:rsidTr="00901E4F">
        <w:trPr>
          <w:trHeight w:val="465"/>
        </w:trPr>
        <w:tc>
          <w:tcPr>
            <w:tcW w:w="3013" w:type="pct"/>
            <w:gridSpan w:val="3"/>
            <w:tcBorders>
              <w:top w:val="single" w:sz="8" w:space="0" w:color="auto"/>
              <w:left w:val="single" w:sz="8" w:space="0" w:color="auto"/>
              <w:bottom w:val="nil"/>
              <w:right w:val="nil"/>
            </w:tcBorders>
            <w:shd w:val="clear" w:color="auto" w:fill="auto"/>
            <w:noWrap/>
            <w:vAlign w:val="bottom"/>
            <w:hideMark/>
          </w:tcPr>
          <w:p w14:paraId="3EE9BCBD" w14:textId="77777777" w:rsidR="00901E4F" w:rsidRDefault="00901E4F">
            <w:pPr>
              <w:jc w:val="center"/>
              <w:rPr>
                <w:b/>
                <w:bCs/>
                <w:color w:val="000000"/>
                <w:sz w:val="36"/>
                <w:szCs w:val="36"/>
              </w:rPr>
            </w:pPr>
            <w:r>
              <w:rPr>
                <w:b/>
                <w:bCs/>
                <w:color w:val="000000"/>
                <w:sz w:val="36"/>
                <w:szCs w:val="36"/>
              </w:rPr>
              <w:t>SEZNAM ODBĚRNÝCH MÍST</w:t>
            </w:r>
          </w:p>
        </w:tc>
        <w:tc>
          <w:tcPr>
            <w:tcW w:w="1987" w:type="pct"/>
            <w:tcBorders>
              <w:top w:val="nil"/>
              <w:left w:val="nil"/>
              <w:bottom w:val="nil"/>
              <w:right w:val="single" w:sz="8" w:space="0" w:color="auto"/>
            </w:tcBorders>
            <w:shd w:val="clear" w:color="auto" w:fill="auto"/>
            <w:noWrap/>
            <w:vAlign w:val="bottom"/>
            <w:hideMark/>
          </w:tcPr>
          <w:p w14:paraId="27FA676B" w14:textId="77777777" w:rsidR="00901E4F" w:rsidRDefault="00901E4F">
            <w:pPr>
              <w:rPr>
                <w:color w:val="000000"/>
              </w:rPr>
            </w:pPr>
            <w:r>
              <w:rPr>
                <w:color w:val="000000"/>
              </w:rPr>
              <w:t> </w:t>
            </w:r>
          </w:p>
        </w:tc>
      </w:tr>
      <w:tr w:rsidR="00901E4F" w14:paraId="1135A9AF" w14:textId="77777777" w:rsidTr="00901E4F">
        <w:trPr>
          <w:trHeight w:val="600"/>
        </w:trPr>
        <w:tc>
          <w:tcPr>
            <w:tcW w:w="279" w:type="pct"/>
            <w:tcBorders>
              <w:top w:val="single" w:sz="4" w:space="0" w:color="auto"/>
              <w:left w:val="single" w:sz="8" w:space="0" w:color="auto"/>
              <w:bottom w:val="nil"/>
              <w:right w:val="single" w:sz="4" w:space="0" w:color="auto"/>
            </w:tcBorders>
            <w:shd w:val="clear" w:color="000000" w:fill="C0C0C0"/>
            <w:noWrap/>
            <w:vAlign w:val="center"/>
            <w:hideMark/>
          </w:tcPr>
          <w:p w14:paraId="553D5A4D" w14:textId="77777777" w:rsidR="00901E4F" w:rsidRDefault="00901E4F">
            <w:pPr>
              <w:jc w:val="center"/>
              <w:rPr>
                <w:b/>
                <w:bCs/>
                <w:color w:val="000000"/>
              </w:rPr>
            </w:pPr>
            <w:proofErr w:type="spellStart"/>
            <w:r>
              <w:rPr>
                <w:b/>
                <w:bCs/>
                <w:color w:val="000000"/>
              </w:rPr>
              <w:t>Poř</w:t>
            </w:r>
            <w:proofErr w:type="spellEnd"/>
            <w:r>
              <w:rPr>
                <w:b/>
                <w:bCs/>
                <w:color w:val="000000"/>
              </w:rPr>
              <w:t>. č.</w:t>
            </w:r>
          </w:p>
        </w:tc>
        <w:tc>
          <w:tcPr>
            <w:tcW w:w="1376" w:type="pct"/>
            <w:tcBorders>
              <w:top w:val="single" w:sz="4" w:space="0" w:color="auto"/>
              <w:left w:val="nil"/>
              <w:bottom w:val="nil"/>
              <w:right w:val="single" w:sz="4" w:space="0" w:color="auto"/>
            </w:tcBorders>
            <w:shd w:val="clear" w:color="000000" w:fill="C0C0C0"/>
            <w:noWrap/>
            <w:vAlign w:val="center"/>
            <w:hideMark/>
          </w:tcPr>
          <w:p w14:paraId="2DBE27DF" w14:textId="77777777" w:rsidR="00901E4F" w:rsidRDefault="00901E4F">
            <w:pPr>
              <w:jc w:val="center"/>
              <w:rPr>
                <w:b/>
                <w:bCs/>
                <w:color w:val="000000"/>
              </w:rPr>
            </w:pPr>
            <w:r>
              <w:rPr>
                <w:b/>
                <w:bCs/>
                <w:color w:val="000000"/>
              </w:rPr>
              <w:t>Název</w:t>
            </w:r>
          </w:p>
        </w:tc>
        <w:tc>
          <w:tcPr>
            <w:tcW w:w="1358" w:type="pct"/>
            <w:tcBorders>
              <w:top w:val="single" w:sz="4" w:space="0" w:color="auto"/>
              <w:left w:val="nil"/>
              <w:bottom w:val="nil"/>
              <w:right w:val="nil"/>
            </w:tcBorders>
            <w:shd w:val="clear" w:color="000000" w:fill="C0C0C0"/>
            <w:noWrap/>
            <w:vAlign w:val="center"/>
            <w:hideMark/>
          </w:tcPr>
          <w:p w14:paraId="730C5F10" w14:textId="77777777" w:rsidR="00901E4F" w:rsidRDefault="00901E4F">
            <w:pPr>
              <w:jc w:val="center"/>
              <w:rPr>
                <w:b/>
                <w:bCs/>
                <w:color w:val="000000"/>
              </w:rPr>
            </w:pPr>
            <w:r>
              <w:rPr>
                <w:b/>
                <w:bCs/>
                <w:color w:val="000000"/>
              </w:rPr>
              <w:t>Adresa</w:t>
            </w:r>
          </w:p>
        </w:tc>
        <w:tc>
          <w:tcPr>
            <w:tcW w:w="1987" w:type="pct"/>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3CA7ECD6" w14:textId="77777777" w:rsidR="00901E4F" w:rsidRDefault="00901E4F">
            <w:pPr>
              <w:jc w:val="center"/>
              <w:rPr>
                <w:b/>
                <w:bCs/>
                <w:color w:val="000000"/>
              </w:rPr>
            </w:pPr>
            <w:r>
              <w:rPr>
                <w:b/>
                <w:bCs/>
                <w:color w:val="000000"/>
              </w:rPr>
              <w:t>Kontaktní osoba Kupujícího</w:t>
            </w:r>
          </w:p>
        </w:tc>
      </w:tr>
      <w:tr w:rsidR="00901E4F" w14:paraId="5A8ED753" w14:textId="77777777" w:rsidTr="00901E4F">
        <w:trPr>
          <w:trHeight w:val="960"/>
        </w:trPr>
        <w:tc>
          <w:tcPr>
            <w:tcW w:w="27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2BB4D2E" w14:textId="77777777" w:rsidR="00901E4F" w:rsidRDefault="00901E4F">
            <w:pPr>
              <w:jc w:val="center"/>
              <w:rPr>
                <w:color w:val="000000"/>
              </w:rPr>
            </w:pPr>
            <w:r>
              <w:rPr>
                <w:color w:val="000000"/>
              </w:rPr>
              <w:t>1</w:t>
            </w:r>
          </w:p>
        </w:tc>
        <w:tc>
          <w:tcPr>
            <w:tcW w:w="1376" w:type="pct"/>
            <w:tcBorders>
              <w:top w:val="single" w:sz="4" w:space="0" w:color="auto"/>
              <w:left w:val="nil"/>
              <w:bottom w:val="single" w:sz="8" w:space="0" w:color="auto"/>
              <w:right w:val="single" w:sz="4" w:space="0" w:color="auto"/>
            </w:tcBorders>
            <w:shd w:val="clear" w:color="auto" w:fill="auto"/>
            <w:vAlign w:val="center"/>
            <w:hideMark/>
          </w:tcPr>
          <w:p w14:paraId="768CB6CC" w14:textId="77777777" w:rsidR="00901E4F" w:rsidRDefault="00901E4F">
            <w:pPr>
              <w:rPr>
                <w:b/>
                <w:bCs/>
                <w:color w:val="000000"/>
              </w:rPr>
            </w:pPr>
            <w:r>
              <w:rPr>
                <w:b/>
                <w:bCs/>
                <w:color w:val="000000"/>
              </w:rPr>
              <w:t>Ředitelství vodních cest ČR</w:t>
            </w:r>
          </w:p>
        </w:tc>
        <w:tc>
          <w:tcPr>
            <w:tcW w:w="1358" w:type="pct"/>
            <w:tcBorders>
              <w:top w:val="single" w:sz="4" w:space="0" w:color="auto"/>
              <w:left w:val="nil"/>
              <w:bottom w:val="single" w:sz="8" w:space="0" w:color="auto"/>
              <w:right w:val="nil"/>
            </w:tcBorders>
            <w:shd w:val="clear" w:color="auto" w:fill="auto"/>
            <w:vAlign w:val="center"/>
            <w:hideMark/>
          </w:tcPr>
          <w:p w14:paraId="0F4DAF31" w14:textId="77777777" w:rsidR="00901E4F" w:rsidRDefault="00901E4F">
            <w:pPr>
              <w:rPr>
                <w:color w:val="000000"/>
                <w:sz w:val="22"/>
                <w:szCs w:val="22"/>
              </w:rPr>
            </w:pPr>
            <w:r>
              <w:rPr>
                <w:color w:val="000000"/>
                <w:sz w:val="22"/>
                <w:szCs w:val="22"/>
              </w:rPr>
              <w:t>nábřeží Ludvíka Svobody 1222/12, 110 15 Praha 1</w:t>
            </w:r>
          </w:p>
        </w:tc>
        <w:tc>
          <w:tcPr>
            <w:tcW w:w="1987" w:type="pct"/>
            <w:tcBorders>
              <w:top w:val="nil"/>
              <w:left w:val="single" w:sz="4" w:space="0" w:color="auto"/>
              <w:bottom w:val="single" w:sz="8" w:space="0" w:color="auto"/>
              <w:right w:val="single" w:sz="8" w:space="0" w:color="auto"/>
            </w:tcBorders>
            <w:shd w:val="clear" w:color="auto" w:fill="auto"/>
            <w:vAlign w:val="bottom"/>
            <w:hideMark/>
          </w:tcPr>
          <w:p w14:paraId="3246A0AD" w14:textId="424994C3" w:rsidR="00901E4F" w:rsidRDefault="00B61152">
            <w:pPr>
              <w:rPr>
                <w:color w:val="000000"/>
              </w:rPr>
            </w:pPr>
            <w:r w:rsidRPr="00B61152">
              <w:rPr>
                <w:color w:val="000000"/>
              </w:rPr>
              <w:t>XXXXXXXXXXX</w:t>
            </w:r>
            <w:r w:rsidR="00901E4F">
              <w:rPr>
                <w:color w:val="000000"/>
              </w:rPr>
              <w:t xml:space="preserve">, tel.: </w:t>
            </w:r>
            <w:r w:rsidRPr="00B61152">
              <w:rPr>
                <w:color w:val="000000"/>
              </w:rPr>
              <w:t>XXXXXXXXXXX</w:t>
            </w:r>
            <w:r w:rsidR="00901E4F">
              <w:rPr>
                <w:color w:val="000000"/>
              </w:rPr>
              <w:t xml:space="preserve">, e-mail: </w:t>
            </w:r>
            <w:r w:rsidRPr="00B61152">
              <w:rPr>
                <w:color w:val="000000"/>
              </w:rPr>
              <w:t>XXXXXXXXXXX</w:t>
            </w:r>
            <w:r w:rsidR="00901E4F">
              <w:rPr>
                <w:color w:val="000000"/>
              </w:rPr>
              <w:t xml:space="preserve">; </w:t>
            </w:r>
            <w:r w:rsidR="00901E4F">
              <w:rPr>
                <w:color w:val="000000"/>
              </w:rPr>
              <w:br/>
            </w:r>
            <w:r w:rsidRPr="00B61152">
              <w:rPr>
                <w:color w:val="000000"/>
              </w:rPr>
              <w:t>XXXXXXXXXXX</w:t>
            </w:r>
            <w:r w:rsidR="00901E4F">
              <w:rPr>
                <w:color w:val="000000"/>
              </w:rPr>
              <w:t xml:space="preserve">, tel.: </w:t>
            </w:r>
            <w:r w:rsidRPr="00B61152">
              <w:rPr>
                <w:color w:val="000000"/>
              </w:rPr>
              <w:t>XXXXXXXXXXX</w:t>
            </w:r>
            <w:r w:rsidR="00901E4F">
              <w:rPr>
                <w:color w:val="000000"/>
              </w:rPr>
              <w:t xml:space="preserve">, e-mail: </w:t>
            </w:r>
            <w:r w:rsidRPr="00B61152">
              <w:rPr>
                <w:color w:val="000000"/>
              </w:rPr>
              <w:t>XXXXXXXXXXX</w:t>
            </w:r>
          </w:p>
        </w:tc>
      </w:tr>
    </w:tbl>
    <w:p w14:paraId="29DB7ECC" w14:textId="77777777" w:rsidR="006135FA" w:rsidRDefault="006135FA" w:rsidP="008A5116">
      <w:pPr>
        <w:rPr>
          <w:b/>
        </w:rPr>
      </w:pPr>
    </w:p>
    <w:sectPr w:rsidR="006135FA" w:rsidSect="00901E4F">
      <w:pgSz w:w="16838" w:h="11906" w:orient="landscape"/>
      <w:pgMar w:top="1134" w:right="1134" w:bottom="1134" w:left="8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F82E" w14:textId="77777777" w:rsidR="003F771A" w:rsidRDefault="003F771A" w:rsidP="00574A08">
      <w:r>
        <w:separator/>
      </w:r>
    </w:p>
  </w:endnote>
  <w:endnote w:type="continuationSeparator" w:id="0">
    <w:p w14:paraId="42BEDD92" w14:textId="77777777" w:rsidR="003F771A" w:rsidRDefault="003F771A" w:rsidP="0057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88C4" w14:textId="77777777" w:rsidR="003F771A" w:rsidRDefault="003F771A" w:rsidP="00574A08">
      <w:r>
        <w:separator/>
      </w:r>
    </w:p>
  </w:footnote>
  <w:footnote w:type="continuationSeparator" w:id="0">
    <w:p w14:paraId="0EB529BD" w14:textId="77777777" w:rsidR="003F771A" w:rsidRDefault="003F771A" w:rsidP="00574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7E8"/>
    <w:multiLevelType w:val="hybridMultilevel"/>
    <w:tmpl w:val="1BA4BF00"/>
    <w:lvl w:ilvl="0" w:tplc="DA06D35C">
      <w:start w:val="2"/>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20AC2654"/>
    <w:multiLevelType w:val="multilevel"/>
    <w:tmpl w:val="5830B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3" w15:restartNumberingAfterBreak="0">
    <w:nsid w:val="57120E24"/>
    <w:multiLevelType w:val="multilevel"/>
    <w:tmpl w:val="EB9E9C0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941373705">
    <w:abstractNumId w:val="3"/>
  </w:num>
  <w:num w:numId="2" w16cid:durableId="1562131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843293">
    <w:abstractNumId w:val="3"/>
  </w:num>
  <w:num w:numId="4" w16cid:durableId="338042729">
    <w:abstractNumId w:val="3"/>
  </w:num>
  <w:num w:numId="5" w16cid:durableId="1039085152">
    <w:abstractNumId w:val="1"/>
  </w:num>
  <w:num w:numId="6" w16cid:durableId="101183656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7B"/>
    <w:rsid w:val="00000844"/>
    <w:rsid w:val="00000D4F"/>
    <w:rsid w:val="000022B3"/>
    <w:rsid w:val="00004027"/>
    <w:rsid w:val="00007CA5"/>
    <w:rsid w:val="00007E9C"/>
    <w:rsid w:val="000119A9"/>
    <w:rsid w:val="00013333"/>
    <w:rsid w:val="000139C5"/>
    <w:rsid w:val="00016D07"/>
    <w:rsid w:val="000219BB"/>
    <w:rsid w:val="00024969"/>
    <w:rsid w:val="000310CE"/>
    <w:rsid w:val="000333A1"/>
    <w:rsid w:val="000333D3"/>
    <w:rsid w:val="00040CA1"/>
    <w:rsid w:val="00041207"/>
    <w:rsid w:val="000431A9"/>
    <w:rsid w:val="0004360A"/>
    <w:rsid w:val="00044F19"/>
    <w:rsid w:val="0004563D"/>
    <w:rsid w:val="00046B29"/>
    <w:rsid w:val="00047436"/>
    <w:rsid w:val="00047545"/>
    <w:rsid w:val="000511B9"/>
    <w:rsid w:val="00064445"/>
    <w:rsid w:val="00067F86"/>
    <w:rsid w:val="00070447"/>
    <w:rsid w:val="00071331"/>
    <w:rsid w:val="00072E85"/>
    <w:rsid w:val="00083F89"/>
    <w:rsid w:val="00084B38"/>
    <w:rsid w:val="00086190"/>
    <w:rsid w:val="0009079B"/>
    <w:rsid w:val="000914BA"/>
    <w:rsid w:val="0009209F"/>
    <w:rsid w:val="00095387"/>
    <w:rsid w:val="00096AC9"/>
    <w:rsid w:val="000A07B6"/>
    <w:rsid w:val="000A20DB"/>
    <w:rsid w:val="000A3387"/>
    <w:rsid w:val="000A3756"/>
    <w:rsid w:val="000B09D5"/>
    <w:rsid w:val="000B1303"/>
    <w:rsid w:val="000B22DF"/>
    <w:rsid w:val="000B5234"/>
    <w:rsid w:val="000B7AC8"/>
    <w:rsid w:val="000C3D1E"/>
    <w:rsid w:val="000C4A81"/>
    <w:rsid w:val="000C599F"/>
    <w:rsid w:val="000C6641"/>
    <w:rsid w:val="000D1736"/>
    <w:rsid w:val="000D5486"/>
    <w:rsid w:val="000E210E"/>
    <w:rsid w:val="000E3330"/>
    <w:rsid w:val="000E5680"/>
    <w:rsid w:val="000F10F2"/>
    <w:rsid w:val="000F1647"/>
    <w:rsid w:val="000F2AEF"/>
    <w:rsid w:val="000F3807"/>
    <w:rsid w:val="000F457B"/>
    <w:rsid w:val="000F6427"/>
    <w:rsid w:val="00101DEB"/>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4AAE"/>
    <w:rsid w:val="00156D2D"/>
    <w:rsid w:val="001609F6"/>
    <w:rsid w:val="00161EDF"/>
    <w:rsid w:val="00162ED1"/>
    <w:rsid w:val="00163BE5"/>
    <w:rsid w:val="001670E6"/>
    <w:rsid w:val="001700BC"/>
    <w:rsid w:val="00172526"/>
    <w:rsid w:val="00175CCD"/>
    <w:rsid w:val="0017641A"/>
    <w:rsid w:val="001814D2"/>
    <w:rsid w:val="00187F2E"/>
    <w:rsid w:val="001905CE"/>
    <w:rsid w:val="00190FC3"/>
    <w:rsid w:val="00192478"/>
    <w:rsid w:val="00194101"/>
    <w:rsid w:val="00197998"/>
    <w:rsid w:val="001A30AA"/>
    <w:rsid w:val="001A6BEF"/>
    <w:rsid w:val="001B2EAD"/>
    <w:rsid w:val="001B6D18"/>
    <w:rsid w:val="001B7A16"/>
    <w:rsid w:val="001C0884"/>
    <w:rsid w:val="001C30DF"/>
    <w:rsid w:val="001C4B3A"/>
    <w:rsid w:val="001C64C1"/>
    <w:rsid w:val="001D39D3"/>
    <w:rsid w:val="001D4641"/>
    <w:rsid w:val="001D5910"/>
    <w:rsid w:val="001E2998"/>
    <w:rsid w:val="001F00B6"/>
    <w:rsid w:val="001F55DF"/>
    <w:rsid w:val="001F61E3"/>
    <w:rsid w:val="001F76E4"/>
    <w:rsid w:val="001F78E5"/>
    <w:rsid w:val="002058AC"/>
    <w:rsid w:val="0020674C"/>
    <w:rsid w:val="00206AC5"/>
    <w:rsid w:val="002104EF"/>
    <w:rsid w:val="002105B9"/>
    <w:rsid w:val="00210EF2"/>
    <w:rsid w:val="00210EFD"/>
    <w:rsid w:val="00215A80"/>
    <w:rsid w:val="00216741"/>
    <w:rsid w:val="002167E9"/>
    <w:rsid w:val="00216A52"/>
    <w:rsid w:val="00217E4E"/>
    <w:rsid w:val="0022069E"/>
    <w:rsid w:val="002264F8"/>
    <w:rsid w:val="00226FE8"/>
    <w:rsid w:val="00232B81"/>
    <w:rsid w:val="0023664A"/>
    <w:rsid w:val="00236DAB"/>
    <w:rsid w:val="00242E7F"/>
    <w:rsid w:val="00246AC6"/>
    <w:rsid w:val="00247815"/>
    <w:rsid w:val="00252046"/>
    <w:rsid w:val="0025536D"/>
    <w:rsid w:val="00256AC4"/>
    <w:rsid w:val="00264A98"/>
    <w:rsid w:val="00265EB9"/>
    <w:rsid w:val="0026641A"/>
    <w:rsid w:val="0027454E"/>
    <w:rsid w:val="00275CD4"/>
    <w:rsid w:val="00282C1E"/>
    <w:rsid w:val="00286FDA"/>
    <w:rsid w:val="00291B83"/>
    <w:rsid w:val="002944B5"/>
    <w:rsid w:val="00295C85"/>
    <w:rsid w:val="00296196"/>
    <w:rsid w:val="0029641C"/>
    <w:rsid w:val="002A37EE"/>
    <w:rsid w:val="002A56FE"/>
    <w:rsid w:val="002A5F02"/>
    <w:rsid w:val="002A6536"/>
    <w:rsid w:val="002A7144"/>
    <w:rsid w:val="002B230C"/>
    <w:rsid w:val="002B658D"/>
    <w:rsid w:val="002B687C"/>
    <w:rsid w:val="002C3495"/>
    <w:rsid w:val="002D4750"/>
    <w:rsid w:val="002D5B20"/>
    <w:rsid w:val="002D6884"/>
    <w:rsid w:val="002D6B1E"/>
    <w:rsid w:val="002D7BBE"/>
    <w:rsid w:val="002E12F9"/>
    <w:rsid w:val="002E197E"/>
    <w:rsid w:val="002E1DA3"/>
    <w:rsid w:val="002E1F72"/>
    <w:rsid w:val="002F19AB"/>
    <w:rsid w:val="002F4CBD"/>
    <w:rsid w:val="002F7E87"/>
    <w:rsid w:val="0030147C"/>
    <w:rsid w:val="0030336C"/>
    <w:rsid w:val="00304CD4"/>
    <w:rsid w:val="0030588B"/>
    <w:rsid w:val="00305C14"/>
    <w:rsid w:val="003069BC"/>
    <w:rsid w:val="003111E3"/>
    <w:rsid w:val="003122D0"/>
    <w:rsid w:val="003164FC"/>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47941"/>
    <w:rsid w:val="00354A1F"/>
    <w:rsid w:val="0036322F"/>
    <w:rsid w:val="0037072E"/>
    <w:rsid w:val="00371455"/>
    <w:rsid w:val="00372ECA"/>
    <w:rsid w:val="00373F2E"/>
    <w:rsid w:val="00374192"/>
    <w:rsid w:val="00375F04"/>
    <w:rsid w:val="00377635"/>
    <w:rsid w:val="00383AF9"/>
    <w:rsid w:val="00383D70"/>
    <w:rsid w:val="00397EC7"/>
    <w:rsid w:val="003A3D6C"/>
    <w:rsid w:val="003B07CC"/>
    <w:rsid w:val="003B2DF3"/>
    <w:rsid w:val="003B3850"/>
    <w:rsid w:val="003B71D5"/>
    <w:rsid w:val="003B72D9"/>
    <w:rsid w:val="003C1FDF"/>
    <w:rsid w:val="003C28BC"/>
    <w:rsid w:val="003C3AC2"/>
    <w:rsid w:val="003C63FF"/>
    <w:rsid w:val="003D033A"/>
    <w:rsid w:val="003D1F48"/>
    <w:rsid w:val="003D2057"/>
    <w:rsid w:val="003D24B2"/>
    <w:rsid w:val="003D4F86"/>
    <w:rsid w:val="003E10ED"/>
    <w:rsid w:val="003E1618"/>
    <w:rsid w:val="003E23D4"/>
    <w:rsid w:val="003E278E"/>
    <w:rsid w:val="003E3A70"/>
    <w:rsid w:val="003E47C3"/>
    <w:rsid w:val="003E5A15"/>
    <w:rsid w:val="003F3628"/>
    <w:rsid w:val="003F57E8"/>
    <w:rsid w:val="003F66EA"/>
    <w:rsid w:val="003F679A"/>
    <w:rsid w:val="003F771A"/>
    <w:rsid w:val="00400EC4"/>
    <w:rsid w:val="00404419"/>
    <w:rsid w:val="004056B5"/>
    <w:rsid w:val="00410571"/>
    <w:rsid w:val="00410DC2"/>
    <w:rsid w:val="004111F1"/>
    <w:rsid w:val="00423F9F"/>
    <w:rsid w:val="00433ED1"/>
    <w:rsid w:val="00434065"/>
    <w:rsid w:val="00434C9A"/>
    <w:rsid w:val="00436E43"/>
    <w:rsid w:val="004412A4"/>
    <w:rsid w:val="004445AE"/>
    <w:rsid w:val="00445C46"/>
    <w:rsid w:val="0045300F"/>
    <w:rsid w:val="004532CD"/>
    <w:rsid w:val="004572FD"/>
    <w:rsid w:val="0046075F"/>
    <w:rsid w:val="00461C4C"/>
    <w:rsid w:val="00462076"/>
    <w:rsid w:val="004764F2"/>
    <w:rsid w:val="004767DE"/>
    <w:rsid w:val="00477801"/>
    <w:rsid w:val="004877F9"/>
    <w:rsid w:val="0049396A"/>
    <w:rsid w:val="0049676F"/>
    <w:rsid w:val="00497828"/>
    <w:rsid w:val="004A6CF1"/>
    <w:rsid w:val="004B5285"/>
    <w:rsid w:val="004B6EB9"/>
    <w:rsid w:val="004B742F"/>
    <w:rsid w:val="004C173B"/>
    <w:rsid w:val="004C23BC"/>
    <w:rsid w:val="004D09D6"/>
    <w:rsid w:val="004D41A1"/>
    <w:rsid w:val="004D48A5"/>
    <w:rsid w:val="004E00C7"/>
    <w:rsid w:val="004E16E9"/>
    <w:rsid w:val="004F027F"/>
    <w:rsid w:val="004F23CA"/>
    <w:rsid w:val="004F36C9"/>
    <w:rsid w:val="004F3DB6"/>
    <w:rsid w:val="00500501"/>
    <w:rsid w:val="005006C7"/>
    <w:rsid w:val="00501F78"/>
    <w:rsid w:val="005040E5"/>
    <w:rsid w:val="00505425"/>
    <w:rsid w:val="005172F7"/>
    <w:rsid w:val="005178F4"/>
    <w:rsid w:val="00524663"/>
    <w:rsid w:val="0052706C"/>
    <w:rsid w:val="005274F5"/>
    <w:rsid w:val="0052785D"/>
    <w:rsid w:val="00531E53"/>
    <w:rsid w:val="00535F16"/>
    <w:rsid w:val="00543FFF"/>
    <w:rsid w:val="00544028"/>
    <w:rsid w:val="00545027"/>
    <w:rsid w:val="0054574D"/>
    <w:rsid w:val="0055103D"/>
    <w:rsid w:val="0055156A"/>
    <w:rsid w:val="005528E1"/>
    <w:rsid w:val="0055729B"/>
    <w:rsid w:val="00560804"/>
    <w:rsid w:val="0056124D"/>
    <w:rsid w:val="00562D5B"/>
    <w:rsid w:val="005638B7"/>
    <w:rsid w:val="0056725D"/>
    <w:rsid w:val="00574A08"/>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2330"/>
    <w:rsid w:val="005C3FF9"/>
    <w:rsid w:val="005C5361"/>
    <w:rsid w:val="005D10B7"/>
    <w:rsid w:val="005D31D0"/>
    <w:rsid w:val="005D3313"/>
    <w:rsid w:val="005D79AD"/>
    <w:rsid w:val="005E1B12"/>
    <w:rsid w:val="005E5674"/>
    <w:rsid w:val="005F10EE"/>
    <w:rsid w:val="005F5660"/>
    <w:rsid w:val="006000AF"/>
    <w:rsid w:val="00600996"/>
    <w:rsid w:val="0060109E"/>
    <w:rsid w:val="00606876"/>
    <w:rsid w:val="0061040D"/>
    <w:rsid w:val="0061253E"/>
    <w:rsid w:val="006135FA"/>
    <w:rsid w:val="00615A87"/>
    <w:rsid w:val="00616B2D"/>
    <w:rsid w:val="00617840"/>
    <w:rsid w:val="00621139"/>
    <w:rsid w:val="006218A6"/>
    <w:rsid w:val="0062299B"/>
    <w:rsid w:val="00623DBD"/>
    <w:rsid w:val="00626E8C"/>
    <w:rsid w:val="00636A2A"/>
    <w:rsid w:val="006400CA"/>
    <w:rsid w:val="0064039D"/>
    <w:rsid w:val="00641979"/>
    <w:rsid w:val="00642033"/>
    <w:rsid w:val="0064524C"/>
    <w:rsid w:val="00652744"/>
    <w:rsid w:val="00652B87"/>
    <w:rsid w:val="00655ACE"/>
    <w:rsid w:val="00656B70"/>
    <w:rsid w:val="0065767E"/>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392C"/>
    <w:rsid w:val="006A4080"/>
    <w:rsid w:val="006B28F4"/>
    <w:rsid w:val="006B5CC3"/>
    <w:rsid w:val="006C3BA5"/>
    <w:rsid w:val="006C698A"/>
    <w:rsid w:val="006D15C2"/>
    <w:rsid w:val="006D59E8"/>
    <w:rsid w:val="006D6674"/>
    <w:rsid w:val="006E029A"/>
    <w:rsid w:val="006E232E"/>
    <w:rsid w:val="006E3E0E"/>
    <w:rsid w:val="006E5353"/>
    <w:rsid w:val="006E5CDA"/>
    <w:rsid w:val="006F1161"/>
    <w:rsid w:val="006F5FC9"/>
    <w:rsid w:val="006F6772"/>
    <w:rsid w:val="006F751A"/>
    <w:rsid w:val="006F7DFF"/>
    <w:rsid w:val="007006CE"/>
    <w:rsid w:val="0071232F"/>
    <w:rsid w:val="007205BF"/>
    <w:rsid w:val="00722531"/>
    <w:rsid w:val="00722D6D"/>
    <w:rsid w:val="00722FF2"/>
    <w:rsid w:val="007239D7"/>
    <w:rsid w:val="00726D50"/>
    <w:rsid w:val="00727DD6"/>
    <w:rsid w:val="007300D9"/>
    <w:rsid w:val="00730107"/>
    <w:rsid w:val="007357C2"/>
    <w:rsid w:val="00744255"/>
    <w:rsid w:val="007447E1"/>
    <w:rsid w:val="007503DE"/>
    <w:rsid w:val="00751116"/>
    <w:rsid w:val="00756A40"/>
    <w:rsid w:val="007635B7"/>
    <w:rsid w:val="00766125"/>
    <w:rsid w:val="0076655B"/>
    <w:rsid w:val="00766E38"/>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A1"/>
    <w:rsid w:val="007C21B5"/>
    <w:rsid w:val="007C4DC1"/>
    <w:rsid w:val="007C5AC6"/>
    <w:rsid w:val="007C5DBE"/>
    <w:rsid w:val="007C5ED4"/>
    <w:rsid w:val="007C7EC5"/>
    <w:rsid w:val="007D0BCF"/>
    <w:rsid w:val="007D1A08"/>
    <w:rsid w:val="007D2484"/>
    <w:rsid w:val="007D4265"/>
    <w:rsid w:val="007D4A7D"/>
    <w:rsid w:val="007D63D5"/>
    <w:rsid w:val="007D654F"/>
    <w:rsid w:val="007D70BD"/>
    <w:rsid w:val="007E1039"/>
    <w:rsid w:val="007E32AA"/>
    <w:rsid w:val="007F3302"/>
    <w:rsid w:val="007F3376"/>
    <w:rsid w:val="007F37FD"/>
    <w:rsid w:val="007F6ADB"/>
    <w:rsid w:val="008053FE"/>
    <w:rsid w:val="00810567"/>
    <w:rsid w:val="00811549"/>
    <w:rsid w:val="008135E0"/>
    <w:rsid w:val="008204EF"/>
    <w:rsid w:val="00823FE1"/>
    <w:rsid w:val="0082401F"/>
    <w:rsid w:val="00830B2F"/>
    <w:rsid w:val="0083294A"/>
    <w:rsid w:val="0083330B"/>
    <w:rsid w:val="008376A0"/>
    <w:rsid w:val="0084092F"/>
    <w:rsid w:val="00850265"/>
    <w:rsid w:val="0085199D"/>
    <w:rsid w:val="008535B1"/>
    <w:rsid w:val="008565BD"/>
    <w:rsid w:val="00860766"/>
    <w:rsid w:val="0086374F"/>
    <w:rsid w:val="008647CD"/>
    <w:rsid w:val="008709F1"/>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26D6"/>
    <w:rsid w:val="008C19D9"/>
    <w:rsid w:val="008D1606"/>
    <w:rsid w:val="008D2D0B"/>
    <w:rsid w:val="008D42CA"/>
    <w:rsid w:val="008D4908"/>
    <w:rsid w:val="008E26F9"/>
    <w:rsid w:val="008E4A8F"/>
    <w:rsid w:val="008E4D82"/>
    <w:rsid w:val="008E6AF3"/>
    <w:rsid w:val="008F31DC"/>
    <w:rsid w:val="008F4300"/>
    <w:rsid w:val="008F6E38"/>
    <w:rsid w:val="00900D84"/>
    <w:rsid w:val="00901E4F"/>
    <w:rsid w:val="00902194"/>
    <w:rsid w:val="009106D3"/>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076"/>
    <w:rsid w:val="00950F53"/>
    <w:rsid w:val="00953B88"/>
    <w:rsid w:val="009549FD"/>
    <w:rsid w:val="0095641B"/>
    <w:rsid w:val="009636A9"/>
    <w:rsid w:val="009677D7"/>
    <w:rsid w:val="00967AD8"/>
    <w:rsid w:val="00970B54"/>
    <w:rsid w:val="0097180D"/>
    <w:rsid w:val="009732F5"/>
    <w:rsid w:val="00974C0F"/>
    <w:rsid w:val="00975D0A"/>
    <w:rsid w:val="00980EE9"/>
    <w:rsid w:val="00983BDE"/>
    <w:rsid w:val="00992482"/>
    <w:rsid w:val="00996C52"/>
    <w:rsid w:val="009A0E7C"/>
    <w:rsid w:val="009A1547"/>
    <w:rsid w:val="009A5FC6"/>
    <w:rsid w:val="009A70E5"/>
    <w:rsid w:val="009B0DDF"/>
    <w:rsid w:val="009B4F36"/>
    <w:rsid w:val="009C3102"/>
    <w:rsid w:val="009C3DB3"/>
    <w:rsid w:val="009C496E"/>
    <w:rsid w:val="009C57C0"/>
    <w:rsid w:val="009D1767"/>
    <w:rsid w:val="009D1C2B"/>
    <w:rsid w:val="009D5F75"/>
    <w:rsid w:val="009E1A06"/>
    <w:rsid w:val="009E2FF4"/>
    <w:rsid w:val="009E5ACB"/>
    <w:rsid w:val="009E6AF5"/>
    <w:rsid w:val="009F18D1"/>
    <w:rsid w:val="009F18F1"/>
    <w:rsid w:val="009F223B"/>
    <w:rsid w:val="009F427B"/>
    <w:rsid w:val="009F500E"/>
    <w:rsid w:val="009F503B"/>
    <w:rsid w:val="009F526C"/>
    <w:rsid w:val="00A02D67"/>
    <w:rsid w:val="00A1253A"/>
    <w:rsid w:val="00A1346B"/>
    <w:rsid w:val="00A15715"/>
    <w:rsid w:val="00A15885"/>
    <w:rsid w:val="00A158C4"/>
    <w:rsid w:val="00A160E3"/>
    <w:rsid w:val="00A17D9B"/>
    <w:rsid w:val="00A20738"/>
    <w:rsid w:val="00A346A5"/>
    <w:rsid w:val="00A34C09"/>
    <w:rsid w:val="00A3575D"/>
    <w:rsid w:val="00A362DD"/>
    <w:rsid w:val="00A43094"/>
    <w:rsid w:val="00A45F24"/>
    <w:rsid w:val="00A47426"/>
    <w:rsid w:val="00A51692"/>
    <w:rsid w:val="00A522C5"/>
    <w:rsid w:val="00A53741"/>
    <w:rsid w:val="00A73369"/>
    <w:rsid w:val="00A737C1"/>
    <w:rsid w:val="00A80C7E"/>
    <w:rsid w:val="00A821F1"/>
    <w:rsid w:val="00A828DB"/>
    <w:rsid w:val="00A84298"/>
    <w:rsid w:val="00A903D2"/>
    <w:rsid w:val="00A90F2E"/>
    <w:rsid w:val="00A9218A"/>
    <w:rsid w:val="00A963AF"/>
    <w:rsid w:val="00A975CF"/>
    <w:rsid w:val="00AA27AE"/>
    <w:rsid w:val="00AA5461"/>
    <w:rsid w:val="00AB29F7"/>
    <w:rsid w:val="00AB4B7F"/>
    <w:rsid w:val="00AB723A"/>
    <w:rsid w:val="00AB7E77"/>
    <w:rsid w:val="00AC0F7F"/>
    <w:rsid w:val="00AC48A4"/>
    <w:rsid w:val="00AC4F18"/>
    <w:rsid w:val="00AC632E"/>
    <w:rsid w:val="00AC7D3A"/>
    <w:rsid w:val="00AD28EA"/>
    <w:rsid w:val="00AD2BC4"/>
    <w:rsid w:val="00AD39FA"/>
    <w:rsid w:val="00AD5505"/>
    <w:rsid w:val="00AD564A"/>
    <w:rsid w:val="00AE2D77"/>
    <w:rsid w:val="00AE331D"/>
    <w:rsid w:val="00AF0A3B"/>
    <w:rsid w:val="00AF448C"/>
    <w:rsid w:val="00AF7C44"/>
    <w:rsid w:val="00B0461E"/>
    <w:rsid w:val="00B20892"/>
    <w:rsid w:val="00B21A1F"/>
    <w:rsid w:val="00B2245A"/>
    <w:rsid w:val="00B22801"/>
    <w:rsid w:val="00B24BEE"/>
    <w:rsid w:val="00B24F8C"/>
    <w:rsid w:val="00B2506B"/>
    <w:rsid w:val="00B25495"/>
    <w:rsid w:val="00B32937"/>
    <w:rsid w:val="00B32DF1"/>
    <w:rsid w:val="00B332F0"/>
    <w:rsid w:val="00B355C6"/>
    <w:rsid w:val="00B40714"/>
    <w:rsid w:val="00B45588"/>
    <w:rsid w:val="00B520FA"/>
    <w:rsid w:val="00B5620F"/>
    <w:rsid w:val="00B61152"/>
    <w:rsid w:val="00B62ECE"/>
    <w:rsid w:val="00B63090"/>
    <w:rsid w:val="00B66D4E"/>
    <w:rsid w:val="00B678D9"/>
    <w:rsid w:val="00B720FB"/>
    <w:rsid w:val="00B80CEE"/>
    <w:rsid w:val="00B81722"/>
    <w:rsid w:val="00B81A4B"/>
    <w:rsid w:val="00B81FC7"/>
    <w:rsid w:val="00B83825"/>
    <w:rsid w:val="00B83AC2"/>
    <w:rsid w:val="00B84604"/>
    <w:rsid w:val="00B8532A"/>
    <w:rsid w:val="00B87E8B"/>
    <w:rsid w:val="00B90AAE"/>
    <w:rsid w:val="00B94B55"/>
    <w:rsid w:val="00B95020"/>
    <w:rsid w:val="00B96DFC"/>
    <w:rsid w:val="00BA18F3"/>
    <w:rsid w:val="00BA1E8A"/>
    <w:rsid w:val="00BA606E"/>
    <w:rsid w:val="00BB3014"/>
    <w:rsid w:val="00BC2CCE"/>
    <w:rsid w:val="00BC3177"/>
    <w:rsid w:val="00BC3746"/>
    <w:rsid w:val="00BC4FD2"/>
    <w:rsid w:val="00BD6880"/>
    <w:rsid w:val="00BE7107"/>
    <w:rsid w:val="00BF2CAB"/>
    <w:rsid w:val="00BF59DE"/>
    <w:rsid w:val="00C010B9"/>
    <w:rsid w:val="00C01F7D"/>
    <w:rsid w:val="00C13ADB"/>
    <w:rsid w:val="00C15D8A"/>
    <w:rsid w:val="00C169E4"/>
    <w:rsid w:val="00C24911"/>
    <w:rsid w:val="00C26FF8"/>
    <w:rsid w:val="00C31013"/>
    <w:rsid w:val="00C352F5"/>
    <w:rsid w:val="00C44F16"/>
    <w:rsid w:val="00C45D3C"/>
    <w:rsid w:val="00C473DB"/>
    <w:rsid w:val="00C51D0C"/>
    <w:rsid w:val="00C5716D"/>
    <w:rsid w:val="00C60BF7"/>
    <w:rsid w:val="00C6674E"/>
    <w:rsid w:val="00C66923"/>
    <w:rsid w:val="00C71DD2"/>
    <w:rsid w:val="00C75E77"/>
    <w:rsid w:val="00C80BC0"/>
    <w:rsid w:val="00C85A90"/>
    <w:rsid w:val="00C87C75"/>
    <w:rsid w:val="00C9669A"/>
    <w:rsid w:val="00C9677B"/>
    <w:rsid w:val="00C975FA"/>
    <w:rsid w:val="00C97E86"/>
    <w:rsid w:val="00CA062F"/>
    <w:rsid w:val="00CA1A8A"/>
    <w:rsid w:val="00CA4EFE"/>
    <w:rsid w:val="00CA5BD8"/>
    <w:rsid w:val="00CB1731"/>
    <w:rsid w:val="00CB2030"/>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6CDF"/>
    <w:rsid w:val="00D00844"/>
    <w:rsid w:val="00D01689"/>
    <w:rsid w:val="00D1118D"/>
    <w:rsid w:val="00D11BD2"/>
    <w:rsid w:val="00D12D9B"/>
    <w:rsid w:val="00D1668C"/>
    <w:rsid w:val="00D17E91"/>
    <w:rsid w:val="00D24481"/>
    <w:rsid w:val="00D245A3"/>
    <w:rsid w:val="00D26C1D"/>
    <w:rsid w:val="00D32464"/>
    <w:rsid w:val="00D36842"/>
    <w:rsid w:val="00D36DAD"/>
    <w:rsid w:val="00D3792F"/>
    <w:rsid w:val="00D427A1"/>
    <w:rsid w:val="00D430A9"/>
    <w:rsid w:val="00D4343D"/>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5FA3"/>
    <w:rsid w:val="00DC76F6"/>
    <w:rsid w:val="00DD0852"/>
    <w:rsid w:val="00DD134C"/>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045C"/>
    <w:rsid w:val="00E25A3C"/>
    <w:rsid w:val="00E27414"/>
    <w:rsid w:val="00E3258C"/>
    <w:rsid w:val="00E34845"/>
    <w:rsid w:val="00E35558"/>
    <w:rsid w:val="00E36233"/>
    <w:rsid w:val="00E3635B"/>
    <w:rsid w:val="00E40B1A"/>
    <w:rsid w:val="00E43CB3"/>
    <w:rsid w:val="00E53DB5"/>
    <w:rsid w:val="00E646E6"/>
    <w:rsid w:val="00E64CEE"/>
    <w:rsid w:val="00E673E7"/>
    <w:rsid w:val="00E67843"/>
    <w:rsid w:val="00E73B65"/>
    <w:rsid w:val="00E752C3"/>
    <w:rsid w:val="00E90420"/>
    <w:rsid w:val="00E93AE5"/>
    <w:rsid w:val="00E96968"/>
    <w:rsid w:val="00EA2186"/>
    <w:rsid w:val="00EA5C27"/>
    <w:rsid w:val="00EB00E9"/>
    <w:rsid w:val="00EB355E"/>
    <w:rsid w:val="00EB4A8C"/>
    <w:rsid w:val="00EB58FB"/>
    <w:rsid w:val="00EB5E93"/>
    <w:rsid w:val="00EB6466"/>
    <w:rsid w:val="00EB65F6"/>
    <w:rsid w:val="00EC0185"/>
    <w:rsid w:val="00EC06F2"/>
    <w:rsid w:val="00EC3D86"/>
    <w:rsid w:val="00EC700D"/>
    <w:rsid w:val="00ED2478"/>
    <w:rsid w:val="00ED318F"/>
    <w:rsid w:val="00ED33DA"/>
    <w:rsid w:val="00ED6180"/>
    <w:rsid w:val="00EF3414"/>
    <w:rsid w:val="00EF7899"/>
    <w:rsid w:val="00EF7CD7"/>
    <w:rsid w:val="00F00716"/>
    <w:rsid w:val="00F014F0"/>
    <w:rsid w:val="00F03D5C"/>
    <w:rsid w:val="00F055E4"/>
    <w:rsid w:val="00F07035"/>
    <w:rsid w:val="00F078D5"/>
    <w:rsid w:val="00F07F61"/>
    <w:rsid w:val="00F15752"/>
    <w:rsid w:val="00F15B70"/>
    <w:rsid w:val="00F176EF"/>
    <w:rsid w:val="00F208C4"/>
    <w:rsid w:val="00F335E1"/>
    <w:rsid w:val="00F41AFC"/>
    <w:rsid w:val="00F43545"/>
    <w:rsid w:val="00F443B8"/>
    <w:rsid w:val="00F465B6"/>
    <w:rsid w:val="00F47F11"/>
    <w:rsid w:val="00F53E64"/>
    <w:rsid w:val="00F55DE2"/>
    <w:rsid w:val="00F56C1F"/>
    <w:rsid w:val="00F60F0A"/>
    <w:rsid w:val="00F64875"/>
    <w:rsid w:val="00F65297"/>
    <w:rsid w:val="00F6561D"/>
    <w:rsid w:val="00F66765"/>
    <w:rsid w:val="00F668E4"/>
    <w:rsid w:val="00F67040"/>
    <w:rsid w:val="00F67F28"/>
    <w:rsid w:val="00F73DF9"/>
    <w:rsid w:val="00F77A39"/>
    <w:rsid w:val="00F80E4D"/>
    <w:rsid w:val="00F816C6"/>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3BE"/>
    <w:rsid w:val="00FB36A6"/>
    <w:rsid w:val="00FB3B31"/>
    <w:rsid w:val="00FB3DC2"/>
    <w:rsid w:val="00FB4726"/>
    <w:rsid w:val="00FB5F3B"/>
    <w:rsid w:val="00FB5F6E"/>
    <w:rsid w:val="00FC59BF"/>
    <w:rsid w:val="00FD2054"/>
    <w:rsid w:val="00FE0463"/>
    <w:rsid w:val="00FE17DC"/>
    <w:rsid w:val="00FE1E5C"/>
    <w:rsid w:val="00FE30E6"/>
    <w:rsid w:val="00FE4382"/>
    <w:rsid w:val="00FE4F93"/>
    <w:rsid w:val="00FE5C34"/>
    <w:rsid w:val="00FE66B5"/>
    <w:rsid w:val="00FF3CDD"/>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569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E40B1A"/>
    <w:rPr>
      <w:sz w:val="24"/>
      <w:szCs w:val="24"/>
    </w:rPr>
  </w:style>
  <w:style w:type="character" w:styleId="Hypertextovodkaz">
    <w:name w:val="Hyperlink"/>
    <w:basedOn w:val="Standardnpsmoodstavce"/>
    <w:uiPriority w:val="99"/>
    <w:unhideWhenUsed/>
    <w:rsid w:val="0026641A"/>
    <w:rPr>
      <w:color w:val="0000FF" w:themeColor="hyperlink"/>
      <w:u w:val="single"/>
    </w:rPr>
  </w:style>
  <w:style w:type="paragraph" w:styleId="Zhlav">
    <w:name w:val="header"/>
    <w:basedOn w:val="Normln"/>
    <w:link w:val="ZhlavChar"/>
    <w:uiPriority w:val="99"/>
    <w:unhideWhenUsed/>
    <w:rsid w:val="00574A08"/>
    <w:pPr>
      <w:tabs>
        <w:tab w:val="center" w:pos="4536"/>
        <w:tab w:val="right" w:pos="9072"/>
      </w:tabs>
    </w:pPr>
  </w:style>
  <w:style w:type="character" w:customStyle="1" w:styleId="ZhlavChar">
    <w:name w:val="Záhlaví Char"/>
    <w:basedOn w:val="Standardnpsmoodstavce"/>
    <w:link w:val="Zhlav"/>
    <w:uiPriority w:val="99"/>
    <w:rsid w:val="00574A08"/>
    <w:rPr>
      <w:sz w:val="24"/>
      <w:szCs w:val="24"/>
    </w:rPr>
  </w:style>
  <w:style w:type="paragraph" w:styleId="Zpat">
    <w:name w:val="footer"/>
    <w:basedOn w:val="Normln"/>
    <w:link w:val="ZpatChar"/>
    <w:uiPriority w:val="99"/>
    <w:unhideWhenUsed/>
    <w:rsid w:val="00574A08"/>
    <w:pPr>
      <w:tabs>
        <w:tab w:val="center" w:pos="4536"/>
        <w:tab w:val="right" w:pos="9072"/>
      </w:tabs>
    </w:pPr>
  </w:style>
  <w:style w:type="character" w:customStyle="1" w:styleId="ZpatChar">
    <w:name w:val="Zápatí Char"/>
    <w:basedOn w:val="Standardnpsmoodstavce"/>
    <w:link w:val="Zpat"/>
    <w:uiPriority w:val="99"/>
    <w:rsid w:val="00574A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9773">
      <w:bodyDiv w:val="1"/>
      <w:marLeft w:val="0"/>
      <w:marRight w:val="0"/>
      <w:marTop w:val="0"/>
      <w:marBottom w:val="0"/>
      <w:divBdr>
        <w:top w:val="none" w:sz="0" w:space="0" w:color="auto"/>
        <w:left w:val="none" w:sz="0" w:space="0" w:color="auto"/>
        <w:bottom w:val="none" w:sz="0" w:space="0" w:color="auto"/>
        <w:right w:val="none" w:sz="0" w:space="0" w:color="auto"/>
      </w:divBdr>
    </w:div>
    <w:div w:id="1019507368">
      <w:bodyDiv w:val="1"/>
      <w:marLeft w:val="0"/>
      <w:marRight w:val="0"/>
      <w:marTop w:val="0"/>
      <w:marBottom w:val="0"/>
      <w:divBdr>
        <w:top w:val="none" w:sz="0" w:space="0" w:color="auto"/>
        <w:left w:val="none" w:sz="0" w:space="0" w:color="auto"/>
        <w:bottom w:val="none" w:sz="0" w:space="0" w:color="auto"/>
        <w:right w:val="none" w:sz="0" w:space="0" w:color="auto"/>
      </w:divBdr>
    </w:div>
    <w:div w:id="1025179914">
      <w:bodyDiv w:val="1"/>
      <w:marLeft w:val="0"/>
      <w:marRight w:val="0"/>
      <w:marTop w:val="0"/>
      <w:marBottom w:val="0"/>
      <w:divBdr>
        <w:top w:val="none" w:sz="0" w:space="0" w:color="auto"/>
        <w:left w:val="none" w:sz="0" w:space="0" w:color="auto"/>
        <w:bottom w:val="none" w:sz="0" w:space="0" w:color="auto"/>
        <w:right w:val="none" w:sz="0" w:space="0" w:color="auto"/>
      </w:divBdr>
    </w:div>
    <w:div w:id="1078753271">
      <w:bodyDiv w:val="1"/>
      <w:marLeft w:val="0"/>
      <w:marRight w:val="0"/>
      <w:marTop w:val="0"/>
      <w:marBottom w:val="0"/>
      <w:divBdr>
        <w:top w:val="none" w:sz="0" w:space="0" w:color="auto"/>
        <w:left w:val="none" w:sz="0" w:space="0" w:color="auto"/>
        <w:bottom w:val="none" w:sz="0" w:space="0" w:color="auto"/>
        <w:right w:val="none" w:sz="0" w:space="0" w:color="auto"/>
      </w:divBdr>
    </w:div>
    <w:div w:id="1260748290">
      <w:bodyDiv w:val="1"/>
      <w:marLeft w:val="0"/>
      <w:marRight w:val="0"/>
      <w:marTop w:val="0"/>
      <w:marBottom w:val="0"/>
      <w:divBdr>
        <w:top w:val="none" w:sz="0" w:space="0" w:color="auto"/>
        <w:left w:val="none" w:sz="0" w:space="0" w:color="auto"/>
        <w:bottom w:val="none" w:sz="0" w:space="0" w:color="auto"/>
        <w:right w:val="none" w:sz="0" w:space="0" w:color="auto"/>
      </w:divBdr>
    </w:div>
    <w:div w:id="1271551236">
      <w:bodyDiv w:val="1"/>
      <w:marLeft w:val="0"/>
      <w:marRight w:val="0"/>
      <w:marTop w:val="0"/>
      <w:marBottom w:val="0"/>
      <w:divBdr>
        <w:top w:val="none" w:sz="0" w:space="0" w:color="auto"/>
        <w:left w:val="none" w:sz="0" w:space="0" w:color="auto"/>
        <w:bottom w:val="none" w:sz="0" w:space="0" w:color="auto"/>
        <w:right w:val="none" w:sz="0" w:space="0" w:color="auto"/>
      </w:divBdr>
    </w:div>
    <w:div w:id="1311255688">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504658584">
      <w:bodyDiv w:val="1"/>
      <w:marLeft w:val="0"/>
      <w:marRight w:val="0"/>
      <w:marTop w:val="0"/>
      <w:marBottom w:val="0"/>
      <w:divBdr>
        <w:top w:val="none" w:sz="0" w:space="0" w:color="auto"/>
        <w:left w:val="none" w:sz="0" w:space="0" w:color="auto"/>
        <w:bottom w:val="none" w:sz="0" w:space="0" w:color="auto"/>
        <w:right w:val="none" w:sz="0" w:space="0" w:color="auto"/>
      </w:divBdr>
    </w:div>
    <w:div w:id="17682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91FF-BC53-48AC-8212-D7A403D3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4812</Words>
  <Characters>28391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2023-01-16T15:00:00Z</dcterms:created>
  <dcterms:modified xsi:type="dcterms:W3CDTF">2023-01-16T15:00:00Z</dcterms:modified>
</cp:coreProperties>
</file>