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669DB" w14:textId="77777777" w:rsidR="00402226" w:rsidRDefault="00402226" w:rsidP="00402226">
      <w:pPr>
        <w:rPr>
          <w:rFonts w:asciiTheme="minorHAnsi" w:hAnsiTheme="minorHAnsi" w:cstheme="minorHAnsi"/>
          <w:b/>
          <w:sz w:val="24"/>
          <w:szCs w:val="24"/>
        </w:rPr>
      </w:pPr>
    </w:p>
    <w:p w14:paraId="6D47BE90" w14:textId="77777777" w:rsidR="00402226" w:rsidRPr="00D64C29" w:rsidRDefault="00402226" w:rsidP="00402226">
      <w:pPr>
        <w:jc w:val="center"/>
        <w:rPr>
          <w:rFonts w:asciiTheme="minorHAnsi" w:hAnsiTheme="minorHAnsi" w:cstheme="minorHAnsi"/>
          <w:b/>
          <w:sz w:val="24"/>
          <w:szCs w:val="24"/>
        </w:rPr>
      </w:pPr>
      <w:r w:rsidRPr="00D64C29">
        <w:rPr>
          <w:rFonts w:asciiTheme="minorHAnsi" w:hAnsiTheme="minorHAnsi" w:cstheme="minorHAnsi"/>
          <w:b/>
          <w:sz w:val="24"/>
          <w:szCs w:val="24"/>
        </w:rPr>
        <w:t xml:space="preserve">VEŘEJNOPRÁVNÍ SMLOUVA </w:t>
      </w:r>
    </w:p>
    <w:p w14:paraId="74668981" w14:textId="1B1FF347" w:rsidR="00402226" w:rsidRPr="00D64C29" w:rsidRDefault="00402226" w:rsidP="00402226">
      <w:pPr>
        <w:jc w:val="center"/>
        <w:rPr>
          <w:rFonts w:asciiTheme="minorHAnsi" w:hAnsiTheme="minorHAnsi" w:cstheme="minorHAnsi"/>
          <w:b/>
          <w:sz w:val="24"/>
          <w:szCs w:val="24"/>
        </w:rPr>
      </w:pPr>
      <w:r w:rsidRPr="00D64C29">
        <w:rPr>
          <w:rFonts w:asciiTheme="minorHAnsi" w:hAnsiTheme="minorHAnsi" w:cstheme="minorHAnsi"/>
          <w:b/>
          <w:sz w:val="24"/>
          <w:szCs w:val="24"/>
        </w:rPr>
        <w:t>O POSKYTNUTÍ NEINVESTIČNÍ DOTACE č. KT/</w:t>
      </w:r>
      <w:r w:rsidR="008561DE">
        <w:rPr>
          <w:rFonts w:asciiTheme="minorHAnsi" w:hAnsiTheme="minorHAnsi" w:cstheme="minorHAnsi"/>
          <w:b/>
          <w:sz w:val="24"/>
          <w:szCs w:val="24"/>
        </w:rPr>
        <w:t>12215/22</w:t>
      </w:r>
    </w:p>
    <w:p w14:paraId="1CB608FC" w14:textId="77777777" w:rsidR="00402226" w:rsidRPr="00D64C29" w:rsidRDefault="00402226" w:rsidP="00402226">
      <w:pPr>
        <w:pBdr>
          <w:bottom w:val="single" w:sz="6" w:space="1" w:color="000000"/>
        </w:pBdr>
        <w:jc w:val="center"/>
        <w:rPr>
          <w:rFonts w:asciiTheme="minorHAnsi" w:hAnsiTheme="minorHAnsi" w:cstheme="minorHAnsi"/>
          <w:b/>
          <w:sz w:val="10"/>
          <w:szCs w:val="10"/>
        </w:rPr>
      </w:pPr>
    </w:p>
    <w:p w14:paraId="0E836D6A" w14:textId="77777777" w:rsidR="00402226" w:rsidRPr="00D64C29" w:rsidRDefault="00402226" w:rsidP="00402226">
      <w:pPr>
        <w:jc w:val="center"/>
        <w:rPr>
          <w:rFonts w:asciiTheme="minorHAnsi" w:hAnsiTheme="minorHAnsi" w:cstheme="minorHAnsi"/>
          <w:sz w:val="16"/>
          <w:szCs w:val="16"/>
        </w:rPr>
      </w:pPr>
    </w:p>
    <w:p w14:paraId="63092205" w14:textId="77777777" w:rsidR="00402226" w:rsidRPr="00D64C29" w:rsidRDefault="00402226" w:rsidP="00402226">
      <w:pPr>
        <w:jc w:val="center"/>
        <w:rPr>
          <w:rFonts w:asciiTheme="minorHAnsi" w:hAnsiTheme="minorHAnsi" w:cstheme="minorHAnsi"/>
          <w:sz w:val="16"/>
          <w:szCs w:val="16"/>
        </w:rPr>
      </w:pPr>
      <w:r w:rsidRPr="00D64C29">
        <w:rPr>
          <w:rFonts w:asciiTheme="minorHAnsi" w:hAnsiTheme="minorHAnsi" w:cstheme="minorHAnsi"/>
          <w:sz w:val="16"/>
          <w:szCs w:val="16"/>
        </w:rPr>
        <w:t xml:space="preserve">uzavřená </w:t>
      </w:r>
      <w:r>
        <w:rPr>
          <w:rFonts w:asciiTheme="minorHAnsi" w:hAnsiTheme="minorHAnsi" w:cstheme="minorHAnsi"/>
          <w:sz w:val="16"/>
          <w:szCs w:val="16"/>
        </w:rPr>
        <w:t xml:space="preserve">zejména </w:t>
      </w:r>
      <w:r w:rsidRPr="00D64C29">
        <w:rPr>
          <w:rFonts w:asciiTheme="minorHAnsi" w:hAnsiTheme="minorHAnsi" w:cstheme="minorHAnsi"/>
          <w:sz w:val="16"/>
          <w:szCs w:val="16"/>
        </w:rPr>
        <w:t xml:space="preserve">ve smyslu </w:t>
      </w:r>
      <w:proofErr w:type="spellStart"/>
      <w:r>
        <w:rPr>
          <w:rFonts w:asciiTheme="minorHAnsi" w:hAnsiTheme="minorHAnsi" w:cstheme="minorHAnsi"/>
          <w:sz w:val="16"/>
          <w:szCs w:val="16"/>
        </w:rPr>
        <w:t>ust</w:t>
      </w:r>
      <w:proofErr w:type="spellEnd"/>
      <w:r>
        <w:rPr>
          <w:rFonts w:asciiTheme="minorHAnsi" w:hAnsiTheme="minorHAnsi" w:cstheme="minorHAnsi"/>
          <w:sz w:val="16"/>
          <w:szCs w:val="16"/>
        </w:rPr>
        <w:t xml:space="preserve">. </w:t>
      </w:r>
      <w:r w:rsidRPr="00D64C29">
        <w:rPr>
          <w:rFonts w:asciiTheme="minorHAnsi" w:hAnsiTheme="minorHAnsi" w:cstheme="minorHAnsi"/>
          <w:sz w:val="16"/>
          <w:szCs w:val="16"/>
        </w:rPr>
        <w:t xml:space="preserve">§ 159 a násl. zákona č. 500/2004 Sb., správní řád, ve znění pozdějších předpisů </w:t>
      </w:r>
    </w:p>
    <w:p w14:paraId="706B0197" w14:textId="77777777" w:rsidR="00402226" w:rsidRPr="00D64C29" w:rsidRDefault="00402226" w:rsidP="00402226">
      <w:pPr>
        <w:jc w:val="center"/>
        <w:rPr>
          <w:rFonts w:asciiTheme="minorHAnsi" w:hAnsiTheme="minorHAnsi" w:cstheme="minorHAnsi"/>
        </w:rPr>
      </w:pPr>
      <w:r w:rsidRPr="00D64C29">
        <w:rPr>
          <w:rFonts w:asciiTheme="minorHAnsi" w:hAnsiTheme="minorHAnsi" w:cstheme="minorHAnsi"/>
          <w:sz w:val="16"/>
          <w:szCs w:val="16"/>
        </w:rPr>
        <w:t xml:space="preserve">a </w:t>
      </w:r>
      <w:proofErr w:type="spellStart"/>
      <w:r>
        <w:rPr>
          <w:rFonts w:asciiTheme="minorHAnsi" w:hAnsiTheme="minorHAnsi" w:cstheme="minorHAnsi"/>
          <w:sz w:val="16"/>
          <w:szCs w:val="16"/>
        </w:rPr>
        <w:t>ust</w:t>
      </w:r>
      <w:proofErr w:type="spellEnd"/>
      <w:r>
        <w:rPr>
          <w:rFonts w:asciiTheme="minorHAnsi" w:hAnsiTheme="minorHAnsi" w:cstheme="minorHAnsi"/>
          <w:sz w:val="16"/>
          <w:szCs w:val="16"/>
        </w:rPr>
        <w:t xml:space="preserve">. </w:t>
      </w:r>
      <w:r w:rsidRPr="00D64C29">
        <w:rPr>
          <w:rFonts w:asciiTheme="minorHAnsi" w:hAnsiTheme="minorHAnsi" w:cstheme="minorHAnsi"/>
          <w:sz w:val="16"/>
          <w:szCs w:val="16"/>
        </w:rPr>
        <w:t>§ 10a odst. 5 zákona č. 250/2000 Sb., o rozpočtových pravidlech územních rozpočtů, ve znění pozdějších předpisů</w:t>
      </w:r>
    </w:p>
    <w:p w14:paraId="5428EDA6" w14:textId="77777777" w:rsidR="00402226" w:rsidRPr="00D64C29" w:rsidRDefault="00402226" w:rsidP="00402226">
      <w:pPr>
        <w:jc w:val="center"/>
        <w:rPr>
          <w:rFonts w:asciiTheme="minorHAnsi" w:hAnsiTheme="minorHAnsi" w:cstheme="minorHAnsi"/>
          <w:b/>
          <w:bCs/>
          <w:sz w:val="22"/>
          <w:szCs w:val="22"/>
        </w:rPr>
      </w:pPr>
    </w:p>
    <w:p w14:paraId="4131D372" w14:textId="77777777" w:rsidR="00402226" w:rsidRPr="00D64C29" w:rsidRDefault="00402226" w:rsidP="00402226">
      <w:pPr>
        <w:autoSpaceDE w:val="0"/>
        <w:adjustRightInd w:val="0"/>
        <w:jc w:val="center"/>
        <w:rPr>
          <w:rFonts w:asciiTheme="minorHAnsi" w:hAnsiTheme="minorHAnsi" w:cstheme="minorHAnsi"/>
          <w:b/>
        </w:rPr>
      </w:pPr>
      <w:r w:rsidRPr="00D64C29">
        <w:rPr>
          <w:rFonts w:asciiTheme="minorHAnsi" w:hAnsiTheme="minorHAnsi" w:cstheme="minorHAnsi"/>
          <w:b/>
        </w:rPr>
        <w:t>I.</w:t>
      </w:r>
    </w:p>
    <w:p w14:paraId="2F898399" w14:textId="77777777" w:rsidR="00402226" w:rsidRPr="00D64C29" w:rsidRDefault="00402226" w:rsidP="00402226">
      <w:pPr>
        <w:pStyle w:val="Nadpis3"/>
        <w:rPr>
          <w:rFonts w:asciiTheme="minorHAnsi" w:hAnsiTheme="minorHAnsi" w:cstheme="minorHAnsi"/>
          <w:b/>
          <w:sz w:val="20"/>
          <w:szCs w:val="20"/>
        </w:rPr>
      </w:pPr>
      <w:r w:rsidRPr="00D64C29">
        <w:rPr>
          <w:rFonts w:asciiTheme="minorHAnsi" w:hAnsiTheme="minorHAnsi" w:cstheme="minorHAnsi"/>
          <w:b/>
          <w:sz w:val="20"/>
          <w:szCs w:val="20"/>
        </w:rPr>
        <w:t>Obecná ustanovení</w:t>
      </w:r>
    </w:p>
    <w:p w14:paraId="498A4D7D" w14:textId="02FBAA5C" w:rsidR="001B16BE" w:rsidRDefault="001B16BE" w:rsidP="001B16BE">
      <w:pPr>
        <w:pStyle w:val="Zkladntext"/>
        <w:jc w:val="both"/>
        <w:rPr>
          <w:rFonts w:asciiTheme="minorHAnsi" w:hAnsiTheme="minorHAnsi" w:cstheme="minorHAnsi"/>
          <w:sz w:val="20"/>
          <w:szCs w:val="20"/>
        </w:rPr>
      </w:pPr>
      <w:r>
        <w:rPr>
          <w:rFonts w:asciiTheme="minorHAnsi" w:hAnsiTheme="minorHAnsi" w:cstheme="minorHAnsi"/>
          <w:sz w:val="20"/>
          <w:szCs w:val="20"/>
        </w:rPr>
        <w:t>Zastupitelstvo města rozhodlo na základě podané žádosti o poskytnutí dotace svým usnesením č. Z/</w:t>
      </w:r>
      <w:r w:rsidR="00726CC0">
        <w:rPr>
          <w:rFonts w:asciiTheme="minorHAnsi" w:hAnsiTheme="minorHAnsi" w:cstheme="minorHAnsi"/>
          <w:sz w:val="20"/>
          <w:szCs w:val="20"/>
        </w:rPr>
        <w:t>1919/3</w:t>
      </w:r>
      <w:r>
        <w:rPr>
          <w:rFonts w:asciiTheme="minorHAnsi" w:hAnsiTheme="minorHAnsi" w:cstheme="minorHAnsi"/>
          <w:sz w:val="20"/>
          <w:szCs w:val="20"/>
        </w:rPr>
        <w:t xml:space="preserve"> ze dne </w:t>
      </w:r>
      <w:r w:rsidR="008561DE">
        <w:rPr>
          <w:rFonts w:asciiTheme="minorHAnsi" w:hAnsiTheme="minorHAnsi" w:cstheme="minorHAnsi"/>
          <w:sz w:val="20"/>
          <w:szCs w:val="20"/>
        </w:rPr>
        <w:t>15.12.2022</w:t>
      </w:r>
      <w:r>
        <w:rPr>
          <w:rFonts w:asciiTheme="minorHAnsi" w:hAnsiTheme="minorHAnsi" w:cstheme="minorHAnsi"/>
          <w:sz w:val="20"/>
          <w:szCs w:val="20"/>
        </w:rPr>
        <w:t xml:space="preserve"> podle </w:t>
      </w:r>
      <w:proofErr w:type="spellStart"/>
      <w:r>
        <w:rPr>
          <w:rFonts w:asciiTheme="minorHAnsi" w:hAnsiTheme="minorHAnsi" w:cstheme="minorHAnsi"/>
          <w:sz w:val="20"/>
          <w:szCs w:val="20"/>
        </w:rPr>
        <w:t>ust</w:t>
      </w:r>
      <w:proofErr w:type="spellEnd"/>
      <w:r>
        <w:rPr>
          <w:rFonts w:asciiTheme="minorHAnsi" w:hAnsiTheme="minorHAnsi" w:cstheme="minorHAnsi"/>
          <w:sz w:val="20"/>
          <w:szCs w:val="20"/>
        </w:rPr>
        <w:t xml:space="preserve">. § 102 odst. 3/ podle </w:t>
      </w:r>
      <w:proofErr w:type="spellStart"/>
      <w:r>
        <w:rPr>
          <w:rFonts w:asciiTheme="minorHAnsi" w:hAnsiTheme="minorHAnsi" w:cstheme="minorHAnsi"/>
          <w:sz w:val="20"/>
          <w:szCs w:val="20"/>
        </w:rPr>
        <w:t>ust</w:t>
      </w:r>
      <w:proofErr w:type="spellEnd"/>
      <w:r>
        <w:rPr>
          <w:rFonts w:asciiTheme="minorHAnsi" w:hAnsiTheme="minorHAnsi" w:cstheme="minorHAnsi"/>
          <w:sz w:val="20"/>
          <w:szCs w:val="20"/>
        </w:rPr>
        <w:t xml:space="preserve">. § 85 písm. c) zákona č. 128/2000 Sb., o obcích (obecní zřízení) ve znění pozdějších předpisů, v souladu se zákonem č. 250/2000 Sb., o rozpočtových pravidlech územních rozpočtů, ve znění pozdějších předpisů (dále jen „250/2000 Sb.“), o poskytnutí dotace ve výši a za podmínek dále uvedených v této smlouvě. </w:t>
      </w:r>
    </w:p>
    <w:p w14:paraId="59CB8422" w14:textId="77777777" w:rsidR="00402226" w:rsidRPr="00D64C29" w:rsidRDefault="00402226" w:rsidP="00402226">
      <w:pPr>
        <w:autoSpaceDE w:val="0"/>
        <w:adjustRightInd w:val="0"/>
        <w:jc w:val="center"/>
        <w:rPr>
          <w:rFonts w:asciiTheme="minorHAnsi" w:hAnsiTheme="minorHAnsi" w:cstheme="minorHAnsi"/>
          <w:b/>
        </w:rPr>
      </w:pPr>
    </w:p>
    <w:p w14:paraId="6F98F061" w14:textId="77777777" w:rsidR="00402226" w:rsidRPr="00D64C29" w:rsidRDefault="00402226" w:rsidP="00402226">
      <w:pPr>
        <w:autoSpaceDE w:val="0"/>
        <w:adjustRightInd w:val="0"/>
        <w:jc w:val="center"/>
        <w:rPr>
          <w:rFonts w:asciiTheme="minorHAnsi" w:hAnsiTheme="minorHAnsi" w:cstheme="minorHAnsi"/>
          <w:b/>
        </w:rPr>
      </w:pPr>
      <w:r w:rsidRPr="00D64C29">
        <w:rPr>
          <w:rFonts w:asciiTheme="minorHAnsi" w:hAnsiTheme="minorHAnsi" w:cstheme="minorHAnsi"/>
          <w:b/>
        </w:rPr>
        <w:t>II.</w:t>
      </w:r>
    </w:p>
    <w:p w14:paraId="594AA5E2" w14:textId="77777777" w:rsidR="00402226" w:rsidRPr="00E6024C" w:rsidRDefault="00402226" w:rsidP="00402226">
      <w:pPr>
        <w:pStyle w:val="Nadpis3"/>
        <w:rPr>
          <w:rFonts w:asciiTheme="minorHAnsi" w:hAnsiTheme="minorHAnsi" w:cstheme="minorHAnsi"/>
          <w:b/>
          <w:szCs w:val="22"/>
        </w:rPr>
      </w:pPr>
      <w:r w:rsidRPr="00E6024C">
        <w:rPr>
          <w:rFonts w:asciiTheme="minorHAnsi" w:hAnsiTheme="minorHAnsi" w:cstheme="minorHAnsi"/>
          <w:b/>
          <w:szCs w:val="22"/>
        </w:rPr>
        <w:t>Poskytovatel a příjemce dotace</w:t>
      </w:r>
    </w:p>
    <w:p w14:paraId="1FCAB7A1" w14:textId="77777777" w:rsidR="00402226" w:rsidRPr="00E6024C" w:rsidRDefault="00402226" w:rsidP="00402226">
      <w:pPr>
        <w:jc w:val="both"/>
        <w:rPr>
          <w:rFonts w:asciiTheme="minorHAnsi" w:hAnsiTheme="minorHAnsi" w:cstheme="minorHAnsi"/>
          <w:b/>
          <w:bCs/>
          <w:sz w:val="22"/>
          <w:szCs w:val="22"/>
        </w:rPr>
      </w:pPr>
    </w:p>
    <w:p w14:paraId="3EF35DE0" w14:textId="77777777" w:rsidR="00402226" w:rsidRPr="00601DC5" w:rsidRDefault="00402226" w:rsidP="00402226">
      <w:pPr>
        <w:autoSpaceDE w:val="0"/>
        <w:adjustRightInd w:val="0"/>
        <w:jc w:val="both"/>
        <w:rPr>
          <w:rFonts w:asciiTheme="minorHAnsi" w:hAnsiTheme="minorHAnsi" w:cstheme="minorHAnsi"/>
          <w:sz w:val="22"/>
          <w:szCs w:val="22"/>
        </w:rPr>
      </w:pPr>
      <w:r w:rsidRPr="00601DC5">
        <w:rPr>
          <w:rFonts w:asciiTheme="minorHAnsi" w:hAnsiTheme="minorHAnsi" w:cstheme="minorHAnsi"/>
          <w:sz w:val="22"/>
          <w:szCs w:val="22"/>
        </w:rPr>
        <w:t>1. Poskytovatelem dotace podle této smlouvy je:</w:t>
      </w:r>
    </w:p>
    <w:p w14:paraId="196531AB" w14:textId="77777777" w:rsidR="00402226" w:rsidRPr="00601DC5" w:rsidRDefault="00402226" w:rsidP="00402226">
      <w:pPr>
        <w:rPr>
          <w:rFonts w:asciiTheme="minorHAnsi" w:hAnsiTheme="minorHAnsi" w:cstheme="minorHAnsi"/>
          <w:b/>
          <w:sz w:val="22"/>
          <w:szCs w:val="22"/>
        </w:rPr>
      </w:pPr>
      <w:r w:rsidRPr="00601DC5">
        <w:rPr>
          <w:rFonts w:asciiTheme="minorHAnsi" w:hAnsiTheme="minorHAnsi" w:cstheme="minorHAnsi"/>
          <w:b/>
          <w:sz w:val="22"/>
          <w:szCs w:val="22"/>
        </w:rPr>
        <w:t xml:space="preserve"> Město Litvínov</w:t>
      </w:r>
    </w:p>
    <w:p w14:paraId="5A2F380C" w14:textId="77777777" w:rsidR="00402226" w:rsidRDefault="00402226" w:rsidP="00402226">
      <w:pPr>
        <w:rPr>
          <w:rFonts w:ascii="Calibri" w:hAnsi="Calibri" w:cs="Calibri"/>
          <w:sz w:val="22"/>
          <w:szCs w:val="22"/>
        </w:rPr>
      </w:pPr>
      <w:r>
        <w:rPr>
          <w:rFonts w:ascii="Calibri" w:hAnsi="Calibri" w:cs="Calibri"/>
          <w:sz w:val="22"/>
          <w:szCs w:val="22"/>
        </w:rPr>
        <w:t>Zastoupené:</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Mgr. Kamilou Bláhovou, starostkou města</w:t>
      </w:r>
    </w:p>
    <w:p w14:paraId="608616C6" w14:textId="77777777" w:rsidR="00402226" w:rsidRPr="00601DC5" w:rsidRDefault="00402226" w:rsidP="00402226">
      <w:pPr>
        <w:rPr>
          <w:rFonts w:asciiTheme="minorHAnsi" w:hAnsiTheme="minorHAnsi" w:cstheme="minorHAnsi"/>
          <w:sz w:val="22"/>
          <w:szCs w:val="22"/>
        </w:rPr>
      </w:pPr>
      <w:r w:rsidRPr="00601DC5">
        <w:rPr>
          <w:rFonts w:asciiTheme="minorHAnsi" w:hAnsiTheme="minorHAnsi" w:cstheme="minorHAnsi"/>
          <w:sz w:val="22"/>
          <w:szCs w:val="22"/>
        </w:rPr>
        <w:t>Sídlo:</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Městský úřad Litvínov, 436 01 Litvínov, náměstí Míru 11</w:t>
      </w:r>
    </w:p>
    <w:p w14:paraId="132491C9" w14:textId="77777777" w:rsidR="00402226" w:rsidRPr="00601DC5" w:rsidRDefault="00402226" w:rsidP="00402226">
      <w:pPr>
        <w:rPr>
          <w:rFonts w:asciiTheme="minorHAnsi" w:hAnsiTheme="minorHAnsi" w:cstheme="minorHAnsi"/>
          <w:sz w:val="22"/>
          <w:szCs w:val="22"/>
        </w:rPr>
      </w:pPr>
      <w:r w:rsidRPr="00601DC5">
        <w:rPr>
          <w:rFonts w:asciiTheme="minorHAnsi" w:hAnsiTheme="minorHAnsi" w:cstheme="minorHAnsi"/>
          <w:sz w:val="22"/>
          <w:szCs w:val="22"/>
        </w:rPr>
        <w:t>IČ:</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00266027</w:t>
      </w:r>
    </w:p>
    <w:p w14:paraId="7CF9760D" w14:textId="77777777" w:rsidR="00402226" w:rsidRPr="00601DC5" w:rsidRDefault="00402226" w:rsidP="00402226">
      <w:pPr>
        <w:rPr>
          <w:rFonts w:asciiTheme="minorHAnsi" w:hAnsiTheme="minorHAnsi" w:cstheme="minorHAnsi"/>
          <w:sz w:val="22"/>
          <w:szCs w:val="22"/>
        </w:rPr>
      </w:pPr>
      <w:r w:rsidRPr="00601DC5">
        <w:rPr>
          <w:rFonts w:asciiTheme="minorHAnsi" w:hAnsiTheme="minorHAnsi" w:cstheme="minorHAnsi"/>
          <w:sz w:val="22"/>
          <w:szCs w:val="22"/>
        </w:rPr>
        <w:t>DIČ:</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CZ000266027</w:t>
      </w:r>
    </w:p>
    <w:p w14:paraId="0932CD1B" w14:textId="77777777" w:rsidR="00402226" w:rsidRPr="00601DC5" w:rsidRDefault="00402226" w:rsidP="00402226">
      <w:pPr>
        <w:ind w:left="2832" w:hanging="2832"/>
        <w:rPr>
          <w:rFonts w:asciiTheme="minorHAnsi" w:hAnsiTheme="minorHAnsi" w:cstheme="minorHAnsi"/>
          <w:sz w:val="22"/>
          <w:szCs w:val="22"/>
        </w:rPr>
      </w:pPr>
      <w:r w:rsidRPr="00601DC5">
        <w:rPr>
          <w:rFonts w:asciiTheme="minorHAnsi" w:hAnsiTheme="minorHAnsi" w:cstheme="minorHAnsi"/>
          <w:sz w:val="22"/>
          <w:szCs w:val="22"/>
        </w:rPr>
        <w:t>bankovní spojení:</w:t>
      </w:r>
      <w:r w:rsidRPr="00601DC5">
        <w:rPr>
          <w:rFonts w:asciiTheme="minorHAnsi" w:hAnsiTheme="minorHAnsi" w:cstheme="minorHAnsi"/>
          <w:sz w:val="22"/>
          <w:szCs w:val="22"/>
        </w:rPr>
        <w:tab/>
        <w:t>Komerční banka, a.s., expozitura Litvínov</w:t>
      </w:r>
    </w:p>
    <w:p w14:paraId="7CF34C5D" w14:textId="77777777" w:rsidR="00402226" w:rsidRPr="00601DC5" w:rsidRDefault="00402226" w:rsidP="00402226">
      <w:pPr>
        <w:rPr>
          <w:rFonts w:asciiTheme="minorHAnsi" w:hAnsiTheme="minorHAnsi" w:cstheme="minorHAnsi"/>
          <w:sz w:val="22"/>
          <w:szCs w:val="22"/>
        </w:rPr>
      </w:pPr>
      <w:r w:rsidRPr="00601DC5">
        <w:rPr>
          <w:rFonts w:asciiTheme="minorHAnsi" w:hAnsiTheme="minorHAnsi" w:cstheme="minorHAnsi"/>
          <w:sz w:val="22"/>
          <w:szCs w:val="22"/>
        </w:rPr>
        <w:t>č. účtu:</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90050001326491/0100</w:t>
      </w:r>
    </w:p>
    <w:p w14:paraId="1CC57789" w14:textId="77777777" w:rsidR="00402226" w:rsidRPr="00601DC5" w:rsidRDefault="00402226" w:rsidP="00402226">
      <w:pPr>
        <w:rPr>
          <w:rFonts w:asciiTheme="minorHAnsi" w:hAnsiTheme="minorHAnsi" w:cstheme="minorHAnsi"/>
          <w:sz w:val="22"/>
          <w:szCs w:val="22"/>
        </w:rPr>
      </w:pPr>
      <w:r w:rsidRPr="00601DC5">
        <w:rPr>
          <w:rFonts w:asciiTheme="minorHAnsi" w:hAnsiTheme="minorHAnsi" w:cstheme="minorHAnsi"/>
          <w:sz w:val="22"/>
          <w:szCs w:val="22"/>
        </w:rPr>
        <w:t>(dále také jako „</w:t>
      </w:r>
      <w:r w:rsidRPr="00601DC5">
        <w:rPr>
          <w:rFonts w:asciiTheme="minorHAnsi" w:hAnsiTheme="minorHAnsi" w:cstheme="minorHAnsi"/>
          <w:i/>
          <w:sz w:val="22"/>
          <w:szCs w:val="22"/>
        </w:rPr>
        <w:t>poskytovatel</w:t>
      </w:r>
      <w:r w:rsidRPr="00601DC5">
        <w:rPr>
          <w:rFonts w:asciiTheme="minorHAnsi" w:hAnsiTheme="minorHAnsi" w:cstheme="minorHAnsi"/>
          <w:sz w:val="22"/>
          <w:szCs w:val="22"/>
        </w:rPr>
        <w:t>“)</w:t>
      </w:r>
    </w:p>
    <w:p w14:paraId="5E877E09" w14:textId="77777777" w:rsidR="00402226" w:rsidRPr="00601DC5" w:rsidRDefault="00402226" w:rsidP="00402226">
      <w:pPr>
        <w:jc w:val="both"/>
        <w:rPr>
          <w:rFonts w:asciiTheme="minorHAnsi" w:hAnsiTheme="minorHAnsi" w:cstheme="minorHAnsi"/>
          <w:sz w:val="22"/>
          <w:szCs w:val="22"/>
        </w:rPr>
      </w:pPr>
    </w:p>
    <w:p w14:paraId="0EFB131D" w14:textId="77777777" w:rsidR="00402226" w:rsidRPr="00601DC5" w:rsidRDefault="00402226" w:rsidP="00402226">
      <w:pPr>
        <w:pStyle w:val="Zkladntext3"/>
        <w:rPr>
          <w:rFonts w:asciiTheme="minorHAnsi" w:hAnsiTheme="minorHAnsi" w:cstheme="minorHAnsi"/>
          <w:sz w:val="22"/>
          <w:szCs w:val="22"/>
        </w:rPr>
      </w:pPr>
    </w:p>
    <w:p w14:paraId="5118EBF8" w14:textId="77777777" w:rsidR="00402226" w:rsidRPr="00601DC5" w:rsidRDefault="00402226" w:rsidP="00402226">
      <w:pPr>
        <w:pStyle w:val="Zkladntext3"/>
        <w:spacing w:after="0"/>
        <w:rPr>
          <w:rFonts w:asciiTheme="minorHAnsi" w:hAnsiTheme="minorHAnsi" w:cstheme="minorHAnsi"/>
          <w:sz w:val="22"/>
          <w:szCs w:val="22"/>
        </w:rPr>
      </w:pPr>
      <w:r w:rsidRPr="00601DC5">
        <w:rPr>
          <w:rFonts w:asciiTheme="minorHAnsi" w:hAnsiTheme="minorHAnsi" w:cstheme="minorHAnsi"/>
          <w:sz w:val="22"/>
          <w:szCs w:val="22"/>
        </w:rPr>
        <w:t>2. Příjemcem dotace podle této smlouvy je:</w:t>
      </w:r>
    </w:p>
    <w:p w14:paraId="442157EB" w14:textId="77777777" w:rsidR="00402226" w:rsidRPr="00601DC5" w:rsidRDefault="00402226" w:rsidP="00402226">
      <w:pPr>
        <w:jc w:val="both"/>
        <w:rPr>
          <w:rFonts w:asciiTheme="minorHAnsi" w:hAnsiTheme="minorHAnsi" w:cstheme="minorHAnsi"/>
          <w:b/>
          <w:bCs/>
          <w:sz w:val="22"/>
          <w:szCs w:val="22"/>
        </w:rPr>
      </w:pPr>
      <w:r>
        <w:rPr>
          <w:rFonts w:asciiTheme="minorHAnsi" w:hAnsiTheme="minorHAnsi" w:cstheme="minorHAnsi"/>
          <w:b/>
          <w:bCs/>
          <w:sz w:val="22"/>
          <w:szCs w:val="22"/>
        </w:rPr>
        <w:t>Krušnohorská poliklinika</w:t>
      </w:r>
      <w:r w:rsidRPr="00601DC5">
        <w:rPr>
          <w:rFonts w:asciiTheme="minorHAnsi" w:hAnsiTheme="minorHAnsi" w:cstheme="minorHAnsi"/>
          <w:b/>
          <w:bCs/>
          <w:sz w:val="22"/>
          <w:szCs w:val="22"/>
        </w:rPr>
        <w:t>, s.</w:t>
      </w:r>
      <w:r>
        <w:rPr>
          <w:rFonts w:asciiTheme="minorHAnsi" w:hAnsiTheme="minorHAnsi" w:cstheme="minorHAnsi"/>
          <w:b/>
          <w:bCs/>
          <w:sz w:val="22"/>
          <w:szCs w:val="22"/>
        </w:rPr>
        <w:t xml:space="preserve"> </w:t>
      </w:r>
      <w:r w:rsidRPr="00601DC5">
        <w:rPr>
          <w:rFonts w:asciiTheme="minorHAnsi" w:hAnsiTheme="minorHAnsi" w:cstheme="minorHAnsi"/>
          <w:b/>
          <w:bCs/>
          <w:sz w:val="22"/>
          <w:szCs w:val="22"/>
        </w:rPr>
        <w:t>r.</w:t>
      </w:r>
      <w:r>
        <w:rPr>
          <w:rFonts w:asciiTheme="minorHAnsi" w:hAnsiTheme="minorHAnsi" w:cstheme="minorHAnsi"/>
          <w:b/>
          <w:bCs/>
          <w:sz w:val="22"/>
          <w:szCs w:val="22"/>
        </w:rPr>
        <w:t xml:space="preserve"> </w:t>
      </w:r>
      <w:r w:rsidRPr="00601DC5">
        <w:rPr>
          <w:rFonts w:asciiTheme="minorHAnsi" w:hAnsiTheme="minorHAnsi" w:cstheme="minorHAnsi"/>
          <w:b/>
          <w:bCs/>
          <w:sz w:val="22"/>
          <w:szCs w:val="22"/>
        </w:rPr>
        <w:t>o.</w:t>
      </w:r>
    </w:p>
    <w:p w14:paraId="4E36AF82" w14:textId="26650AA3" w:rsidR="00402226" w:rsidRPr="00CE4B7C" w:rsidRDefault="00402226" w:rsidP="00402226">
      <w:pPr>
        <w:jc w:val="both"/>
        <w:rPr>
          <w:rFonts w:asciiTheme="minorHAnsi" w:hAnsiTheme="minorHAnsi" w:cstheme="minorHAnsi"/>
          <w:sz w:val="22"/>
          <w:szCs w:val="22"/>
        </w:rPr>
      </w:pPr>
      <w:r w:rsidRPr="00CE4B7C">
        <w:rPr>
          <w:rFonts w:asciiTheme="minorHAnsi" w:hAnsiTheme="minorHAnsi" w:cstheme="minorHAnsi"/>
          <w:sz w:val="22"/>
          <w:szCs w:val="22"/>
        </w:rPr>
        <w:t>zastoupena:</w:t>
      </w:r>
      <w:r w:rsidRPr="00CE4B7C">
        <w:rPr>
          <w:rFonts w:asciiTheme="minorHAnsi" w:hAnsiTheme="minorHAnsi" w:cstheme="minorHAnsi"/>
          <w:sz w:val="22"/>
          <w:szCs w:val="22"/>
        </w:rPr>
        <w:tab/>
      </w:r>
      <w:r w:rsidRPr="00CE4B7C">
        <w:rPr>
          <w:rFonts w:asciiTheme="minorHAnsi" w:hAnsiTheme="minorHAnsi" w:cstheme="minorHAnsi"/>
          <w:sz w:val="22"/>
          <w:szCs w:val="22"/>
        </w:rPr>
        <w:tab/>
      </w:r>
      <w:r w:rsidRPr="00CE4B7C">
        <w:rPr>
          <w:rFonts w:asciiTheme="minorHAnsi" w:hAnsiTheme="minorHAnsi" w:cstheme="minorHAnsi"/>
          <w:sz w:val="22"/>
          <w:szCs w:val="22"/>
        </w:rPr>
        <w:tab/>
        <w:t xml:space="preserve">Ing. </w:t>
      </w:r>
      <w:r w:rsidR="004A0926">
        <w:rPr>
          <w:rFonts w:asciiTheme="minorHAnsi" w:hAnsiTheme="minorHAnsi" w:cstheme="minorHAnsi"/>
          <w:sz w:val="22"/>
          <w:szCs w:val="22"/>
        </w:rPr>
        <w:t>Petrou Havlovou</w:t>
      </w:r>
      <w:r w:rsidRPr="00CE4B7C">
        <w:rPr>
          <w:rFonts w:asciiTheme="minorHAnsi" w:hAnsiTheme="minorHAnsi" w:cstheme="minorHAnsi"/>
          <w:sz w:val="22"/>
          <w:szCs w:val="22"/>
        </w:rPr>
        <w:t>, jednatelkou</w:t>
      </w:r>
    </w:p>
    <w:p w14:paraId="22F7DF9A" w14:textId="77777777" w:rsidR="00402226" w:rsidRPr="00CE4B7C" w:rsidRDefault="00402226" w:rsidP="00402226">
      <w:pPr>
        <w:jc w:val="both"/>
        <w:rPr>
          <w:rFonts w:asciiTheme="minorHAnsi" w:hAnsiTheme="minorHAnsi" w:cstheme="minorHAnsi"/>
          <w:sz w:val="22"/>
          <w:szCs w:val="22"/>
        </w:rPr>
      </w:pPr>
      <w:r w:rsidRPr="00CE4B7C">
        <w:rPr>
          <w:rFonts w:asciiTheme="minorHAnsi" w:hAnsiTheme="minorHAnsi" w:cstheme="minorHAnsi"/>
          <w:sz w:val="22"/>
          <w:szCs w:val="22"/>
        </w:rPr>
        <w:t>sídlo:</w:t>
      </w:r>
      <w:r w:rsidRPr="00CE4B7C">
        <w:rPr>
          <w:rFonts w:asciiTheme="minorHAnsi" w:hAnsiTheme="minorHAnsi" w:cstheme="minorHAnsi"/>
          <w:sz w:val="22"/>
          <w:szCs w:val="22"/>
        </w:rPr>
        <w:tab/>
      </w:r>
      <w:r w:rsidRPr="00CE4B7C">
        <w:rPr>
          <w:rFonts w:asciiTheme="minorHAnsi" w:hAnsiTheme="minorHAnsi" w:cstheme="minorHAnsi"/>
          <w:sz w:val="22"/>
          <w:szCs w:val="22"/>
        </w:rPr>
        <w:tab/>
      </w:r>
      <w:r w:rsidRPr="00CE4B7C">
        <w:rPr>
          <w:rFonts w:asciiTheme="minorHAnsi" w:hAnsiTheme="minorHAnsi" w:cstheme="minorHAnsi"/>
          <w:sz w:val="22"/>
          <w:szCs w:val="22"/>
        </w:rPr>
        <w:tab/>
      </w:r>
      <w:r w:rsidRPr="00CE4B7C">
        <w:rPr>
          <w:rFonts w:asciiTheme="minorHAnsi" w:hAnsiTheme="minorHAnsi" w:cstheme="minorHAnsi"/>
          <w:sz w:val="22"/>
          <w:szCs w:val="22"/>
        </w:rPr>
        <w:tab/>
        <w:t>Žižkova č.</w:t>
      </w:r>
      <w:r>
        <w:rPr>
          <w:rFonts w:asciiTheme="minorHAnsi" w:hAnsiTheme="minorHAnsi" w:cstheme="minorHAnsi"/>
          <w:sz w:val="22"/>
          <w:szCs w:val="22"/>
        </w:rPr>
        <w:t xml:space="preserve"> </w:t>
      </w:r>
      <w:r w:rsidRPr="00CE4B7C">
        <w:rPr>
          <w:rFonts w:asciiTheme="minorHAnsi" w:hAnsiTheme="minorHAnsi" w:cstheme="minorHAnsi"/>
          <w:sz w:val="22"/>
          <w:szCs w:val="22"/>
        </w:rPr>
        <w:t>p. 151, 436 01 Litvínov</w:t>
      </w:r>
    </w:p>
    <w:p w14:paraId="1A49D477" w14:textId="77777777" w:rsidR="00402226" w:rsidRPr="00CE4B7C" w:rsidRDefault="00402226" w:rsidP="00402226">
      <w:pPr>
        <w:jc w:val="both"/>
        <w:rPr>
          <w:rFonts w:asciiTheme="minorHAnsi" w:hAnsiTheme="minorHAnsi" w:cstheme="minorHAnsi"/>
          <w:sz w:val="22"/>
          <w:szCs w:val="22"/>
        </w:rPr>
      </w:pPr>
      <w:r w:rsidRPr="00CE4B7C">
        <w:rPr>
          <w:rFonts w:asciiTheme="minorHAnsi" w:hAnsiTheme="minorHAnsi" w:cstheme="minorHAnsi"/>
          <w:sz w:val="22"/>
          <w:szCs w:val="22"/>
        </w:rPr>
        <w:t>IČO:</w:t>
      </w:r>
      <w:r w:rsidRPr="00CE4B7C">
        <w:rPr>
          <w:rFonts w:asciiTheme="minorHAnsi" w:hAnsiTheme="minorHAnsi" w:cstheme="minorHAnsi"/>
          <w:sz w:val="22"/>
          <w:szCs w:val="22"/>
        </w:rPr>
        <w:tab/>
      </w:r>
      <w:r w:rsidRPr="00CE4B7C">
        <w:rPr>
          <w:rFonts w:asciiTheme="minorHAnsi" w:hAnsiTheme="minorHAnsi" w:cstheme="minorHAnsi"/>
          <w:sz w:val="22"/>
          <w:szCs w:val="22"/>
        </w:rPr>
        <w:tab/>
      </w:r>
      <w:r w:rsidRPr="00CE4B7C">
        <w:rPr>
          <w:rFonts w:asciiTheme="minorHAnsi" w:hAnsiTheme="minorHAnsi" w:cstheme="minorHAnsi"/>
          <w:sz w:val="22"/>
          <w:szCs w:val="22"/>
        </w:rPr>
        <w:tab/>
      </w:r>
      <w:r w:rsidRPr="00CE4B7C">
        <w:rPr>
          <w:rFonts w:asciiTheme="minorHAnsi" w:hAnsiTheme="minorHAnsi" w:cstheme="minorHAnsi"/>
          <w:sz w:val="22"/>
          <w:szCs w:val="22"/>
        </w:rPr>
        <w:tab/>
        <w:t>250</w:t>
      </w:r>
      <w:r w:rsidR="001D3AF1">
        <w:rPr>
          <w:rFonts w:asciiTheme="minorHAnsi" w:hAnsiTheme="minorHAnsi" w:cstheme="minorHAnsi"/>
          <w:sz w:val="22"/>
          <w:szCs w:val="22"/>
        </w:rPr>
        <w:t xml:space="preserve"> </w:t>
      </w:r>
      <w:r w:rsidRPr="00CE4B7C">
        <w:rPr>
          <w:rFonts w:asciiTheme="minorHAnsi" w:hAnsiTheme="minorHAnsi" w:cstheme="minorHAnsi"/>
          <w:sz w:val="22"/>
          <w:szCs w:val="22"/>
        </w:rPr>
        <w:t>30</w:t>
      </w:r>
      <w:r w:rsidR="001D3AF1">
        <w:rPr>
          <w:rFonts w:asciiTheme="minorHAnsi" w:hAnsiTheme="minorHAnsi" w:cstheme="minorHAnsi"/>
          <w:sz w:val="22"/>
          <w:szCs w:val="22"/>
        </w:rPr>
        <w:t xml:space="preserve"> </w:t>
      </w:r>
      <w:r w:rsidRPr="00CE4B7C">
        <w:rPr>
          <w:rFonts w:asciiTheme="minorHAnsi" w:hAnsiTheme="minorHAnsi" w:cstheme="minorHAnsi"/>
          <w:sz w:val="22"/>
          <w:szCs w:val="22"/>
        </w:rPr>
        <w:t>302</w:t>
      </w:r>
    </w:p>
    <w:p w14:paraId="1D689194" w14:textId="77777777" w:rsidR="00402226" w:rsidRPr="00CE4B7C" w:rsidRDefault="00402226" w:rsidP="00402226">
      <w:pPr>
        <w:jc w:val="both"/>
        <w:rPr>
          <w:rFonts w:asciiTheme="minorHAnsi" w:hAnsiTheme="minorHAnsi" w:cstheme="minorHAnsi"/>
          <w:sz w:val="22"/>
          <w:szCs w:val="22"/>
        </w:rPr>
      </w:pPr>
      <w:r w:rsidRPr="00CE4B7C">
        <w:rPr>
          <w:rFonts w:asciiTheme="minorHAnsi" w:hAnsiTheme="minorHAnsi" w:cstheme="minorHAnsi"/>
          <w:sz w:val="22"/>
          <w:szCs w:val="22"/>
        </w:rPr>
        <w:t>DIČ:</w:t>
      </w:r>
      <w:r w:rsidRPr="00CE4B7C">
        <w:rPr>
          <w:rFonts w:asciiTheme="minorHAnsi" w:hAnsiTheme="minorHAnsi" w:cstheme="minorHAnsi"/>
          <w:sz w:val="22"/>
          <w:szCs w:val="22"/>
        </w:rPr>
        <w:tab/>
      </w:r>
      <w:r w:rsidRPr="00CE4B7C">
        <w:rPr>
          <w:rFonts w:asciiTheme="minorHAnsi" w:hAnsiTheme="minorHAnsi" w:cstheme="minorHAnsi"/>
          <w:sz w:val="22"/>
          <w:szCs w:val="22"/>
        </w:rPr>
        <w:tab/>
      </w:r>
      <w:r w:rsidRPr="00CE4B7C">
        <w:rPr>
          <w:rFonts w:asciiTheme="minorHAnsi" w:hAnsiTheme="minorHAnsi" w:cstheme="minorHAnsi"/>
          <w:sz w:val="22"/>
          <w:szCs w:val="22"/>
        </w:rPr>
        <w:tab/>
      </w:r>
      <w:r w:rsidRPr="00CE4B7C">
        <w:rPr>
          <w:rFonts w:asciiTheme="minorHAnsi" w:hAnsiTheme="minorHAnsi" w:cstheme="minorHAnsi"/>
          <w:sz w:val="22"/>
          <w:szCs w:val="22"/>
        </w:rPr>
        <w:tab/>
        <w:t xml:space="preserve">CZ25030302 plátce DPH </w:t>
      </w:r>
    </w:p>
    <w:p w14:paraId="4FA5A505" w14:textId="77777777" w:rsidR="00402226" w:rsidRPr="00966E4D" w:rsidRDefault="00402226" w:rsidP="00402226">
      <w:pPr>
        <w:jc w:val="both"/>
        <w:rPr>
          <w:rFonts w:asciiTheme="minorHAnsi" w:hAnsiTheme="minorHAnsi" w:cstheme="minorHAnsi"/>
          <w:sz w:val="22"/>
          <w:szCs w:val="22"/>
        </w:rPr>
      </w:pPr>
      <w:r w:rsidRPr="00966E4D">
        <w:rPr>
          <w:rFonts w:asciiTheme="minorHAnsi" w:hAnsiTheme="minorHAnsi" w:cstheme="minorHAnsi"/>
          <w:sz w:val="22"/>
          <w:szCs w:val="22"/>
        </w:rPr>
        <w:t>bankovní spojení:</w:t>
      </w:r>
      <w:r w:rsidRPr="00966E4D">
        <w:rPr>
          <w:rFonts w:asciiTheme="minorHAnsi" w:hAnsiTheme="minorHAnsi" w:cstheme="minorHAnsi"/>
          <w:sz w:val="22"/>
          <w:szCs w:val="22"/>
        </w:rPr>
        <w:tab/>
      </w:r>
      <w:r w:rsidRPr="00966E4D">
        <w:rPr>
          <w:rFonts w:asciiTheme="minorHAnsi" w:hAnsiTheme="minorHAnsi" w:cstheme="minorHAnsi"/>
          <w:sz w:val="22"/>
          <w:szCs w:val="22"/>
        </w:rPr>
        <w:tab/>
        <w:t xml:space="preserve">Komerční banka, a.s., expozitura Litvínov </w:t>
      </w:r>
    </w:p>
    <w:p w14:paraId="20B88AE2" w14:textId="77777777" w:rsidR="00402226" w:rsidRPr="00CE4B7C" w:rsidRDefault="00402226" w:rsidP="00402226">
      <w:pPr>
        <w:jc w:val="both"/>
        <w:rPr>
          <w:rFonts w:asciiTheme="minorHAnsi" w:hAnsiTheme="minorHAnsi" w:cstheme="minorHAnsi"/>
          <w:sz w:val="22"/>
          <w:szCs w:val="22"/>
        </w:rPr>
      </w:pPr>
      <w:r w:rsidRPr="00966E4D">
        <w:rPr>
          <w:rFonts w:asciiTheme="minorHAnsi" w:hAnsiTheme="minorHAnsi" w:cstheme="minorHAnsi"/>
          <w:sz w:val="22"/>
          <w:szCs w:val="22"/>
        </w:rPr>
        <w:t>číslo účtu:</w:t>
      </w:r>
      <w:r w:rsidRPr="00966E4D">
        <w:rPr>
          <w:rFonts w:asciiTheme="minorHAnsi" w:hAnsiTheme="minorHAnsi" w:cstheme="minorHAnsi"/>
          <w:sz w:val="22"/>
          <w:szCs w:val="22"/>
        </w:rPr>
        <w:tab/>
      </w:r>
      <w:r w:rsidRPr="00966E4D">
        <w:rPr>
          <w:rFonts w:asciiTheme="minorHAnsi" w:hAnsiTheme="minorHAnsi" w:cstheme="minorHAnsi"/>
          <w:sz w:val="22"/>
          <w:szCs w:val="22"/>
        </w:rPr>
        <w:tab/>
      </w:r>
      <w:r w:rsidRPr="00966E4D">
        <w:rPr>
          <w:rFonts w:asciiTheme="minorHAnsi" w:hAnsiTheme="minorHAnsi" w:cstheme="minorHAnsi"/>
          <w:sz w:val="22"/>
          <w:szCs w:val="22"/>
        </w:rPr>
        <w:tab/>
      </w:r>
      <w:r w:rsidRPr="00966E4D">
        <w:rPr>
          <w:rFonts w:asciiTheme="minorHAnsi" w:hAnsiTheme="minorHAnsi" w:cstheme="minorHAnsi"/>
          <w:sz w:val="22"/>
          <w:szCs w:val="22"/>
          <w:shd w:val="clear" w:color="auto" w:fill="FFFFFF" w:themeFill="background1"/>
        </w:rPr>
        <w:t>43-1257820287/0100</w:t>
      </w:r>
    </w:p>
    <w:p w14:paraId="62B4C050" w14:textId="5C40C041" w:rsidR="00402226" w:rsidRPr="00601DC5" w:rsidRDefault="00402226" w:rsidP="00402226">
      <w:pPr>
        <w:tabs>
          <w:tab w:val="left" w:pos="360"/>
        </w:tabs>
        <w:ind w:right="51"/>
        <w:rPr>
          <w:rFonts w:asciiTheme="minorHAnsi" w:hAnsiTheme="minorHAnsi" w:cstheme="minorHAnsi"/>
          <w:sz w:val="22"/>
          <w:szCs w:val="22"/>
        </w:rPr>
      </w:pPr>
      <w:r w:rsidRPr="00601DC5">
        <w:rPr>
          <w:rFonts w:asciiTheme="minorHAnsi" w:hAnsiTheme="minorHAnsi" w:cstheme="minorHAnsi"/>
          <w:sz w:val="22"/>
          <w:szCs w:val="22"/>
        </w:rPr>
        <w:t>Zapsan</w:t>
      </w:r>
      <w:r w:rsidR="003B5AE9">
        <w:rPr>
          <w:rFonts w:asciiTheme="minorHAnsi" w:hAnsiTheme="minorHAnsi" w:cstheme="minorHAnsi"/>
          <w:sz w:val="22"/>
          <w:szCs w:val="22"/>
        </w:rPr>
        <w:t xml:space="preserve">ý: </w:t>
      </w:r>
      <w:r w:rsidR="003B5AE9">
        <w:rPr>
          <w:rFonts w:asciiTheme="minorHAnsi" w:hAnsiTheme="minorHAnsi" w:cstheme="minorHAnsi"/>
          <w:sz w:val="22"/>
          <w:szCs w:val="22"/>
        </w:rPr>
        <w:tab/>
      </w:r>
      <w:r w:rsidR="003B5AE9">
        <w:rPr>
          <w:rFonts w:asciiTheme="minorHAnsi" w:hAnsiTheme="minorHAnsi" w:cstheme="minorHAnsi"/>
          <w:sz w:val="22"/>
          <w:szCs w:val="22"/>
        </w:rPr>
        <w:tab/>
      </w:r>
      <w:r w:rsidR="003B5AE9">
        <w:rPr>
          <w:rFonts w:asciiTheme="minorHAnsi" w:hAnsiTheme="minorHAnsi" w:cstheme="minorHAnsi"/>
          <w:sz w:val="22"/>
          <w:szCs w:val="22"/>
        </w:rPr>
        <w:tab/>
      </w:r>
      <w:r w:rsidRPr="00601DC5">
        <w:rPr>
          <w:rFonts w:asciiTheme="minorHAnsi" w:hAnsiTheme="minorHAnsi" w:cstheme="minorHAnsi"/>
          <w:sz w:val="22"/>
          <w:szCs w:val="22"/>
        </w:rPr>
        <w:t xml:space="preserve"> vedeným Krajským soudem v Ústí nad Labem, oddíl C, vložka </w:t>
      </w:r>
      <w:r>
        <w:rPr>
          <w:rFonts w:asciiTheme="minorHAnsi" w:hAnsiTheme="minorHAnsi" w:cstheme="minorHAnsi"/>
          <w:sz w:val="22"/>
          <w:szCs w:val="22"/>
        </w:rPr>
        <w:t>13301</w:t>
      </w:r>
    </w:p>
    <w:p w14:paraId="4B42B074" w14:textId="77777777" w:rsidR="00402226" w:rsidRPr="00601DC5" w:rsidRDefault="00402226" w:rsidP="00402226">
      <w:pPr>
        <w:tabs>
          <w:tab w:val="left" w:pos="360"/>
        </w:tabs>
        <w:ind w:right="51"/>
        <w:rPr>
          <w:rFonts w:asciiTheme="minorHAnsi" w:hAnsiTheme="minorHAnsi" w:cstheme="minorHAnsi"/>
          <w:i/>
          <w:sz w:val="22"/>
          <w:szCs w:val="22"/>
        </w:rPr>
      </w:pPr>
      <w:r w:rsidRPr="00601DC5">
        <w:rPr>
          <w:rFonts w:asciiTheme="minorHAnsi" w:hAnsiTheme="minorHAnsi" w:cstheme="minorHAnsi"/>
          <w:sz w:val="22"/>
          <w:szCs w:val="22"/>
        </w:rPr>
        <w:t>(dále také jako „</w:t>
      </w:r>
      <w:r w:rsidRPr="00601DC5">
        <w:rPr>
          <w:rFonts w:asciiTheme="minorHAnsi" w:hAnsiTheme="minorHAnsi" w:cstheme="minorHAnsi"/>
          <w:i/>
          <w:sz w:val="22"/>
          <w:szCs w:val="22"/>
        </w:rPr>
        <w:t xml:space="preserve">příjemce“ </w:t>
      </w:r>
      <w:r w:rsidRPr="00601DC5">
        <w:rPr>
          <w:rFonts w:asciiTheme="minorHAnsi" w:hAnsiTheme="minorHAnsi" w:cstheme="minorHAnsi"/>
          <w:sz w:val="22"/>
          <w:szCs w:val="22"/>
        </w:rPr>
        <w:t xml:space="preserve">či </w:t>
      </w:r>
      <w:r w:rsidRPr="00601DC5">
        <w:rPr>
          <w:rFonts w:asciiTheme="minorHAnsi" w:hAnsiTheme="minorHAnsi" w:cstheme="minorHAnsi"/>
          <w:i/>
          <w:sz w:val="22"/>
          <w:szCs w:val="22"/>
        </w:rPr>
        <w:t>„poskytovatel závazku veřejné služby)</w:t>
      </w:r>
    </w:p>
    <w:p w14:paraId="5878217D" w14:textId="77777777" w:rsidR="00402226" w:rsidRDefault="00402226" w:rsidP="00402226">
      <w:pPr>
        <w:tabs>
          <w:tab w:val="left" w:pos="360"/>
        </w:tabs>
        <w:ind w:right="51"/>
        <w:rPr>
          <w:rFonts w:ascii="Arial" w:hAnsi="Arial" w:cs="Arial"/>
          <w:i/>
          <w:sz w:val="22"/>
          <w:szCs w:val="22"/>
        </w:rPr>
      </w:pPr>
    </w:p>
    <w:p w14:paraId="13A99FF7" w14:textId="77777777" w:rsidR="00402226" w:rsidRPr="00601DC5" w:rsidRDefault="00402226" w:rsidP="00402226">
      <w:pPr>
        <w:tabs>
          <w:tab w:val="left" w:pos="360"/>
        </w:tabs>
        <w:ind w:right="51"/>
        <w:rPr>
          <w:rFonts w:ascii="Arial" w:hAnsi="Arial" w:cs="Arial"/>
          <w:i/>
          <w:sz w:val="22"/>
          <w:szCs w:val="22"/>
        </w:rPr>
      </w:pPr>
    </w:p>
    <w:p w14:paraId="6D6A7B41" w14:textId="77777777" w:rsidR="00402226" w:rsidRPr="00930F19" w:rsidRDefault="00402226" w:rsidP="00402226">
      <w:pPr>
        <w:tabs>
          <w:tab w:val="left" w:pos="360"/>
        </w:tabs>
        <w:ind w:right="51"/>
        <w:jc w:val="center"/>
        <w:rPr>
          <w:rFonts w:ascii="Calibri" w:hAnsi="Calibri" w:cs="Calibri"/>
          <w:b/>
          <w:sz w:val="22"/>
          <w:szCs w:val="22"/>
        </w:rPr>
      </w:pPr>
      <w:r w:rsidRPr="00930F19">
        <w:rPr>
          <w:rFonts w:ascii="Calibri" w:hAnsi="Calibri" w:cs="Calibri"/>
          <w:b/>
          <w:sz w:val="22"/>
          <w:szCs w:val="22"/>
        </w:rPr>
        <w:t>III.</w:t>
      </w:r>
    </w:p>
    <w:p w14:paraId="2907531E" w14:textId="77777777" w:rsidR="00402226" w:rsidRDefault="00402226" w:rsidP="00402226">
      <w:pPr>
        <w:tabs>
          <w:tab w:val="left" w:pos="360"/>
        </w:tabs>
        <w:ind w:right="51"/>
        <w:jc w:val="center"/>
        <w:rPr>
          <w:rFonts w:ascii="Calibri" w:hAnsi="Calibri" w:cs="Calibri"/>
          <w:b/>
          <w:sz w:val="22"/>
          <w:szCs w:val="22"/>
        </w:rPr>
      </w:pPr>
      <w:r w:rsidRPr="00930F19">
        <w:rPr>
          <w:rFonts w:ascii="Calibri" w:hAnsi="Calibri" w:cs="Calibri"/>
          <w:b/>
          <w:sz w:val="22"/>
          <w:szCs w:val="22"/>
        </w:rPr>
        <w:t>Účel a charakter dotace, doba, v níž má být účelu dosaženo</w:t>
      </w:r>
    </w:p>
    <w:p w14:paraId="190C6BF6" w14:textId="77777777" w:rsidR="00402226" w:rsidRPr="00930F19" w:rsidRDefault="00402226" w:rsidP="00402226">
      <w:pPr>
        <w:tabs>
          <w:tab w:val="left" w:pos="360"/>
        </w:tabs>
        <w:ind w:right="51"/>
        <w:jc w:val="center"/>
        <w:rPr>
          <w:rFonts w:ascii="Calibri" w:hAnsi="Calibri" w:cs="Calibri"/>
          <w:b/>
          <w:sz w:val="22"/>
          <w:szCs w:val="22"/>
        </w:rPr>
      </w:pPr>
    </w:p>
    <w:p w14:paraId="0C96697A" w14:textId="069EBAB2" w:rsidR="00402226" w:rsidRPr="00A038FB" w:rsidRDefault="00402226" w:rsidP="00402226">
      <w:pPr>
        <w:tabs>
          <w:tab w:val="left" w:pos="360"/>
        </w:tabs>
        <w:ind w:right="51"/>
        <w:jc w:val="both"/>
        <w:rPr>
          <w:rFonts w:asciiTheme="minorHAnsi" w:hAnsiTheme="minorHAnsi" w:cstheme="minorHAnsi"/>
          <w:sz w:val="22"/>
          <w:szCs w:val="22"/>
        </w:rPr>
      </w:pPr>
      <w:r w:rsidRPr="00A038FB">
        <w:rPr>
          <w:rFonts w:asciiTheme="minorHAnsi" w:hAnsiTheme="minorHAnsi" w:cstheme="minorHAnsi"/>
          <w:sz w:val="22"/>
          <w:szCs w:val="22"/>
        </w:rPr>
        <w:t>1.</w:t>
      </w:r>
      <w:r w:rsidRPr="00A038FB">
        <w:rPr>
          <w:rFonts w:asciiTheme="minorHAnsi" w:hAnsiTheme="minorHAnsi" w:cstheme="minorHAnsi"/>
          <w:sz w:val="22"/>
          <w:szCs w:val="22"/>
        </w:rPr>
        <w:tab/>
        <w:t>Účelem dotace je poskytnutí peněžních prostředků, a to na částečnou úhradu provozních nákladů za účelem zajištění závazku</w:t>
      </w:r>
      <w:r>
        <w:rPr>
          <w:rFonts w:asciiTheme="minorHAnsi" w:hAnsiTheme="minorHAnsi" w:cstheme="minorHAnsi"/>
          <w:sz w:val="22"/>
          <w:szCs w:val="22"/>
        </w:rPr>
        <w:t xml:space="preserve"> veřejné služby </w:t>
      </w:r>
      <w:r w:rsidR="00F279A0">
        <w:rPr>
          <w:rFonts w:asciiTheme="minorHAnsi" w:hAnsiTheme="minorHAnsi" w:cstheme="minorHAnsi"/>
          <w:sz w:val="22"/>
          <w:szCs w:val="22"/>
        </w:rPr>
        <w:t xml:space="preserve">spočívajícího v poskytování </w:t>
      </w:r>
      <w:r w:rsidR="00F279A0" w:rsidRPr="00F279A0">
        <w:rPr>
          <w:rFonts w:asciiTheme="minorHAnsi" w:hAnsiTheme="minorHAnsi" w:cstheme="minorHAnsi"/>
          <w:b/>
          <w:bCs/>
          <w:sz w:val="22"/>
          <w:szCs w:val="22"/>
        </w:rPr>
        <w:t>n</w:t>
      </w:r>
      <w:r>
        <w:rPr>
          <w:rFonts w:asciiTheme="minorHAnsi" w:hAnsiTheme="minorHAnsi" w:cstheme="minorHAnsi"/>
          <w:b/>
          <w:sz w:val="22"/>
          <w:szCs w:val="22"/>
        </w:rPr>
        <w:t>ájemní</w:t>
      </w:r>
      <w:r w:rsidR="00F279A0">
        <w:rPr>
          <w:rFonts w:asciiTheme="minorHAnsi" w:hAnsiTheme="minorHAnsi" w:cstheme="minorHAnsi"/>
          <w:b/>
          <w:sz w:val="22"/>
          <w:szCs w:val="22"/>
        </w:rPr>
        <w:t>ho</w:t>
      </w:r>
      <w:r>
        <w:rPr>
          <w:rFonts w:asciiTheme="minorHAnsi" w:hAnsiTheme="minorHAnsi" w:cstheme="minorHAnsi"/>
          <w:b/>
          <w:sz w:val="22"/>
          <w:szCs w:val="22"/>
        </w:rPr>
        <w:t xml:space="preserve"> bydlení v penzionech pro seniory nacházející</w:t>
      </w:r>
      <w:r w:rsidR="00F279A0">
        <w:rPr>
          <w:rFonts w:asciiTheme="minorHAnsi" w:hAnsiTheme="minorHAnsi" w:cstheme="minorHAnsi"/>
          <w:b/>
          <w:sz w:val="22"/>
          <w:szCs w:val="22"/>
        </w:rPr>
        <w:t>ho</w:t>
      </w:r>
      <w:r>
        <w:rPr>
          <w:rFonts w:asciiTheme="minorHAnsi" w:hAnsiTheme="minorHAnsi" w:cstheme="minorHAnsi"/>
          <w:b/>
          <w:sz w:val="22"/>
          <w:szCs w:val="22"/>
        </w:rPr>
        <w:t xml:space="preserve"> se na území města Litvínova</w:t>
      </w:r>
      <w:r>
        <w:rPr>
          <w:rFonts w:asciiTheme="minorHAnsi" w:hAnsiTheme="minorHAnsi" w:cstheme="minorHAnsi"/>
          <w:sz w:val="22"/>
          <w:szCs w:val="22"/>
        </w:rPr>
        <w:t>.</w:t>
      </w:r>
    </w:p>
    <w:p w14:paraId="01592E23" w14:textId="77777777" w:rsidR="00402226" w:rsidRPr="00A038FB" w:rsidRDefault="00402226" w:rsidP="00402226">
      <w:pPr>
        <w:jc w:val="both"/>
        <w:rPr>
          <w:rFonts w:asciiTheme="minorHAnsi" w:hAnsiTheme="minorHAnsi" w:cstheme="minorHAnsi"/>
          <w:sz w:val="22"/>
          <w:szCs w:val="22"/>
        </w:rPr>
      </w:pPr>
    </w:p>
    <w:p w14:paraId="554BACC3" w14:textId="416624CE" w:rsidR="00402226" w:rsidRPr="00EC3E7E" w:rsidRDefault="00402226" w:rsidP="00402226">
      <w:pPr>
        <w:jc w:val="both"/>
        <w:rPr>
          <w:rFonts w:asciiTheme="minorHAnsi" w:hAnsiTheme="minorHAnsi" w:cstheme="minorHAnsi"/>
          <w:sz w:val="22"/>
          <w:szCs w:val="22"/>
        </w:rPr>
      </w:pPr>
      <w:r w:rsidRPr="00A038FB">
        <w:rPr>
          <w:rFonts w:asciiTheme="minorHAnsi" w:hAnsiTheme="minorHAnsi" w:cstheme="minorHAnsi"/>
          <w:sz w:val="22"/>
          <w:szCs w:val="22"/>
        </w:rPr>
        <w:t xml:space="preserve">2. Poskytnutí dotace bylo schváleno na základě smluvními stranami uzavřené Smlouvy o poskytování </w:t>
      </w:r>
      <w:r w:rsidRPr="00CE4B7C">
        <w:rPr>
          <w:rFonts w:asciiTheme="minorHAnsi" w:hAnsiTheme="minorHAnsi" w:cstheme="minorHAnsi"/>
          <w:sz w:val="22"/>
          <w:szCs w:val="22"/>
        </w:rPr>
        <w:t xml:space="preserve">služeb obecného hospodářského zájmu </w:t>
      </w:r>
      <w:r>
        <w:rPr>
          <w:rFonts w:asciiTheme="minorHAnsi" w:hAnsiTheme="minorHAnsi" w:cstheme="minorHAnsi"/>
          <w:sz w:val="22"/>
          <w:szCs w:val="22"/>
        </w:rPr>
        <w:t>č. KT/7709/13</w:t>
      </w:r>
      <w:r w:rsidR="003B5AE9">
        <w:rPr>
          <w:rFonts w:asciiTheme="minorHAnsi" w:hAnsiTheme="minorHAnsi" w:cstheme="minorHAnsi"/>
          <w:sz w:val="22"/>
          <w:szCs w:val="22"/>
        </w:rPr>
        <w:t xml:space="preserve"> ve znění </w:t>
      </w:r>
      <w:r w:rsidRPr="00CE4B7C">
        <w:rPr>
          <w:rFonts w:asciiTheme="minorHAnsi" w:hAnsiTheme="minorHAnsi" w:cstheme="minorHAnsi"/>
          <w:sz w:val="22"/>
          <w:szCs w:val="22"/>
        </w:rPr>
        <w:t>dodatku č. 1</w:t>
      </w:r>
      <w:r>
        <w:rPr>
          <w:rFonts w:asciiTheme="minorHAnsi" w:hAnsiTheme="minorHAnsi" w:cstheme="minorHAnsi"/>
          <w:sz w:val="22"/>
          <w:szCs w:val="22"/>
        </w:rPr>
        <w:t xml:space="preserve"> a dodatku č. 2 </w:t>
      </w:r>
      <w:r w:rsidRPr="00CE4B7C">
        <w:rPr>
          <w:rFonts w:asciiTheme="minorHAnsi" w:hAnsiTheme="minorHAnsi" w:cstheme="minorHAnsi"/>
          <w:sz w:val="22"/>
          <w:szCs w:val="22"/>
        </w:rPr>
        <w:t xml:space="preserve">(dále </w:t>
      </w:r>
      <w:r>
        <w:rPr>
          <w:rFonts w:asciiTheme="minorHAnsi" w:hAnsiTheme="minorHAnsi" w:cstheme="minorHAnsi"/>
          <w:sz w:val="22"/>
          <w:szCs w:val="22"/>
        </w:rPr>
        <w:t>také jako „SOHZ“)</w:t>
      </w:r>
      <w:r w:rsidRPr="00CE4B7C">
        <w:rPr>
          <w:rFonts w:asciiTheme="minorHAnsi" w:hAnsiTheme="minorHAnsi" w:cstheme="minorHAnsi"/>
          <w:sz w:val="22"/>
          <w:szCs w:val="22"/>
        </w:rPr>
        <w:t xml:space="preserve">, kde se </w:t>
      </w:r>
      <w:r>
        <w:rPr>
          <w:rFonts w:asciiTheme="minorHAnsi" w:hAnsiTheme="minorHAnsi" w:cstheme="minorHAnsi"/>
          <w:sz w:val="22"/>
          <w:szCs w:val="22"/>
        </w:rPr>
        <w:t xml:space="preserve">příjemce </w:t>
      </w:r>
      <w:r w:rsidRPr="00EC3E7E">
        <w:rPr>
          <w:rFonts w:asciiTheme="minorHAnsi" w:hAnsiTheme="minorHAnsi" w:cstheme="minorHAnsi"/>
          <w:sz w:val="22"/>
          <w:szCs w:val="22"/>
        </w:rPr>
        <w:t xml:space="preserve">zavázal k poskytování činností představujících závazek veřejné služby, </w:t>
      </w:r>
      <w:r w:rsidRPr="00EC3E7E">
        <w:rPr>
          <w:rFonts w:asciiTheme="minorHAnsi" w:hAnsiTheme="minorHAnsi" w:cstheme="minorHAnsi"/>
          <w:sz w:val="22"/>
          <w:szCs w:val="22"/>
        </w:rPr>
        <w:lastRenderedPageBreak/>
        <w:t xml:space="preserve">spočívající v </w:t>
      </w:r>
      <w:r w:rsidRPr="004A07BC">
        <w:rPr>
          <w:rFonts w:asciiTheme="minorHAnsi" w:hAnsiTheme="minorHAnsi" w:cstheme="minorHAnsi"/>
          <w:sz w:val="22"/>
          <w:szCs w:val="22"/>
        </w:rPr>
        <w:t xml:space="preserve">poskytování </w:t>
      </w:r>
      <w:r w:rsidRPr="004A07BC">
        <w:rPr>
          <w:rFonts w:asciiTheme="minorHAnsi" w:hAnsiTheme="minorHAnsi" w:cstheme="minorHAnsi"/>
          <w:b/>
          <w:sz w:val="22"/>
          <w:szCs w:val="22"/>
        </w:rPr>
        <w:t>n</w:t>
      </w:r>
      <w:r w:rsidRPr="00455DF8">
        <w:rPr>
          <w:rFonts w:asciiTheme="minorHAnsi" w:hAnsiTheme="minorHAnsi" w:cstheme="minorHAnsi"/>
          <w:b/>
          <w:sz w:val="22"/>
          <w:szCs w:val="22"/>
        </w:rPr>
        <w:t>ájemního bydlení v penzionech pro seniory nacházející</w:t>
      </w:r>
      <w:r w:rsidR="00DD40F3">
        <w:rPr>
          <w:rFonts w:asciiTheme="minorHAnsi" w:hAnsiTheme="minorHAnsi" w:cstheme="minorHAnsi"/>
          <w:b/>
          <w:sz w:val="22"/>
          <w:szCs w:val="22"/>
        </w:rPr>
        <w:t>ch</w:t>
      </w:r>
      <w:r w:rsidRPr="00455DF8">
        <w:rPr>
          <w:rFonts w:asciiTheme="minorHAnsi" w:hAnsiTheme="minorHAnsi" w:cstheme="minorHAnsi"/>
          <w:b/>
          <w:sz w:val="22"/>
          <w:szCs w:val="22"/>
        </w:rPr>
        <w:t xml:space="preserve"> se na území města Litvínova</w:t>
      </w:r>
      <w:r w:rsidRPr="00EC3E7E">
        <w:rPr>
          <w:rFonts w:asciiTheme="minorHAnsi" w:hAnsiTheme="minorHAnsi" w:cstheme="minorHAnsi"/>
          <w:sz w:val="22"/>
          <w:szCs w:val="22"/>
        </w:rPr>
        <w:t xml:space="preserve"> (označeno také jako „závazek veřejné služby“).</w:t>
      </w:r>
    </w:p>
    <w:p w14:paraId="532F8996" w14:textId="77777777" w:rsidR="00402226" w:rsidRPr="00EC3E7E" w:rsidRDefault="00402226" w:rsidP="00402226">
      <w:pPr>
        <w:tabs>
          <w:tab w:val="left" w:pos="360"/>
        </w:tabs>
        <w:ind w:right="51"/>
        <w:jc w:val="both"/>
        <w:rPr>
          <w:rFonts w:asciiTheme="minorHAnsi" w:hAnsiTheme="minorHAnsi" w:cstheme="minorHAnsi"/>
          <w:sz w:val="22"/>
          <w:szCs w:val="22"/>
        </w:rPr>
      </w:pPr>
    </w:p>
    <w:p w14:paraId="61BE0F24" w14:textId="126CF990" w:rsidR="00402226" w:rsidRPr="00A038FB" w:rsidRDefault="00402226" w:rsidP="00402226">
      <w:pPr>
        <w:tabs>
          <w:tab w:val="left" w:pos="360"/>
        </w:tabs>
        <w:ind w:right="51"/>
        <w:jc w:val="both"/>
        <w:rPr>
          <w:rFonts w:asciiTheme="minorHAnsi" w:hAnsiTheme="minorHAnsi" w:cstheme="minorHAnsi"/>
          <w:sz w:val="22"/>
          <w:szCs w:val="22"/>
        </w:rPr>
      </w:pPr>
      <w:r w:rsidRPr="00A038FB">
        <w:rPr>
          <w:rFonts w:asciiTheme="minorHAnsi" w:hAnsiTheme="minorHAnsi" w:cstheme="minorHAnsi"/>
          <w:sz w:val="22"/>
          <w:szCs w:val="22"/>
        </w:rPr>
        <w:t>3.</w:t>
      </w:r>
      <w:r w:rsidRPr="00A038FB">
        <w:rPr>
          <w:rFonts w:asciiTheme="minorHAnsi" w:hAnsiTheme="minorHAnsi" w:cstheme="minorHAnsi"/>
          <w:sz w:val="22"/>
          <w:szCs w:val="22"/>
        </w:rPr>
        <w:tab/>
      </w:r>
      <w:r w:rsidR="003B5AE9">
        <w:rPr>
          <w:rFonts w:asciiTheme="minorHAnsi" w:hAnsiTheme="minorHAnsi" w:cstheme="minorHAnsi"/>
          <w:sz w:val="22"/>
          <w:szCs w:val="22"/>
        </w:rPr>
        <w:t>Závazek veřejné služby dle čl. III. odstavec 1 a čl. VI odst. 1 bude plněn</w:t>
      </w:r>
      <w:r w:rsidRPr="00A038FB">
        <w:rPr>
          <w:rFonts w:asciiTheme="minorHAnsi" w:hAnsiTheme="minorHAnsi" w:cstheme="minorHAnsi"/>
          <w:sz w:val="22"/>
          <w:szCs w:val="22"/>
        </w:rPr>
        <w:t xml:space="preserve"> v termínu od </w:t>
      </w:r>
      <w:r>
        <w:rPr>
          <w:rFonts w:asciiTheme="minorHAnsi" w:hAnsiTheme="minorHAnsi" w:cstheme="minorHAnsi"/>
          <w:sz w:val="22"/>
          <w:szCs w:val="22"/>
        </w:rPr>
        <w:t>0</w:t>
      </w:r>
      <w:r w:rsidRPr="00A038FB">
        <w:rPr>
          <w:rFonts w:asciiTheme="minorHAnsi" w:hAnsiTheme="minorHAnsi" w:cstheme="minorHAnsi"/>
          <w:sz w:val="22"/>
          <w:szCs w:val="22"/>
        </w:rPr>
        <w:t>1.</w:t>
      </w:r>
      <w:r>
        <w:rPr>
          <w:rFonts w:asciiTheme="minorHAnsi" w:hAnsiTheme="minorHAnsi" w:cstheme="minorHAnsi"/>
          <w:sz w:val="22"/>
          <w:szCs w:val="22"/>
        </w:rPr>
        <w:t>0</w:t>
      </w:r>
      <w:r w:rsidRPr="00A038FB">
        <w:rPr>
          <w:rFonts w:asciiTheme="minorHAnsi" w:hAnsiTheme="minorHAnsi" w:cstheme="minorHAnsi"/>
          <w:sz w:val="22"/>
          <w:szCs w:val="22"/>
        </w:rPr>
        <w:t>1.20</w:t>
      </w:r>
      <w:r>
        <w:rPr>
          <w:rFonts w:asciiTheme="minorHAnsi" w:hAnsiTheme="minorHAnsi" w:cstheme="minorHAnsi"/>
          <w:sz w:val="22"/>
          <w:szCs w:val="22"/>
        </w:rPr>
        <w:t>2</w:t>
      </w:r>
      <w:r w:rsidR="008561DE">
        <w:rPr>
          <w:rFonts w:asciiTheme="minorHAnsi" w:hAnsiTheme="minorHAnsi" w:cstheme="minorHAnsi"/>
          <w:sz w:val="22"/>
          <w:szCs w:val="22"/>
        </w:rPr>
        <w:t>3</w:t>
      </w:r>
      <w:r w:rsidRPr="00A038FB">
        <w:rPr>
          <w:rFonts w:asciiTheme="minorHAnsi" w:hAnsiTheme="minorHAnsi" w:cstheme="minorHAnsi"/>
          <w:sz w:val="22"/>
          <w:szCs w:val="22"/>
        </w:rPr>
        <w:t xml:space="preserve"> do 31.12.20</w:t>
      </w:r>
      <w:r>
        <w:rPr>
          <w:rFonts w:asciiTheme="minorHAnsi" w:hAnsiTheme="minorHAnsi" w:cstheme="minorHAnsi"/>
          <w:sz w:val="22"/>
          <w:szCs w:val="22"/>
        </w:rPr>
        <w:t>2</w:t>
      </w:r>
      <w:r w:rsidR="008561DE">
        <w:rPr>
          <w:rFonts w:asciiTheme="minorHAnsi" w:hAnsiTheme="minorHAnsi" w:cstheme="minorHAnsi"/>
          <w:sz w:val="22"/>
          <w:szCs w:val="22"/>
        </w:rPr>
        <w:t>3</w:t>
      </w:r>
      <w:r w:rsidRPr="00A038FB">
        <w:rPr>
          <w:rFonts w:asciiTheme="minorHAnsi" w:hAnsiTheme="minorHAnsi" w:cstheme="minorHAnsi"/>
          <w:sz w:val="22"/>
          <w:szCs w:val="22"/>
        </w:rPr>
        <w:t>.</w:t>
      </w:r>
    </w:p>
    <w:p w14:paraId="5357B523" w14:textId="77777777" w:rsidR="00402226" w:rsidRPr="00A038FB" w:rsidRDefault="00402226" w:rsidP="00402226">
      <w:pPr>
        <w:tabs>
          <w:tab w:val="left" w:pos="360"/>
        </w:tabs>
        <w:ind w:right="51"/>
        <w:jc w:val="both"/>
        <w:rPr>
          <w:rFonts w:asciiTheme="minorHAnsi" w:hAnsiTheme="minorHAnsi" w:cstheme="minorHAnsi"/>
          <w:sz w:val="22"/>
          <w:szCs w:val="22"/>
        </w:rPr>
      </w:pPr>
    </w:p>
    <w:p w14:paraId="66CCF07B" w14:textId="77777777" w:rsidR="00402226" w:rsidRDefault="00402226" w:rsidP="00402226">
      <w:pPr>
        <w:tabs>
          <w:tab w:val="left" w:pos="360"/>
        </w:tabs>
        <w:ind w:right="51"/>
        <w:jc w:val="both"/>
        <w:rPr>
          <w:rFonts w:ascii="Calibri" w:hAnsi="Calibri" w:cs="Calibri"/>
          <w:sz w:val="22"/>
          <w:szCs w:val="22"/>
        </w:rPr>
      </w:pPr>
      <w:r>
        <w:rPr>
          <w:rFonts w:ascii="Calibri" w:hAnsi="Calibri" w:cs="Calibri"/>
          <w:sz w:val="22"/>
          <w:szCs w:val="22"/>
        </w:rPr>
        <w:t>4.</w:t>
      </w:r>
      <w:r>
        <w:rPr>
          <w:rFonts w:ascii="Calibri" w:hAnsi="Calibri" w:cs="Calibri"/>
          <w:sz w:val="22"/>
          <w:szCs w:val="22"/>
        </w:rPr>
        <w:tab/>
        <w:t>Příjemce se zavazuje, že peněžní prostředky neposkytne jiným právnickým nebo fyzickým osobám, pokud nejde o úhrady spojené s realizací projektu, na který byly poskytnuty a smí je zároveň použít jen k účelu, který je upraven v odst. 1 tohoto článku.</w:t>
      </w:r>
    </w:p>
    <w:p w14:paraId="5F3286AF" w14:textId="77777777" w:rsidR="00402226" w:rsidRPr="00A038FB" w:rsidRDefault="00402226" w:rsidP="00402226">
      <w:pPr>
        <w:tabs>
          <w:tab w:val="left" w:pos="360"/>
        </w:tabs>
        <w:ind w:right="51"/>
        <w:jc w:val="both"/>
        <w:rPr>
          <w:rFonts w:asciiTheme="minorHAnsi" w:hAnsiTheme="minorHAnsi" w:cstheme="minorHAnsi"/>
          <w:sz w:val="22"/>
          <w:szCs w:val="22"/>
        </w:rPr>
      </w:pPr>
    </w:p>
    <w:p w14:paraId="4B66496B" w14:textId="49C1E12B" w:rsidR="00402226" w:rsidRPr="00A038FB" w:rsidRDefault="00402226" w:rsidP="00F46E7D">
      <w:pPr>
        <w:jc w:val="both"/>
        <w:rPr>
          <w:rFonts w:asciiTheme="minorHAnsi" w:hAnsiTheme="minorHAnsi" w:cstheme="minorHAnsi"/>
          <w:sz w:val="22"/>
          <w:szCs w:val="22"/>
        </w:rPr>
      </w:pPr>
      <w:bookmarkStart w:id="0" w:name="_Hlk118700207"/>
      <w:r w:rsidRPr="00A038FB">
        <w:rPr>
          <w:rFonts w:asciiTheme="minorHAnsi" w:hAnsiTheme="minorHAnsi" w:cstheme="minorHAnsi"/>
          <w:sz w:val="22"/>
          <w:szCs w:val="22"/>
        </w:rPr>
        <w:t>5. Finanční prostředky mohou být použity pouze pro účel stanovený v podmínkách této smlouvy</w:t>
      </w:r>
      <w:r w:rsidR="00F46E7D">
        <w:rPr>
          <w:rFonts w:asciiTheme="minorHAnsi" w:hAnsiTheme="minorHAnsi" w:cstheme="minorHAnsi"/>
          <w:sz w:val="22"/>
          <w:szCs w:val="22"/>
        </w:rPr>
        <w:t>.</w:t>
      </w:r>
    </w:p>
    <w:bookmarkEnd w:id="0"/>
    <w:p w14:paraId="2E1B7C8B" w14:textId="77777777" w:rsidR="00402226" w:rsidRPr="00A038FB" w:rsidRDefault="00402226" w:rsidP="00402226">
      <w:pPr>
        <w:tabs>
          <w:tab w:val="left" w:pos="360"/>
        </w:tabs>
        <w:ind w:right="51"/>
        <w:jc w:val="both"/>
        <w:rPr>
          <w:rFonts w:asciiTheme="minorHAnsi" w:hAnsiTheme="minorHAnsi" w:cstheme="minorHAnsi"/>
          <w:sz w:val="22"/>
          <w:szCs w:val="22"/>
        </w:rPr>
      </w:pPr>
    </w:p>
    <w:p w14:paraId="6F859ED5" w14:textId="77777777" w:rsidR="00402226" w:rsidRPr="00C326FF" w:rsidRDefault="00402226" w:rsidP="00402226">
      <w:pPr>
        <w:tabs>
          <w:tab w:val="left" w:pos="360"/>
        </w:tabs>
        <w:ind w:right="51"/>
        <w:jc w:val="center"/>
        <w:rPr>
          <w:rFonts w:ascii="Calibri" w:hAnsi="Calibri" w:cs="Calibri"/>
          <w:b/>
          <w:sz w:val="22"/>
          <w:szCs w:val="22"/>
        </w:rPr>
      </w:pPr>
      <w:r>
        <w:rPr>
          <w:rFonts w:ascii="Calibri" w:hAnsi="Calibri" w:cs="Calibri"/>
          <w:b/>
          <w:sz w:val="22"/>
          <w:szCs w:val="22"/>
        </w:rPr>
        <w:t>I</w:t>
      </w:r>
      <w:r w:rsidRPr="00C326FF">
        <w:rPr>
          <w:rFonts w:ascii="Calibri" w:hAnsi="Calibri" w:cs="Calibri"/>
          <w:b/>
          <w:sz w:val="22"/>
          <w:szCs w:val="22"/>
        </w:rPr>
        <w:t>V.</w:t>
      </w:r>
    </w:p>
    <w:p w14:paraId="742B5660" w14:textId="77777777" w:rsidR="00402226" w:rsidRDefault="00402226" w:rsidP="00402226">
      <w:pPr>
        <w:tabs>
          <w:tab w:val="left" w:pos="360"/>
        </w:tabs>
        <w:ind w:right="51"/>
        <w:jc w:val="center"/>
        <w:rPr>
          <w:rFonts w:ascii="Calibri" w:hAnsi="Calibri" w:cs="Calibri"/>
          <w:b/>
          <w:sz w:val="22"/>
          <w:szCs w:val="22"/>
        </w:rPr>
      </w:pPr>
      <w:r w:rsidRPr="00C326FF">
        <w:rPr>
          <w:rFonts w:ascii="Calibri" w:hAnsi="Calibri" w:cs="Calibri"/>
          <w:b/>
          <w:sz w:val="22"/>
          <w:szCs w:val="22"/>
        </w:rPr>
        <w:t>Výše dotace a vyplacení dotace</w:t>
      </w:r>
    </w:p>
    <w:p w14:paraId="3D9D8A99" w14:textId="77777777" w:rsidR="00402226" w:rsidRPr="00C326FF" w:rsidRDefault="00402226" w:rsidP="00402226">
      <w:pPr>
        <w:tabs>
          <w:tab w:val="left" w:pos="360"/>
        </w:tabs>
        <w:ind w:right="51"/>
        <w:jc w:val="center"/>
        <w:rPr>
          <w:rFonts w:ascii="Calibri" w:hAnsi="Calibri" w:cs="Calibri"/>
          <w:b/>
          <w:sz w:val="22"/>
          <w:szCs w:val="22"/>
        </w:rPr>
      </w:pPr>
    </w:p>
    <w:p w14:paraId="5FDAF4CF" w14:textId="77777777" w:rsidR="00402226" w:rsidRPr="005B69FF" w:rsidRDefault="00402226" w:rsidP="00402226">
      <w:pPr>
        <w:tabs>
          <w:tab w:val="left" w:pos="360"/>
        </w:tabs>
        <w:ind w:right="51"/>
        <w:jc w:val="both"/>
        <w:rPr>
          <w:rFonts w:ascii="Calibri" w:hAnsi="Calibri" w:cs="Calibri"/>
          <w:sz w:val="22"/>
          <w:szCs w:val="22"/>
        </w:rPr>
      </w:pPr>
      <w:bookmarkStart w:id="1" w:name="_Hlk22108289"/>
      <w:r w:rsidRPr="005B69FF">
        <w:rPr>
          <w:rFonts w:ascii="Calibri" w:hAnsi="Calibri" w:cs="Calibri"/>
          <w:sz w:val="22"/>
          <w:szCs w:val="22"/>
        </w:rPr>
        <w:t>1.</w:t>
      </w:r>
      <w:r w:rsidRPr="005B69FF">
        <w:rPr>
          <w:rFonts w:ascii="Calibri" w:hAnsi="Calibri" w:cs="Calibri"/>
          <w:sz w:val="22"/>
          <w:szCs w:val="22"/>
        </w:rPr>
        <w:tab/>
        <w:t>Vyplacení dotace na účet příjemce proběhne následujícím způsobem:</w:t>
      </w:r>
    </w:p>
    <w:p w14:paraId="582BDD44" w14:textId="37CF5B8B" w:rsidR="00B74D9D" w:rsidRDefault="00402226" w:rsidP="00B74D9D">
      <w:pPr>
        <w:jc w:val="both"/>
        <w:rPr>
          <w:rFonts w:ascii="Calibri" w:hAnsi="Calibri" w:cs="Calibri"/>
          <w:sz w:val="22"/>
          <w:szCs w:val="22"/>
        </w:rPr>
      </w:pPr>
      <w:r w:rsidRPr="005B69FF">
        <w:rPr>
          <w:rFonts w:ascii="Calibri" w:hAnsi="Calibri" w:cs="Calibri"/>
          <w:sz w:val="22"/>
          <w:szCs w:val="22"/>
        </w:rPr>
        <w:t>Celková výše dotace, tj.</w:t>
      </w:r>
      <w:r w:rsidRPr="005B69FF">
        <w:rPr>
          <w:rFonts w:ascii="Calibri" w:hAnsi="Calibri" w:cs="Calibri"/>
          <w:b/>
          <w:sz w:val="22"/>
          <w:szCs w:val="22"/>
        </w:rPr>
        <w:t xml:space="preserve"> </w:t>
      </w:r>
      <w:r w:rsidR="00A332B6">
        <w:rPr>
          <w:rFonts w:ascii="Calibri" w:hAnsi="Calibri" w:cs="Calibri"/>
          <w:b/>
          <w:sz w:val="22"/>
          <w:szCs w:val="22"/>
        </w:rPr>
        <w:t>1</w:t>
      </w:r>
      <w:r w:rsidR="00B74D9D">
        <w:rPr>
          <w:rFonts w:ascii="Calibri" w:hAnsi="Calibri" w:cs="Calibri"/>
          <w:b/>
          <w:sz w:val="22"/>
          <w:szCs w:val="22"/>
        </w:rPr>
        <w:t>.</w:t>
      </w:r>
      <w:r w:rsidR="002C46E3">
        <w:rPr>
          <w:rFonts w:ascii="Calibri" w:hAnsi="Calibri" w:cs="Calibri"/>
          <w:b/>
          <w:sz w:val="22"/>
          <w:szCs w:val="22"/>
        </w:rPr>
        <w:t>0</w:t>
      </w:r>
      <w:r w:rsidR="00B74D9D">
        <w:rPr>
          <w:rFonts w:ascii="Calibri" w:hAnsi="Calibri" w:cs="Calibri"/>
          <w:b/>
          <w:sz w:val="22"/>
          <w:szCs w:val="22"/>
        </w:rPr>
        <w:t xml:space="preserve">00.000 </w:t>
      </w:r>
      <w:r w:rsidRPr="005B69FF">
        <w:rPr>
          <w:rFonts w:ascii="Calibri" w:hAnsi="Calibri" w:cs="Calibri"/>
          <w:b/>
          <w:sz w:val="22"/>
          <w:szCs w:val="22"/>
        </w:rPr>
        <w:t>Kč</w:t>
      </w:r>
      <w:r w:rsidRPr="005B69FF">
        <w:rPr>
          <w:rFonts w:ascii="Calibri" w:hAnsi="Calibri" w:cs="Calibri"/>
          <w:sz w:val="22"/>
          <w:szCs w:val="22"/>
        </w:rPr>
        <w:t xml:space="preserve"> (slovy: </w:t>
      </w:r>
      <w:r w:rsidR="00A332B6">
        <w:rPr>
          <w:rFonts w:ascii="Calibri" w:hAnsi="Calibri" w:cs="Calibri"/>
          <w:sz w:val="22"/>
          <w:szCs w:val="22"/>
        </w:rPr>
        <w:t xml:space="preserve">Jeden milion </w:t>
      </w:r>
      <w:r w:rsidR="00B74D9D">
        <w:rPr>
          <w:rFonts w:ascii="Calibri" w:hAnsi="Calibri" w:cs="Calibri"/>
          <w:sz w:val="22"/>
          <w:szCs w:val="22"/>
        </w:rPr>
        <w:t>jedno sto tisíc</w:t>
      </w:r>
      <w:r w:rsidR="00A332B6">
        <w:rPr>
          <w:rFonts w:ascii="Calibri" w:hAnsi="Calibri" w:cs="Calibri"/>
          <w:sz w:val="22"/>
          <w:szCs w:val="22"/>
        </w:rPr>
        <w:t xml:space="preserve"> </w:t>
      </w:r>
      <w:r w:rsidRPr="005B69FF">
        <w:rPr>
          <w:rFonts w:ascii="Calibri" w:hAnsi="Calibri" w:cs="Calibri"/>
          <w:sz w:val="22"/>
          <w:szCs w:val="22"/>
        </w:rPr>
        <w:t xml:space="preserve">korun českých) </w:t>
      </w:r>
      <w:bookmarkEnd w:id="1"/>
      <w:r w:rsidR="00B74D9D">
        <w:rPr>
          <w:rFonts w:ascii="Calibri" w:hAnsi="Calibri" w:cs="Calibri"/>
          <w:sz w:val="22"/>
          <w:szCs w:val="22"/>
        </w:rPr>
        <w:t>bude vyplacena na bankovní účet, uvedený v záhlaví této smlouvy do 10 dnů po nabytí účinnosti této smlouvy takto:</w:t>
      </w:r>
    </w:p>
    <w:p w14:paraId="3CB61756" w14:textId="77777777" w:rsidR="00A332B6" w:rsidRDefault="00A332B6" w:rsidP="00B74D9D">
      <w:pPr>
        <w:jc w:val="both"/>
        <w:rPr>
          <w:rFonts w:ascii="Calibri" w:hAnsi="Calibri" w:cs="Calibri"/>
          <w:sz w:val="22"/>
          <w:szCs w:val="22"/>
        </w:rPr>
      </w:pPr>
    </w:p>
    <w:p w14:paraId="71A3782A" w14:textId="7B385F89" w:rsidR="00A332B6" w:rsidRDefault="00A332B6" w:rsidP="00B74D9D">
      <w:pPr>
        <w:jc w:val="both"/>
        <w:rPr>
          <w:rFonts w:ascii="Calibri" w:hAnsi="Calibri" w:cs="Calibri"/>
          <w:sz w:val="22"/>
          <w:szCs w:val="22"/>
        </w:rPr>
      </w:pPr>
      <w:r>
        <w:rPr>
          <w:rFonts w:ascii="Calibri" w:hAnsi="Calibri" w:cs="Calibri"/>
          <w:sz w:val="22"/>
          <w:szCs w:val="22"/>
        </w:rPr>
        <w:t>Platební kalendář:</w:t>
      </w:r>
    </w:p>
    <w:p w14:paraId="79E167C5" w14:textId="3F89C78F" w:rsidR="00B74D9D" w:rsidRDefault="00A332B6" w:rsidP="00B74D9D">
      <w:pPr>
        <w:jc w:val="both"/>
        <w:rPr>
          <w:rFonts w:ascii="Calibri" w:hAnsi="Calibri" w:cs="Calibri"/>
          <w:sz w:val="22"/>
          <w:szCs w:val="22"/>
        </w:rPr>
      </w:pPr>
      <w:r>
        <w:rPr>
          <w:rFonts w:ascii="Calibri" w:hAnsi="Calibri" w:cs="Calibri"/>
          <w:sz w:val="22"/>
          <w:szCs w:val="22"/>
        </w:rPr>
        <w:t>5</w:t>
      </w:r>
      <w:r w:rsidR="002C46E3">
        <w:rPr>
          <w:rFonts w:ascii="Calibri" w:hAnsi="Calibri" w:cs="Calibri"/>
          <w:sz w:val="22"/>
          <w:szCs w:val="22"/>
        </w:rPr>
        <w:t>0</w:t>
      </w:r>
      <w:r w:rsidR="00B74D9D">
        <w:rPr>
          <w:rFonts w:ascii="Calibri" w:hAnsi="Calibri" w:cs="Calibri"/>
          <w:sz w:val="22"/>
          <w:szCs w:val="22"/>
        </w:rPr>
        <w:t>0.000 Kč</w:t>
      </w:r>
      <w:r w:rsidR="00B74D9D">
        <w:rPr>
          <w:rFonts w:ascii="Calibri" w:hAnsi="Calibri" w:cs="Calibri"/>
          <w:sz w:val="22"/>
          <w:szCs w:val="22"/>
        </w:rPr>
        <w:tab/>
        <w:t>do 31.01.2023</w:t>
      </w:r>
    </w:p>
    <w:p w14:paraId="4A32123C" w14:textId="1ED43CFE" w:rsidR="00B74D9D" w:rsidRDefault="00A332B6" w:rsidP="00B74D9D">
      <w:pPr>
        <w:jc w:val="both"/>
        <w:rPr>
          <w:rFonts w:ascii="Calibri" w:hAnsi="Calibri" w:cs="Calibri"/>
          <w:sz w:val="22"/>
          <w:szCs w:val="22"/>
        </w:rPr>
      </w:pPr>
      <w:r>
        <w:rPr>
          <w:rFonts w:ascii="Calibri" w:hAnsi="Calibri" w:cs="Calibri"/>
          <w:sz w:val="22"/>
          <w:szCs w:val="22"/>
        </w:rPr>
        <w:t>5</w:t>
      </w:r>
      <w:r w:rsidR="002C46E3">
        <w:rPr>
          <w:rFonts w:ascii="Calibri" w:hAnsi="Calibri" w:cs="Calibri"/>
          <w:sz w:val="22"/>
          <w:szCs w:val="22"/>
        </w:rPr>
        <w:t>0</w:t>
      </w:r>
      <w:r w:rsidR="00B74D9D">
        <w:rPr>
          <w:rFonts w:ascii="Calibri" w:hAnsi="Calibri" w:cs="Calibri"/>
          <w:sz w:val="22"/>
          <w:szCs w:val="22"/>
        </w:rPr>
        <w:t>0.000 Kč</w:t>
      </w:r>
      <w:r w:rsidR="00B74D9D">
        <w:rPr>
          <w:rFonts w:ascii="Calibri" w:hAnsi="Calibri" w:cs="Calibri"/>
          <w:sz w:val="22"/>
          <w:szCs w:val="22"/>
        </w:rPr>
        <w:tab/>
        <w:t>do 28.02.202</w:t>
      </w:r>
      <w:r>
        <w:rPr>
          <w:rFonts w:ascii="Calibri" w:hAnsi="Calibri" w:cs="Calibri"/>
          <w:sz w:val="22"/>
          <w:szCs w:val="22"/>
        </w:rPr>
        <w:t>3</w:t>
      </w:r>
    </w:p>
    <w:p w14:paraId="4BA92342" w14:textId="77777777" w:rsidR="00B74D9D" w:rsidRDefault="00B74D9D" w:rsidP="00402226">
      <w:pPr>
        <w:jc w:val="both"/>
        <w:rPr>
          <w:rFonts w:ascii="Calibri" w:hAnsi="Calibri" w:cs="Calibri"/>
          <w:sz w:val="22"/>
          <w:szCs w:val="22"/>
        </w:rPr>
      </w:pPr>
    </w:p>
    <w:p w14:paraId="40DC655D" w14:textId="7D3DEC8F" w:rsidR="00402226" w:rsidRPr="009679B4" w:rsidRDefault="005B69FF" w:rsidP="00402226">
      <w:pPr>
        <w:jc w:val="both"/>
        <w:rPr>
          <w:rFonts w:ascii="Calibri" w:hAnsi="Calibri" w:cs="Calibri"/>
          <w:sz w:val="22"/>
          <w:szCs w:val="22"/>
        </w:rPr>
      </w:pPr>
      <w:r>
        <w:rPr>
          <w:rFonts w:ascii="Calibri" w:hAnsi="Calibri" w:cs="Calibri"/>
          <w:sz w:val="22"/>
          <w:szCs w:val="22"/>
        </w:rPr>
        <w:t>2</w:t>
      </w:r>
      <w:r w:rsidR="00402226" w:rsidRPr="009679B4">
        <w:rPr>
          <w:rFonts w:ascii="Calibri" w:hAnsi="Calibri" w:cs="Calibri"/>
          <w:sz w:val="22"/>
          <w:szCs w:val="22"/>
        </w:rPr>
        <w:t>. Podmínkou poskytnutí finančních prostředků je řádné</w:t>
      </w:r>
      <w:r w:rsidR="00402226">
        <w:rPr>
          <w:rFonts w:ascii="Calibri" w:hAnsi="Calibri" w:cs="Calibri"/>
          <w:sz w:val="22"/>
          <w:szCs w:val="22"/>
        </w:rPr>
        <w:t xml:space="preserve"> plnění všech závazků příjemcem, </w:t>
      </w:r>
      <w:r w:rsidR="00402226" w:rsidRPr="0085518B">
        <w:rPr>
          <w:rFonts w:ascii="Calibri" w:hAnsi="Calibri" w:cs="Calibri"/>
          <w:sz w:val="22"/>
          <w:szCs w:val="22"/>
        </w:rPr>
        <w:t>a to zejména plnění „SOHZ“.</w:t>
      </w:r>
    </w:p>
    <w:p w14:paraId="334F6B16" w14:textId="77777777" w:rsidR="00B74D9D" w:rsidRPr="00C326FF" w:rsidRDefault="00B74D9D" w:rsidP="00B74D9D">
      <w:pPr>
        <w:jc w:val="center"/>
        <w:rPr>
          <w:rFonts w:ascii="Calibri" w:hAnsi="Calibri" w:cs="Calibri"/>
          <w:b/>
          <w:bCs/>
          <w:sz w:val="22"/>
          <w:szCs w:val="22"/>
        </w:rPr>
      </w:pPr>
      <w:bookmarkStart w:id="2" w:name="_Hlk116476293"/>
      <w:r w:rsidRPr="00C326FF">
        <w:rPr>
          <w:rFonts w:ascii="Calibri" w:hAnsi="Calibri" w:cs="Calibri"/>
          <w:b/>
          <w:bCs/>
          <w:sz w:val="22"/>
          <w:szCs w:val="22"/>
        </w:rPr>
        <w:t>V.</w:t>
      </w:r>
    </w:p>
    <w:p w14:paraId="08CC0AC1" w14:textId="77777777" w:rsidR="00B74D9D" w:rsidRDefault="00B74D9D" w:rsidP="00B74D9D">
      <w:pPr>
        <w:jc w:val="center"/>
        <w:rPr>
          <w:rFonts w:ascii="Calibri" w:hAnsi="Calibri" w:cs="Calibri"/>
          <w:b/>
          <w:bCs/>
          <w:sz w:val="22"/>
          <w:szCs w:val="22"/>
        </w:rPr>
      </w:pPr>
      <w:r w:rsidRPr="00C326FF">
        <w:rPr>
          <w:rFonts w:ascii="Calibri" w:hAnsi="Calibri" w:cs="Calibri"/>
          <w:b/>
          <w:bCs/>
          <w:sz w:val="22"/>
          <w:szCs w:val="22"/>
        </w:rPr>
        <w:t>Ustanovení o DPH</w:t>
      </w:r>
    </w:p>
    <w:p w14:paraId="16C546D6" w14:textId="77777777" w:rsidR="00B74D9D" w:rsidRPr="00C326FF" w:rsidRDefault="00B74D9D" w:rsidP="00B74D9D">
      <w:pPr>
        <w:jc w:val="center"/>
        <w:rPr>
          <w:rFonts w:ascii="Calibri" w:hAnsi="Calibri" w:cs="Calibri"/>
          <w:b/>
          <w:bCs/>
          <w:sz w:val="22"/>
          <w:szCs w:val="22"/>
        </w:rPr>
      </w:pPr>
    </w:p>
    <w:p w14:paraId="293B467A" w14:textId="0DED85C3" w:rsidR="00B74D9D" w:rsidRDefault="00B74D9D" w:rsidP="00B74D9D">
      <w:pPr>
        <w:jc w:val="both"/>
        <w:rPr>
          <w:rFonts w:ascii="Calibri" w:hAnsi="Calibri" w:cs="Calibri"/>
          <w:bCs/>
          <w:sz w:val="22"/>
          <w:szCs w:val="22"/>
        </w:rPr>
      </w:pPr>
      <w:r>
        <w:rPr>
          <w:rFonts w:ascii="Calibri" w:hAnsi="Calibri" w:cs="Calibri"/>
          <w:bCs/>
          <w:sz w:val="22"/>
          <w:szCs w:val="22"/>
        </w:rPr>
        <w:t xml:space="preserve">1. </w:t>
      </w:r>
      <w:r w:rsidRPr="00D64C29">
        <w:rPr>
          <w:rFonts w:ascii="Calibri" w:hAnsi="Calibri" w:cs="Calibri"/>
          <w:bCs/>
          <w:sz w:val="22"/>
          <w:szCs w:val="22"/>
        </w:rPr>
        <w:t>Nedílnou součástí této smlouvy je čestné prohlášení, kde příjemce dotace uvede, zda je či není plátcem DPH a zároveň v případě plátce DPH čestně prohlásí, zda může v rámci projektu</w:t>
      </w:r>
      <w:r>
        <w:rPr>
          <w:rFonts w:ascii="Calibri" w:hAnsi="Calibri" w:cs="Calibri"/>
          <w:bCs/>
          <w:sz w:val="22"/>
          <w:szCs w:val="22"/>
        </w:rPr>
        <w:t>,</w:t>
      </w:r>
      <w:r w:rsidRPr="00D64C29">
        <w:rPr>
          <w:rFonts w:ascii="Calibri" w:hAnsi="Calibri" w:cs="Calibri"/>
          <w:bCs/>
          <w:sz w:val="22"/>
          <w:szCs w:val="22"/>
        </w:rPr>
        <w:t xml:space="preserve"> dle jeho aktivit</w:t>
      </w:r>
      <w:r>
        <w:rPr>
          <w:rFonts w:ascii="Calibri" w:hAnsi="Calibri" w:cs="Calibri"/>
          <w:bCs/>
          <w:sz w:val="22"/>
          <w:szCs w:val="22"/>
        </w:rPr>
        <w:t>,</w:t>
      </w:r>
      <w:r w:rsidRPr="00D64C29">
        <w:rPr>
          <w:rFonts w:ascii="Calibri" w:hAnsi="Calibri" w:cs="Calibri"/>
          <w:bCs/>
          <w:sz w:val="22"/>
          <w:szCs w:val="22"/>
        </w:rPr>
        <w:t xml:space="preserve"> uplatnit odpočet DPH na vstupu či nikoliv a v jaké výši. Pokud příjemce v době obdržení dotace není plátcem DPH, ale v průběhu čerpání dotace se plátcem DPH stane, je povinen písemně nahlásit poskytovateli změnu plátce DPH. Dále musí sdělit, zda při změně v plátce DPH bude moci dle jeho aktivit uplatnit odpočet DPH na vstupu či nikoliv a v jaké výši, popř. zda v souladu s ustanovením § 79 zákona </w:t>
      </w:r>
      <w:r>
        <w:rPr>
          <w:rFonts w:ascii="Calibri" w:hAnsi="Calibri" w:cs="Calibri"/>
          <w:bCs/>
          <w:sz w:val="22"/>
          <w:szCs w:val="22"/>
        </w:rPr>
        <w:t xml:space="preserve">č. 235/2004 Sb., </w:t>
      </w:r>
      <w:r w:rsidRPr="00D64C29">
        <w:rPr>
          <w:rFonts w:ascii="Calibri" w:hAnsi="Calibri" w:cs="Calibri"/>
          <w:bCs/>
          <w:sz w:val="22"/>
          <w:szCs w:val="22"/>
        </w:rPr>
        <w:t>o dani z přidané hodnoty uplatní nárok odpočtu daně při registraci. Příjemce je povinen, pokud mu to ustanovení § 77 až § 78d zákona o dani z přidané hodnoty umožňuje, uplatnit nárok na odpočet DPH u majetku pořízeného z poskytnuté dotace v průběhu 5 let od pořízení, v případě pozemků, staveb, bytů a nebytových prostor v průběhu 10 let, a vrátit poměrnou část dotace, kterou předtím použil na úhradu DPH příslušného majetku a která byla způsobilým výdajem projektu. DPH, které si příjemce může uplatnit, musí neprodleně vrátit poskytovateli dotace na účet</w:t>
      </w:r>
      <w:r>
        <w:rPr>
          <w:rFonts w:ascii="Calibri" w:hAnsi="Calibri" w:cs="Calibri"/>
          <w:bCs/>
          <w:sz w:val="22"/>
          <w:szCs w:val="22"/>
        </w:rPr>
        <w:t xml:space="preserve"> </w:t>
      </w:r>
      <w:bookmarkStart w:id="3" w:name="_Hlk116455411"/>
      <w:r>
        <w:rPr>
          <w:rFonts w:ascii="Calibri" w:hAnsi="Calibri" w:cs="Calibri"/>
          <w:bCs/>
          <w:sz w:val="22"/>
          <w:szCs w:val="22"/>
        </w:rPr>
        <w:t>uvedený v záhlaví této smlouvy</w:t>
      </w:r>
      <w:bookmarkEnd w:id="3"/>
      <w:r w:rsidRPr="00FC5597">
        <w:rPr>
          <w:rFonts w:ascii="Calibri" w:hAnsi="Calibri" w:cs="Calibri"/>
          <w:bCs/>
          <w:sz w:val="22"/>
          <w:szCs w:val="22"/>
        </w:rPr>
        <w:t xml:space="preserve"> </w:t>
      </w:r>
      <w:r w:rsidRPr="00D64C29">
        <w:rPr>
          <w:rFonts w:ascii="Calibri" w:hAnsi="Calibri" w:cs="Calibri"/>
          <w:bCs/>
          <w:sz w:val="22"/>
          <w:szCs w:val="22"/>
        </w:rPr>
        <w:t xml:space="preserve">se stejným variabilním symbolem, pod kterým dotaci obdržel. V případě, že aktivity v rámci projektu nebudou ekonomickými činnostmi, u kterých by si mohl příjemce (plátce DPH) uplatňovat odpočet DPH na vstupu, nebude mít změna z neplátce v plátce DPH žádný vliv na výši dotace, pouze toto písemné oznámení příjemce o změně bude založeno v rámci podkladů o poskytnuté dotaci u poskytovatele dotace. Jestliže zákon o DPH příjemci umožní při změně z neplátce na plátce uplatňovat odpočet DPH na vstupu, je vždy povinen informovat poskytovatele programu o výši vratky DPH a ze strany poskytovatele na základě této změny v přidělené dotaci bude vyhotoven dodatek ke smlouvě, ve kterém bude snížen nárok na dotaci o výši DPH, jež si příjemce bude uplatňovat u místně příslušného finančního úřadu.  </w:t>
      </w:r>
    </w:p>
    <w:p w14:paraId="6C313C1D" w14:textId="215252B5" w:rsidR="00F46E7D" w:rsidRDefault="00F46E7D" w:rsidP="00B74D9D">
      <w:pPr>
        <w:jc w:val="both"/>
        <w:rPr>
          <w:rFonts w:ascii="Calibri" w:hAnsi="Calibri" w:cs="Calibri"/>
          <w:bCs/>
          <w:sz w:val="22"/>
          <w:szCs w:val="22"/>
        </w:rPr>
      </w:pPr>
    </w:p>
    <w:p w14:paraId="6E3BA6E5" w14:textId="1545AFC9" w:rsidR="00F46E7D" w:rsidRDefault="00F46E7D" w:rsidP="00B74D9D">
      <w:pPr>
        <w:jc w:val="both"/>
        <w:rPr>
          <w:rFonts w:ascii="Calibri" w:hAnsi="Calibri" w:cs="Calibri"/>
          <w:bCs/>
          <w:sz w:val="22"/>
          <w:szCs w:val="22"/>
        </w:rPr>
      </w:pPr>
    </w:p>
    <w:p w14:paraId="2D7564E6" w14:textId="77777777" w:rsidR="00F46E7D" w:rsidRPr="00D64C29" w:rsidRDefault="00F46E7D" w:rsidP="00B74D9D">
      <w:pPr>
        <w:jc w:val="both"/>
        <w:rPr>
          <w:rFonts w:ascii="Calibri" w:hAnsi="Calibri" w:cs="Calibri"/>
          <w:bCs/>
          <w:sz w:val="22"/>
          <w:szCs w:val="22"/>
        </w:rPr>
      </w:pPr>
    </w:p>
    <w:bookmarkEnd w:id="2"/>
    <w:p w14:paraId="083342F5" w14:textId="77777777" w:rsidR="00402226" w:rsidRPr="00C326FF" w:rsidRDefault="00402226" w:rsidP="00402226">
      <w:pPr>
        <w:jc w:val="center"/>
        <w:rPr>
          <w:rFonts w:ascii="Calibri" w:hAnsi="Calibri" w:cs="Calibri"/>
          <w:b/>
          <w:bCs/>
          <w:sz w:val="22"/>
          <w:szCs w:val="22"/>
        </w:rPr>
      </w:pPr>
      <w:r w:rsidRPr="00C326FF">
        <w:rPr>
          <w:rFonts w:ascii="Calibri" w:hAnsi="Calibri" w:cs="Calibri"/>
          <w:b/>
          <w:bCs/>
          <w:sz w:val="22"/>
          <w:szCs w:val="22"/>
        </w:rPr>
        <w:lastRenderedPageBreak/>
        <w:t>VI.</w:t>
      </w:r>
    </w:p>
    <w:p w14:paraId="319C56FE" w14:textId="458E4639" w:rsidR="00402226" w:rsidRDefault="00402226" w:rsidP="00402226">
      <w:pPr>
        <w:jc w:val="center"/>
        <w:rPr>
          <w:rFonts w:ascii="Calibri" w:hAnsi="Calibri" w:cs="Calibri"/>
          <w:b/>
          <w:bCs/>
          <w:sz w:val="22"/>
          <w:szCs w:val="22"/>
        </w:rPr>
      </w:pPr>
      <w:r w:rsidRPr="00C326FF">
        <w:rPr>
          <w:rFonts w:ascii="Calibri" w:hAnsi="Calibri" w:cs="Calibri"/>
          <w:b/>
          <w:bCs/>
          <w:sz w:val="22"/>
          <w:szCs w:val="22"/>
        </w:rPr>
        <w:t xml:space="preserve">Uznatelné </w:t>
      </w:r>
      <w:r w:rsidR="00743649">
        <w:rPr>
          <w:rFonts w:ascii="Calibri" w:hAnsi="Calibri" w:cs="Calibri"/>
          <w:b/>
          <w:bCs/>
          <w:sz w:val="22"/>
          <w:szCs w:val="22"/>
        </w:rPr>
        <w:t>výdaje</w:t>
      </w:r>
    </w:p>
    <w:p w14:paraId="55C22BA2" w14:textId="77777777" w:rsidR="00402226" w:rsidRPr="00C326FF" w:rsidRDefault="00402226" w:rsidP="00402226">
      <w:pPr>
        <w:jc w:val="center"/>
        <w:rPr>
          <w:rFonts w:ascii="Calibri" w:hAnsi="Calibri" w:cs="Calibri"/>
          <w:b/>
          <w:bCs/>
          <w:sz w:val="22"/>
          <w:szCs w:val="22"/>
        </w:rPr>
      </w:pPr>
    </w:p>
    <w:p w14:paraId="1510CC22" w14:textId="77777777" w:rsidR="00402226" w:rsidRPr="004A07BC" w:rsidRDefault="00402226" w:rsidP="00402226">
      <w:pPr>
        <w:jc w:val="both"/>
        <w:rPr>
          <w:rFonts w:ascii="Calibri" w:hAnsi="Calibri" w:cs="Calibri"/>
          <w:bCs/>
          <w:sz w:val="22"/>
          <w:szCs w:val="22"/>
        </w:rPr>
      </w:pPr>
      <w:r w:rsidRPr="00816449">
        <w:rPr>
          <w:rFonts w:ascii="Calibri" w:hAnsi="Calibri" w:cs="Calibri"/>
          <w:bCs/>
          <w:sz w:val="22"/>
          <w:szCs w:val="22"/>
        </w:rPr>
        <w:t xml:space="preserve">1.  Závazkem příjemce je zajištění poskytování činností představujících závazek veřejné služby </w:t>
      </w:r>
      <w:r>
        <w:rPr>
          <w:rFonts w:ascii="Calibri" w:hAnsi="Calibri" w:cs="Calibri"/>
          <w:bCs/>
          <w:sz w:val="22"/>
          <w:szCs w:val="22"/>
        </w:rPr>
        <w:t xml:space="preserve">(dále také jako ZVS) </w:t>
      </w:r>
      <w:r w:rsidRPr="00816449">
        <w:rPr>
          <w:rFonts w:ascii="Calibri" w:hAnsi="Calibri" w:cs="Calibri"/>
          <w:bCs/>
          <w:sz w:val="22"/>
          <w:szCs w:val="22"/>
        </w:rPr>
        <w:t>dle „SOHZ“, spočívající v poskytování: nájemního bydlení v penzionech pro seniory</w:t>
      </w:r>
      <w:r>
        <w:rPr>
          <w:rFonts w:ascii="Calibri" w:hAnsi="Calibri" w:cs="Calibri"/>
          <w:bCs/>
          <w:sz w:val="22"/>
          <w:szCs w:val="22"/>
        </w:rPr>
        <w:t>.</w:t>
      </w:r>
      <w:r w:rsidRPr="00816449">
        <w:rPr>
          <w:rFonts w:ascii="Calibri" w:hAnsi="Calibri" w:cs="Calibri"/>
          <w:bCs/>
          <w:sz w:val="22"/>
          <w:szCs w:val="22"/>
        </w:rPr>
        <w:t xml:space="preserve"> </w:t>
      </w:r>
      <w:r>
        <w:rPr>
          <w:rFonts w:ascii="Calibri" w:hAnsi="Calibri" w:cs="Calibri"/>
          <w:bCs/>
          <w:sz w:val="22"/>
          <w:szCs w:val="22"/>
        </w:rPr>
        <w:t xml:space="preserve">ZVS je </w:t>
      </w:r>
      <w:r w:rsidRPr="004A07BC">
        <w:rPr>
          <w:rFonts w:ascii="Calibri" w:hAnsi="Calibri" w:cs="Calibri"/>
          <w:bCs/>
          <w:sz w:val="22"/>
          <w:szCs w:val="22"/>
        </w:rPr>
        <w:t xml:space="preserve">uskutečňován v objektech nacházejících se na území města Litvínova a vlastněných poskytovatelem dotace, jakožto objednatelem závazku veřejné služby, a to konkrétně: v penzionech pro seniory U Bílého sloupu 2088, Vodní 872 a Podkrušnohorská 1591. </w:t>
      </w:r>
    </w:p>
    <w:p w14:paraId="4073E581" w14:textId="77777777" w:rsidR="00402226" w:rsidRDefault="00402226" w:rsidP="00402226">
      <w:pPr>
        <w:jc w:val="both"/>
        <w:rPr>
          <w:rFonts w:ascii="Calibri" w:hAnsi="Calibri" w:cs="Calibri"/>
          <w:bCs/>
          <w:sz w:val="22"/>
          <w:szCs w:val="22"/>
        </w:rPr>
      </w:pPr>
      <w:r w:rsidRPr="004A07BC">
        <w:rPr>
          <w:rFonts w:ascii="Calibri" w:hAnsi="Calibri" w:cs="Calibri"/>
          <w:bCs/>
          <w:sz w:val="22"/>
          <w:szCs w:val="22"/>
        </w:rPr>
        <w:t>Nájemní bydlení bude poskytovatelem závazku veřejné služby poskytováno nepřetržitě.</w:t>
      </w:r>
    </w:p>
    <w:p w14:paraId="393865B3" w14:textId="77777777" w:rsidR="00402226" w:rsidRDefault="00402226" w:rsidP="00402226">
      <w:pPr>
        <w:jc w:val="both"/>
        <w:rPr>
          <w:rFonts w:ascii="Calibri" w:hAnsi="Calibri" w:cs="Calibri"/>
          <w:bCs/>
          <w:sz w:val="22"/>
          <w:szCs w:val="22"/>
        </w:rPr>
      </w:pPr>
    </w:p>
    <w:p w14:paraId="43A243B7" w14:textId="44D5022B" w:rsidR="00402226" w:rsidRPr="00A038FB" w:rsidRDefault="00402226" w:rsidP="00402226">
      <w:pPr>
        <w:jc w:val="both"/>
        <w:rPr>
          <w:rFonts w:ascii="Calibri" w:hAnsi="Calibri" w:cs="Calibri"/>
          <w:bCs/>
          <w:sz w:val="22"/>
          <w:szCs w:val="22"/>
        </w:rPr>
      </w:pPr>
      <w:r>
        <w:rPr>
          <w:rFonts w:ascii="Calibri" w:hAnsi="Calibri" w:cs="Calibri"/>
          <w:bCs/>
          <w:sz w:val="22"/>
          <w:szCs w:val="22"/>
        </w:rPr>
        <w:t>2</w:t>
      </w:r>
      <w:r w:rsidRPr="00A038FB">
        <w:rPr>
          <w:rFonts w:ascii="Calibri" w:hAnsi="Calibri" w:cs="Calibri"/>
          <w:bCs/>
          <w:sz w:val="22"/>
          <w:szCs w:val="22"/>
        </w:rPr>
        <w:t xml:space="preserve">. Uznatelnými </w:t>
      </w:r>
      <w:r w:rsidR="00743649">
        <w:rPr>
          <w:rFonts w:ascii="Calibri" w:hAnsi="Calibri" w:cs="Calibri"/>
          <w:bCs/>
          <w:sz w:val="22"/>
          <w:szCs w:val="22"/>
        </w:rPr>
        <w:t>výdaji</w:t>
      </w:r>
      <w:r w:rsidRPr="00A038FB">
        <w:rPr>
          <w:rFonts w:ascii="Calibri" w:hAnsi="Calibri" w:cs="Calibri"/>
          <w:bCs/>
          <w:sz w:val="22"/>
          <w:szCs w:val="22"/>
        </w:rPr>
        <w:t xml:space="preserve"> podle této smlouvy jsou</w:t>
      </w:r>
      <w:r w:rsidR="00F767D7">
        <w:rPr>
          <w:rFonts w:ascii="Calibri" w:hAnsi="Calibri" w:cs="Calibri"/>
          <w:bCs/>
          <w:sz w:val="22"/>
          <w:szCs w:val="22"/>
        </w:rPr>
        <w:t xml:space="preserve"> náklady na</w:t>
      </w:r>
      <w:r w:rsidRPr="00A038FB">
        <w:rPr>
          <w:rFonts w:ascii="Calibri" w:hAnsi="Calibri" w:cs="Calibri"/>
          <w:bCs/>
          <w:sz w:val="22"/>
          <w:szCs w:val="22"/>
        </w:rPr>
        <w:t xml:space="preserve">: </w:t>
      </w:r>
    </w:p>
    <w:p w14:paraId="430CAC75" w14:textId="1BD87C13" w:rsidR="00402226" w:rsidRPr="00CE4B7C" w:rsidRDefault="00402226" w:rsidP="00402226">
      <w:pPr>
        <w:pStyle w:val="Odstavecseseznamem"/>
        <w:numPr>
          <w:ilvl w:val="0"/>
          <w:numId w:val="1"/>
        </w:numPr>
        <w:jc w:val="both"/>
        <w:rPr>
          <w:rFonts w:ascii="Calibri" w:hAnsi="Calibri" w:cs="Calibri"/>
          <w:bCs/>
          <w:sz w:val="22"/>
          <w:szCs w:val="22"/>
        </w:rPr>
      </w:pPr>
      <w:r w:rsidRPr="00CE4B7C">
        <w:rPr>
          <w:rFonts w:ascii="Calibri" w:hAnsi="Calibri" w:cs="Calibri"/>
          <w:bCs/>
          <w:sz w:val="22"/>
          <w:szCs w:val="22"/>
        </w:rPr>
        <w:t>úhrad</w:t>
      </w:r>
      <w:r w:rsidR="00F767D7">
        <w:rPr>
          <w:rFonts w:ascii="Calibri" w:hAnsi="Calibri" w:cs="Calibri"/>
          <w:bCs/>
          <w:sz w:val="22"/>
          <w:szCs w:val="22"/>
        </w:rPr>
        <w:t>u</w:t>
      </w:r>
      <w:r w:rsidRPr="00CE4B7C">
        <w:rPr>
          <w:rFonts w:ascii="Calibri" w:hAnsi="Calibri" w:cs="Calibri"/>
          <w:bCs/>
          <w:sz w:val="22"/>
          <w:szCs w:val="22"/>
        </w:rPr>
        <w:t xml:space="preserve"> osobních nákladů zaměstnanců společnosti a externích pracovníků</w:t>
      </w:r>
    </w:p>
    <w:p w14:paraId="5840CA56" w14:textId="73F48890" w:rsidR="00402226" w:rsidRPr="00CE4B7C" w:rsidRDefault="00402226" w:rsidP="00402226">
      <w:pPr>
        <w:pStyle w:val="Odstavecseseznamem"/>
        <w:numPr>
          <w:ilvl w:val="0"/>
          <w:numId w:val="1"/>
        </w:numPr>
        <w:jc w:val="both"/>
        <w:rPr>
          <w:rFonts w:ascii="Calibri" w:hAnsi="Calibri" w:cs="Calibri"/>
          <w:bCs/>
          <w:sz w:val="22"/>
          <w:szCs w:val="22"/>
        </w:rPr>
      </w:pPr>
      <w:r w:rsidRPr="00CE4B7C">
        <w:rPr>
          <w:rFonts w:ascii="Calibri" w:hAnsi="Calibri" w:cs="Calibri"/>
          <w:bCs/>
          <w:sz w:val="22"/>
          <w:szCs w:val="22"/>
        </w:rPr>
        <w:t>úhrad</w:t>
      </w:r>
      <w:r w:rsidR="00F767D7">
        <w:rPr>
          <w:rFonts w:ascii="Calibri" w:hAnsi="Calibri" w:cs="Calibri"/>
          <w:bCs/>
          <w:sz w:val="22"/>
          <w:szCs w:val="22"/>
        </w:rPr>
        <w:t>u</w:t>
      </w:r>
      <w:r w:rsidRPr="00CE4B7C">
        <w:rPr>
          <w:rFonts w:ascii="Calibri" w:hAnsi="Calibri" w:cs="Calibri"/>
          <w:bCs/>
          <w:sz w:val="22"/>
          <w:szCs w:val="22"/>
        </w:rPr>
        <w:t xml:space="preserve"> zákonných sociálních nákladů zaměstnanců společnosti a externích pracovníků (např. příspěvek na stravu, příspěvek na pojištění, zákonné pojištění zaměstnanců – kooperativa) </w:t>
      </w:r>
    </w:p>
    <w:p w14:paraId="489F2A2C" w14:textId="77777777" w:rsidR="00402226" w:rsidRPr="00CE4B7C" w:rsidRDefault="00402226" w:rsidP="00402226">
      <w:pPr>
        <w:pStyle w:val="Odstavecseseznamem"/>
        <w:numPr>
          <w:ilvl w:val="0"/>
          <w:numId w:val="1"/>
        </w:numPr>
        <w:jc w:val="both"/>
        <w:rPr>
          <w:rFonts w:ascii="Calibri" w:hAnsi="Calibri" w:cs="Calibri"/>
          <w:bCs/>
          <w:sz w:val="22"/>
          <w:szCs w:val="22"/>
        </w:rPr>
      </w:pPr>
      <w:proofErr w:type="gramStart"/>
      <w:r w:rsidRPr="00CE4B7C">
        <w:rPr>
          <w:rFonts w:ascii="Calibri" w:hAnsi="Calibri" w:cs="Calibri"/>
          <w:bCs/>
          <w:sz w:val="22"/>
          <w:szCs w:val="22"/>
        </w:rPr>
        <w:t>energie - elektrická</w:t>
      </w:r>
      <w:proofErr w:type="gramEnd"/>
      <w:r w:rsidRPr="00CE4B7C">
        <w:rPr>
          <w:rFonts w:ascii="Calibri" w:hAnsi="Calibri" w:cs="Calibri"/>
          <w:bCs/>
          <w:sz w:val="22"/>
          <w:szCs w:val="22"/>
        </w:rPr>
        <w:t xml:space="preserve"> energie, vodné, stočné, teplo, </w:t>
      </w:r>
    </w:p>
    <w:p w14:paraId="1D21A72A" w14:textId="7A8CF0D7" w:rsidR="00402226" w:rsidRPr="00CE4B7C" w:rsidRDefault="00402226" w:rsidP="00402226">
      <w:pPr>
        <w:pStyle w:val="Odstavecseseznamem"/>
        <w:numPr>
          <w:ilvl w:val="0"/>
          <w:numId w:val="1"/>
        </w:numPr>
        <w:jc w:val="both"/>
        <w:rPr>
          <w:rFonts w:ascii="Calibri" w:hAnsi="Calibri" w:cs="Calibri"/>
          <w:bCs/>
          <w:sz w:val="22"/>
          <w:szCs w:val="22"/>
        </w:rPr>
      </w:pPr>
      <w:r w:rsidRPr="00CE4B7C">
        <w:rPr>
          <w:rFonts w:ascii="Calibri" w:hAnsi="Calibri" w:cs="Calibri"/>
          <w:bCs/>
          <w:sz w:val="22"/>
          <w:szCs w:val="22"/>
        </w:rPr>
        <w:t xml:space="preserve">revize </w:t>
      </w:r>
      <w:r w:rsidR="00F767D7">
        <w:rPr>
          <w:rFonts w:ascii="Calibri" w:hAnsi="Calibri" w:cs="Calibri"/>
          <w:bCs/>
          <w:sz w:val="22"/>
          <w:szCs w:val="22"/>
        </w:rPr>
        <w:t>zařízení,</w:t>
      </w:r>
    </w:p>
    <w:p w14:paraId="2F16AD2E" w14:textId="0C006FC4" w:rsidR="00402226" w:rsidRPr="00CE4B7C" w:rsidRDefault="00402226" w:rsidP="00402226">
      <w:pPr>
        <w:pStyle w:val="Odstavecseseznamem"/>
        <w:numPr>
          <w:ilvl w:val="0"/>
          <w:numId w:val="1"/>
        </w:numPr>
        <w:jc w:val="both"/>
        <w:rPr>
          <w:rFonts w:ascii="Calibri" w:hAnsi="Calibri" w:cs="Calibri"/>
          <w:bCs/>
          <w:sz w:val="22"/>
          <w:szCs w:val="22"/>
        </w:rPr>
      </w:pPr>
      <w:r w:rsidRPr="00CE4B7C">
        <w:rPr>
          <w:rFonts w:ascii="Calibri" w:hAnsi="Calibri" w:cs="Calibri"/>
          <w:bCs/>
          <w:sz w:val="22"/>
          <w:szCs w:val="22"/>
        </w:rPr>
        <w:t>opravy a údržba nemovitostí</w:t>
      </w:r>
      <w:r w:rsidR="00F767D7">
        <w:rPr>
          <w:rFonts w:ascii="Calibri" w:hAnsi="Calibri" w:cs="Calibri"/>
          <w:bCs/>
          <w:sz w:val="22"/>
          <w:szCs w:val="22"/>
        </w:rPr>
        <w:t>,</w:t>
      </w:r>
    </w:p>
    <w:p w14:paraId="13FE9D06" w14:textId="07CC739F" w:rsidR="00402226" w:rsidRPr="00CE4B7C" w:rsidRDefault="00402226" w:rsidP="00402226">
      <w:pPr>
        <w:pStyle w:val="Odstavecseseznamem"/>
        <w:numPr>
          <w:ilvl w:val="0"/>
          <w:numId w:val="1"/>
        </w:numPr>
        <w:jc w:val="both"/>
        <w:rPr>
          <w:rFonts w:ascii="Calibri" w:hAnsi="Calibri" w:cs="Calibri"/>
          <w:bCs/>
          <w:sz w:val="22"/>
          <w:szCs w:val="22"/>
        </w:rPr>
      </w:pPr>
      <w:r w:rsidRPr="00CE4B7C">
        <w:rPr>
          <w:rFonts w:ascii="Calibri" w:hAnsi="Calibri" w:cs="Calibri"/>
          <w:bCs/>
          <w:sz w:val="22"/>
          <w:szCs w:val="22"/>
        </w:rPr>
        <w:t>opravy a údržba vozového parku společnosti</w:t>
      </w:r>
      <w:r w:rsidR="00F767D7">
        <w:rPr>
          <w:rFonts w:ascii="Calibri" w:hAnsi="Calibri" w:cs="Calibri"/>
          <w:bCs/>
          <w:sz w:val="22"/>
          <w:szCs w:val="22"/>
        </w:rPr>
        <w:t>,</w:t>
      </w:r>
    </w:p>
    <w:p w14:paraId="29DAA475" w14:textId="497C3DD4" w:rsidR="00402226" w:rsidRPr="00CE4B7C" w:rsidRDefault="00402226" w:rsidP="00402226">
      <w:pPr>
        <w:pStyle w:val="Odstavecseseznamem"/>
        <w:numPr>
          <w:ilvl w:val="0"/>
          <w:numId w:val="1"/>
        </w:numPr>
        <w:jc w:val="both"/>
        <w:rPr>
          <w:rFonts w:ascii="Calibri" w:hAnsi="Calibri" w:cs="Calibri"/>
          <w:bCs/>
          <w:sz w:val="22"/>
          <w:szCs w:val="22"/>
        </w:rPr>
      </w:pPr>
      <w:r w:rsidRPr="00CE4B7C">
        <w:rPr>
          <w:rFonts w:ascii="Calibri" w:hAnsi="Calibri" w:cs="Calibri"/>
          <w:bCs/>
          <w:sz w:val="22"/>
          <w:szCs w:val="22"/>
        </w:rPr>
        <w:t xml:space="preserve">náklady na </w:t>
      </w:r>
      <w:r w:rsidR="00F767D7">
        <w:rPr>
          <w:rFonts w:ascii="Calibri" w:hAnsi="Calibri" w:cs="Calibri"/>
          <w:bCs/>
          <w:sz w:val="22"/>
          <w:szCs w:val="22"/>
        </w:rPr>
        <w:t xml:space="preserve">provozní </w:t>
      </w:r>
      <w:r w:rsidRPr="00CE4B7C">
        <w:rPr>
          <w:rFonts w:ascii="Calibri" w:hAnsi="Calibri" w:cs="Calibri"/>
          <w:bCs/>
          <w:sz w:val="22"/>
          <w:szCs w:val="22"/>
        </w:rPr>
        <w:t>materiál (chemikálie, zdravotní materiál, čistící a dezinfekční prostředky, prádelna, úklid</w:t>
      </w:r>
      <w:proofErr w:type="gramStart"/>
      <w:r w:rsidRPr="00CE4B7C">
        <w:rPr>
          <w:rFonts w:ascii="Calibri" w:hAnsi="Calibri" w:cs="Calibri"/>
          <w:bCs/>
          <w:sz w:val="22"/>
          <w:szCs w:val="22"/>
        </w:rPr>
        <w:t xml:space="preserve">) </w:t>
      </w:r>
      <w:r w:rsidR="00F767D7">
        <w:rPr>
          <w:rFonts w:ascii="Calibri" w:hAnsi="Calibri" w:cs="Calibri"/>
          <w:bCs/>
          <w:sz w:val="22"/>
          <w:szCs w:val="22"/>
        </w:rPr>
        <w:t>,</w:t>
      </w:r>
      <w:proofErr w:type="gramEnd"/>
    </w:p>
    <w:p w14:paraId="43E3D599" w14:textId="3E5CC828" w:rsidR="00402226" w:rsidRPr="00CE4B7C" w:rsidRDefault="00402226" w:rsidP="00402226">
      <w:pPr>
        <w:pStyle w:val="Odstavecseseznamem"/>
        <w:numPr>
          <w:ilvl w:val="0"/>
          <w:numId w:val="1"/>
        </w:numPr>
        <w:jc w:val="both"/>
        <w:rPr>
          <w:rFonts w:ascii="Calibri" w:hAnsi="Calibri" w:cs="Calibri"/>
          <w:bCs/>
          <w:sz w:val="22"/>
          <w:szCs w:val="22"/>
        </w:rPr>
      </w:pPr>
      <w:r w:rsidRPr="00CE4B7C">
        <w:rPr>
          <w:rFonts w:ascii="Calibri" w:hAnsi="Calibri" w:cs="Calibri"/>
          <w:bCs/>
          <w:sz w:val="22"/>
          <w:szCs w:val="22"/>
        </w:rPr>
        <w:t>odvoz odpadu a bioodpadu</w:t>
      </w:r>
      <w:r w:rsidR="00F767D7">
        <w:rPr>
          <w:rFonts w:ascii="Calibri" w:hAnsi="Calibri" w:cs="Calibri"/>
          <w:bCs/>
          <w:sz w:val="22"/>
          <w:szCs w:val="22"/>
        </w:rPr>
        <w:t>,</w:t>
      </w:r>
      <w:r w:rsidRPr="00CE4B7C">
        <w:rPr>
          <w:rFonts w:ascii="Calibri" w:hAnsi="Calibri" w:cs="Calibri"/>
          <w:bCs/>
          <w:sz w:val="22"/>
          <w:szCs w:val="22"/>
        </w:rPr>
        <w:t xml:space="preserve"> </w:t>
      </w:r>
    </w:p>
    <w:p w14:paraId="16863829" w14:textId="69DFF2F7" w:rsidR="00402226" w:rsidRPr="00CE4B7C" w:rsidRDefault="00402226" w:rsidP="00402226">
      <w:pPr>
        <w:pStyle w:val="Odstavecseseznamem"/>
        <w:numPr>
          <w:ilvl w:val="0"/>
          <w:numId w:val="1"/>
        </w:numPr>
        <w:jc w:val="both"/>
        <w:rPr>
          <w:rFonts w:ascii="Calibri" w:hAnsi="Calibri" w:cs="Calibri"/>
          <w:bCs/>
          <w:sz w:val="22"/>
          <w:szCs w:val="22"/>
        </w:rPr>
      </w:pPr>
      <w:r w:rsidRPr="00CE4B7C">
        <w:rPr>
          <w:rFonts w:ascii="Calibri" w:hAnsi="Calibri" w:cs="Calibri"/>
          <w:bCs/>
          <w:sz w:val="22"/>
          <w:szCs w:val="22"/>
        </w:rPr>
        <w:t>ostraha objekt</w:t>
      </w:r>
      <w:r w:rsidR="00F767D7">
        <w:rPr>
          <w:rFonts w:ascii="Calibri" w:hAnsi="Calibri" w:cs="Calibri"/>
          <w:bCs/>
          <w:sz w:val="22"/>
          <w:szCs w:val="22"/>
        </w:rPr>
        <w:t>ů</w:t>
      </w:r>
      <w:r w:rsidRPr="00CE4B7C">
        <w:rPr>
          <w:rFonts w:ascii="Calibri" w:hAnsi="Calibri" w:cs="Calibri"/>
          <w:bCs/>
          <w:sz w:val="22"/>
          <w:szCs w:val="22"/>
        </w:rPr>
        <w:t xml:space="preserve">, </w:t>
      </w:r>
    </w:p>
    <w:p w14:paraId="36252DC0" w14:textId="08776DB8" w:rsidR="00402226" w:rsidRPr="00CE4B7C" w:rsidRDefault="00402226" w:rsidP="00402226">
      <w:pPr>
        <w:pStyle w:val="Odstavecseseznamem"/>
        <w:numPr>
          <w:ilvl w:val="0"/>
          <w:numId w:val="1"/>
        </w:numPr>
        <w:jc w:val="both"/>
        <w:rPr>
          <w:rFonts w:ascii="Calibri" w:hAnsi="Calibri" w:cs="Calibri"/>
          <w:bCs/>
          <w:sz w:val="22"/>
          <w:szCs w:val="22"/>
        </w:rPr>
      </w:pPr>
      <w:r w:rsidRPr="00CE4B7C">
        <w:rPr>
          <w:rFonts w:ascii="Calibri" w:hAnsi="Calibri" w:cs="Calibri"/>
          <w:bCs/>
          <w:sz w:val="22"/>
          <w:szCs w:val="22"/>
        </w:rPr>
        <w:t>ekonomické služby a právní služby</w:t>
      </w:r>
      <w:r w:rsidR="00F767D7">
        <w:rPr>
          <w:rFonts w:ascii="Calibri" w:hAnsi="Calibri" w:cs="Calibri"/>
          <w:bCs/>
          <w:sz w:val="22"/>
          <w:szCs w:val="22"/>
        </w:rPr>
        <w:t>,</w:t>
      </w:r>
      <w:r w:rsidRPr="00CE4B7C">
        <w:rPr>
          <w:rFonts w:ascii="Calibri" w:hAnsi="Calibri" w:cs="Calibri"/>
          <w:bCs/>
          <w:sz w:val="22"/>
          <w:szCs w:val="22"/>
        </w:rPr>
        <w:t xml:space="preserve"> </w:t>
      </w:r>
    </w:p>
    <w:p w14:paraId="4B58E2B6" w14:textId="68B8CE62" w:rsidR="00402226" w:rsidRPr="00CE4B7C" w:rsidRDefault="00402226" w:rsidP="00402226">
      <w:pPr>
        <w:pStyle w:val="Odstavecseseznamem"/>
        <w:numPr>
          <w:ilvl w:val="0"/>
          <w:numId w:val="1"/>
        </w:numPr>
        <w:jc w:val="both"/>
        <w:rPr>
          <w:rFonts w:ascii="Calibri" w:hAnsi="Calibri" w:cs="Calibri"/>
          <w:bCs/>
          <w:sz w:val="22"/>
          <w:szCs w:val="22"/>
        </w:rPr>
      </w:pPr>
      <w:r w:rsidRPr="00CE4B7C">
        <w:rPr>
          <w:rFonts w:ascii="Calibri" w:hAnsi="Calibri" w:cs="Calibri"/>
          <w:bCs/>
          <w:sz w:val="22"/>
          <w:szCs w:val="22"/>
        </w:rPr>
        <w:t>poradenské služby (např. softwarové vybavení společnosti, IT a jiné)</w:t>
      </w:r>
      <w:r w:rsidR="00F767D7">
        <w:rPr>
          <w:rFonts w:ascii="Calibri" w:hAnsi="Calibri" w:cs="Calibri"/>
          <w:bCs/>
          <w:sz w:val="22"/>
          <w:szCs w:val="22"/>
        </w:rPr>
        <w:t>,</w:t>
      </w:r>
    </w:p>
    <w:p w14:paraId="2BFE304B" w14:textId="4C1DFF31" w:rsidR="00402226" w:rsidRPr="00CE4B7C" w:rsidRDefault="00402226" w:rsidP="00402226">
      <w:pPr>
        <w:pStyle w:val="Odstavecseseznamem"/>
        <w:numPr>
          <w:ilvl w:val="0"/>
          <w:numId w:val="1"/>
        </w:numPr>
        <w:jc w:val="both"/>
        <w:rPr>
          <w:rFonts w:ascii="Calibri" w:hAnsi="Calibri" w:cs="Calibri"/>
          <w:bCs/>
          <w:sz w:val="22"/>
          <w:szCs w:val="22"/>
        </w:rPr>
      </w:pPr>
      <w:r w:rsidRPr="00CE4B7C">
        <w:rPr>
          <w:rFonts w:ascii="Calibri" w:hAnsi="Calibri" w:cs="Calibri"/>
          <w:bCs/>
          <w:sz w:val="22"/>
          <w:szCs w:val="22"/>
        </w:rPr>
        <w:t xml:space="preserve">služby ostatní </w:t>
      </w:r>
      <w:r w:rsidR="00F767D7">
        <w:rPr>
          <w:rFonts w:ascii="Calibri" w:hAnsi="Calibri" w:cs="Calibri"/>
          <w:bCs/>
          <w:sz w:val="22"/>
          <w:szCs w:val="22"/>
        </w:rPr>
        <w:t xml:space="preserve">potřebné k provozu </w:t>
      </w:r>
      <w:r w:rsidRPr="00CE4B7C">
        <w:rPr>
          <w:rFonts w:ascii="Calibri" w:hAnsi="Calibri" w:cs="Calibri"/>
          <w:bCs/>
          <w:sz w:val="22"/>
          <w:szCs w:val="22"/>
        </w:rPr>
        <w:t>(např. telefony, internet, poštovní poplatky a jiné)</w:t>
      </w:r>
      <w:r w:rsidR="00F767D7">
        <w:rPr>
          <w:rFonts w:ascii="Calibri" w:hAnsi="Calibri" w:cs="Calibri"/>
          <w:bCs/>
          <w:sz w:val="22"/>
          <w:szCs w:val="22"/>
        </w:rPr>
        <w:t>.</w:t>
      </w:r>
    </w:p>
    <w:p w14:paraId="518F6E5C" w14:textId="77777777" w:rsidR="00402226" w:rsidRPr="00826AC2" w:rsidRDefault="00402226" w:rsidP="00402226">
      <w:pPr>
        <w:pStyle w:val="Odstavecseseznamem"/>
        <w:jc w:val="both"/>
        <w:rPr>
          <w:rFonts w:ascii="Calibri" w:hAnsi="Calibri" w:cs="Calibri"/>
          <w:bCs/>
          <w:sz w:val="22"/>
          <w:szCs w:val="22"/>
        </w:rPr>
      </w:pPr>
    </w:p>
    <w:p w14:paraId="06899358" w14:textId="27C4891A" w:rsidR="00402226" w:rsidRPr="00735984" w:rsidRDefault="00402226" w:rsidP="00402226">
      <w:pPr>
        <w:jc w:val="both"/>
        <w:rPr>
          <w:rFonts w:ascii="Calibri" w:hAnsi="Calibri" w:cs="Calibri"/>
          <w:bCs/>
          <w:sz w:val="22"/>
          <w:szCs w:val="22"/>
        </w:rPr>
      </w:pPr>
      <w:bookmarkStart w:id="4" w:name="_Hlk118700443"/>
      <w:r>
        <w:rPr>
          <w:rFonts w:ascii="Calibri" w:hAnsi="Calibri" w:cs="Calibri"/>
          <w:bCs/>
          <w:sz w:val="22"/>
          <w:szCs w:val="22"/>
        </w:rPr>
        <w:t xml:space="preserve">2. </w:t>
      </w:r>
      <w:r w:rsidRPr="00735984">
        <w:rPr>
          <w:rFonts w:ascii="Calibri" w:hAnsi="Calibri" w:cs="Calibri"/>
          <w:bCs/>
          <w:sz w:val="22"/>
          <w:szCs w:val="22"/>
        </w:rPr>
        <w:t xml:space="preserve">Neuznatelnými </w:t>
      </w:r>
      <w:r w:rsidR="00743649">
        <w:rPr>
          <w:rFonts w:ascii="Calibri" w:hAnsi="Calibri" w:cs="Calibri"/>
          <w:bCs/>
          <w:sz w:val="22"/>
          <w:szCs w:val="22"/>
        </w:rPr>
        <w:t>výdaji</w:t>
      </w:r>
      <w:r>
        <w:rPr>
          <w:rFonts w:ascii="Calibri" w:hAnsi="Calibri" w:cs="Calibri"/>
          <w:bCs/>
          <w:sz w:val="22"/>
          <w:szCs w:val="22"/>
        </w:rPr>
        <w:t xml:space="preserve"> podle této smlouvy jsou všechny ostatní </w:t>
      </w:r>
      <w:r w:rsidR="00743649">
        <w:rPr>
          <w:rFonts w:ascii="Calibri" w:hAnsi="Calibri" w:cs="Calibri"/>
          <w:bCs/>
          <w:sz w:val="22"/>
          <w:szCs w:val="22"/>
        </w:rPr>
        <w:t>výdaje</w:t>
      </w:r>
      <w:r>
        <w:rPr>
          <w:rFonts w:ascii="Calibri" w:hAnsi="Calibri" w:cs="Calibri"/>
          <w:bCs/>
          <w:sz w:val="22"/>
          <w:szCs w:val="22"/>
        </w:rPr>
        <w:t>, které by nesouvisely s</w:t>
      </w:r>
      <w:r w:rsidR="00F767D7">
        <w:rPr>
          <w:rFonts w:ascii="Calibri" w:hAnsi="Calibri" w:cs="Calibri"/>
          <w:bCs/>
          <w:sz w:val="22"/>
          <w:szCs w:val="22"/>
        </w:rPr>
        <w:t> plněním závazku veřejné služby</w:t>
      </w:r>
      <w:r>
        <w:rPr>
          <w:rFonts w:ascii="Calibri" w:hAnsi="Calibri" w:cs="Calibri"/>
          <w:bCs/>
          <w:sz w:val="22"/>
          <w:szCs w:val="22"/>
        </w:rPr>
        <w:t xml:space="preserve"> dle této smlouvy, případně </w:t>
      </w:r>
      <w:r w:rsidR="00743649">
        <w:rPr>
          <w:rFonts w:ascii="Calibri" w:hAnsi="Calibri" w:cs="Calibri"/>
          <w:bCs/>
          <w:sz w:val="22"/>
          <w:szCs w:val="22"/>
        </w:rPr>
        <w:t>výdaje</w:t>
      </w:r>
      <w:r>
        <w:rPr>
          <w:rFonts w:ascii="Calibri" w:hAnsi="Calibri" w:cs="Calibri"/>
          <w:bCs/>
          <w:sz w:val="22"/>
          <w:szCs w:val="22"/>
        </w:rPr>
        <w:t>, které by změnily charakter projektu na investici.</w:t>
      </w:r>
    </w:p>
    <w:bookmarkEnd w:id="4"/>
    <w:p w14:paraId="66E65B3A" w14:textId="77777777" w:rsidR="00402226" w:rsidRDefault="00402226" w:rsidP="00402226">
      <w:pPr>
        <w:jc w:val="both"/>
        <w:rPr>
          <w:rFonts w:ascii="Calibri" w:hAnsi="Calibri" w:cs="Calibri"/>
          <w:bCs/>
          <w:sz w:val="22"/>
          <w:szCs w:val="22"/>
        </w:rPr>
      </w:pPr>
    </w:p>
    <w:p w14:paraId="6F311119" w14:textId="720DED75" w:rsidR="00112B93" w:rsidRPr="00017AB6" w:rsidRDefault="00112B93" w:rsidP="00112B93">
      <w:pPr>
        <w:jc w:val="both"/>
        <w:rPr>
          <w:rFonts w:ascii="Calibri" w:hAnsi="Calibri" w:cs="Calibri"/>
          <w:bCs/>
          <w:sz w:val="22"/>
          <w:szCs w:val="22"/>
        </w:rPr>
      </w:pPr>
      <w:r w:rsidRPr="00017AB6">
        <w:rPr>
          <w:rFonts w:ascii="Calibri" w:hAnsi="Calibri" w:cs="Calibri"/>
          <w:bCs/>
          <w:sz w:val="22"/>
          <w:szCs w:val="22"/>
        </w:rPr>
        <w:t>3. Finanční prostředky mohou být použity pouze pro účel stanovený v podmínkách této smlouvy</w:t>
      </w:r>
      <w:r w:rsidR="00F46E7D">
        <w:rPr>
          <w:rFonts w:ascii="Calibri" w:hAnsi="Calibri" w:cs="Calibri"/>
          <w:bCs/>
          <w:sz w:val="22"/>
          <w:szCs w:val="22"/>
        </w:rPr>
        <w:t>.</w:t>
      </w:r>
      <w:r w:rsidRPr="00017AB6">
        <w:rPr>
          <w:rFonts w:ascii="Calibri" w:hAnsi="Calibri" w:cs="Calibri"/>
          <w:bCs/>
          <w:sz w:val="22"/>
          <w:szCs w:val="22"/>
        </w:rPr>
        <w:t xml:space="preserve"> </w:t>
      </w:r>
    </w:p>
    <w:p w14:paraId="4869DCB3" w14:textId="6B79021E" w:rsidR="00112B93" w:rsidRPr="00017AB6" w:rsidRDefault="00112B93" w:rsidP="00112B93">
      <w:pPr>
        <w:jc w:val="both"/>
        <w:rPr>
          <w:rFonts w:ascii="Calibri" w:hAnsi="Calibri" w:cs="Calibri"/>
          <w:bCs/>
          <w:sz w:val="22"/>
          <w:szCs w:val="22"/>
        </w:rPr>
      </w:pPr>
      <w:r w:rsidRPr="00017AB6">
        <w:rPr>
          <w:rFonts w:ascii="Calibri" w:hAnsi="Calibri" w:cs="Calibri"/>
          <w:bCs/>
          <w:sz w:val="22"/>
          <w:szCs w:val="22"/>
        </w:rPr>
        <w:t>Příjemce je povinen řídit se zejména ustanoveními této smlouvy</w:t>
      </w:r>
      <w:r>
        <w:rPr>
          <w:rFonts w:ascii="Calibri" w:hAnsi="Calibri" w:cs="Calibri"/>
          <w:bCs/>
          <w:sz w:val="22"/>
          <w:szCs w:val="22"/>
        </w:rPr>
        <w:t>, smlouvou SOHZ</w:t>
      </w:r>
      <w:r w:rsidRPr="00017AB6">
        <w:rPr>
          <w:rFonts w:ascii="Calibri" w:hAnsi="Calibri" w:cs="Calibri"/>
          <w:bCs/>
          <w:sz w:val="22"/>
          <w:szCs w:val="22"/>
        </w:rPr>
        <w:t xml:space="preserve"> a Pravidly pro poskytování dotací z rozpočtu města Litvínova v aktuálním znění. Znění Pravidel pro poskytování dotací z rozpočtu města Litvínova účinné ke dni uzavření této smlouvy; aktualizovaná znění Pravidel pro poskytování dotací z rozpočtu města Litvínova jsou zveřejňována na webových stránkách města Litvínova a příjemce se zavazuje s aktuální verzí se vždy seznámit. V případě v rozporu mezi touto smlouvou a Pravidly pro poskytování dotací z rozpočtu města Litvínova, má přednost tato smlouva.</w:t>
      </w:r>
    </w:p>
    <w:p w14:paraId="2044992B" w14:textId="77777777" w:rsidR="00112B93" w:rsidRPr="00017AB6" w:rsidRDefault="00112B93" w:rsidP="00112B93">
      <w:pPr>
        <w:jc w:val="both"/>
        <w:rPr>
          <w:rFonts w:ascii="Calibri" w:hAnsi="Calibri" w:cs="Calibri"/>
          <w:bCs/>
          <w:sz w:val="22"/>
          <w:szCs w:val="22"/>
        </w:rPr>
      </w:pPr>
    </w:p>
    <w:p w14:paraId="02B4CDCF" w14:textId="77777777" w:rsidR="00112B93" w:rsidRPr="00017AB6" w:rsidRDefault="00112B93" w:rsidP="00112B93">
      <w:pPr>
        <w:jc w:val="both"/>
        <w:rPr>
          <w:rFonts w:ascii="Calibri" w:hAnsi="Calibri" w:cs="Calibri"/>
          <w:bCs/>
          <w:sz w:val="22"/>
          <w:szCs w:val="22"/>
        </w:rPr>
      </w:pPr>
      <w:r w:rsidRPr="00017AB6">
        <w:rPr>
          <w:rFonts w:ascii="Calibri" w:hAnsi="Calibri" w:cs="Calibri"/>
          <w:bCs/>
          <w:sz w:val="22"/>
          <w:szCs w:val="22"/>
        </w:rPr>
        <w:t>4. Příjemce je povinen tuto dotaci použít jako dotaci neinvestiční. Porušení této povinnosti bude poskytovatelem posuzováno jako porušení rozpočtové kázně.</w:t>
      </w:r>
    </w:p>
    <w:p w14:paraId="150F011F" w14:textId="77777777" w:rsidR="000B1B5A" w:rsidRDefault="000B1B5A" w:rsidP="000B1B5A">
      <w:pPr>
        <w:jc w:val="both"/>
        <w:rPr>
          <w:rFonts w:asciiTheme="minorHAnsi" w:hAnsiTheme="minorHAnsi" w:cstheme="minorHAnsi"/>
          <w:sz w:val="22"/>
          <w:szCs w:val="22"/>
        </w:rPr>
      </w:pPr>
    </w:p>
    <w:p w14:paraId="24312397" w14:textId="77777777" w:rsidR="00402226" w:rsidRPr="00C326FF" w:rsidRDefault="00402226" w:rsidP="00402226">
      <w:pPr>
        <w:jc w:val="center"/>
        <w:rPr>
          <w:rFonts w:ascii="Calibri" w:hAnsi="Calibri" w:cs="Calibri"/>
          <w:b/>
          <w:bCs/>
          <w:sz w:val="22"/>
          <w:szCs w:val="22"/>
        </w:rPr>
      </w:pPr>
      <w:r w:rsidRPr="00C326FF">
        <w:rPr>
          <w:rFonts w:ascii="Calibri" w:hAnsi="Calibri" w:cs="Calibri"/>
          <w:b/>
          <w:bCs/>
          <w:sz w:val="22"/>
          <w:szCs w:val="22"/>
        </w:rPr>
        <w:t>VII.</w:t>
      </w:r>
    </w:p>
    <w:p w14:paraId="0C2F0FFB" w14:textId="77777777" w:rsidR="00402226" w:rsidRDefault="00402226" w:rsidP="00402226">
      <w:pPr>
        <w:jc w:val="center"/>
        <w:rPr>
          <w:rFonts w:ascii="Calibri" w:hAnsi="Calibri" w:cs="Calibri"/>
          <w:b/>
          <w:bCs/>
          <w:sz w:val="22"/>
          <w:szCs w:val="22"/>
        </w:rPr>
      </w:pPr>
      <w:r w:rsidRPr="00C326FF">
        <w:rPr>
          <w:rFonts w:ascii="Calibri" w:hAnsi="Calibri" w:cs="Calibri"/>
          <w:b/>
          <w:bCs/>
          <w:sz w:val="22"/>
          <w:szCs w:val="22"/>
        </w:rPr>
        <w:t>Vyúčtování a vypořádání dotace</w:t>
      </w:r>
    </w:p>
    <w:p w14:paraId="0484C589" w14:textId="77777777" w:rsidR="00402226" w:rsidRPr="00C326FF" w:rsidRDefault="00402226" w:rsidP="00402226">
      <w:pPr>
        <w:jc w:val="center"/>
        <w:rPr>
          <w:rFonts w:ascii="Calibri" w:hAnsi="Calibri" w:cs="Calibri"/>
          <w:b/>
          <w:bCs/>
          <w:sz w:val="22"/>
          <w:szCs w:val="22"/>
        </w:rPr>
      </w:pPr>
    </w:p>
    <w:p w14:paraId="749AD8D5" w14:textId="498455C2" w:rsidR="00402226" w:rsidRPr="00DB0988" w:rsidRDefault="00402226" w:rsidP="00402226">
      <w:pPr>
        <w:jc w:val="both"/>
        <w:rPr>
          <w:rFonts w:ascii="Calibri" w:hAnsi="Calibri" w:cs="Calibri"/>
          <w:bCs/>
          <w:sz w:val="22"/>
          <w:szCs w:val="22"/>
        </w:rPr>
      </w:pPr>
      <w:r>
        <w:rPr>
          <w:rFonts w:ascii="Calibri" w:hAnsi="Calibri" w:cs="Calibri"/>
          <w:bCs/>
          <w:sz w:val="22"/>
          <w:szCs w:val="22"/>
        </w:rPr>
        <w:t xml:space="preserve">1. </w:t>
      </w:r>
      <w:r w:rsidRPr="00DB0988">
        <w:rPr>
          <w:rFonts w:ascii="Calibri" w:hAnsi="Calibri" w:cs="Calibri"/>
          <w:bCs/>
          <w:sz w:val="22"/>
          <w:szCs w:val="22"/>
        </w:rPr>
        <w:t xml:space="preserve">Po </w:t>
      </w:r>
      <w:r w:rsidR="00F767D7">
        <w:rPr>
          <w:rFonts w:ascii="Calibri" w:hAnsi="Calibri" w:cs="Calibri"/>
          <w:bCs/>
          <w:sz w:val="22"/>
          <w:szCs w:val="22"/>
        </w:rPr>
        <w:t xml:space="preserve">uplynutí období dle článku III. odstavec 3 této smlouvy </w:t>
      </w:r>
      <w:r w:rsidRPr="00DB0988">
        <w:rPr>
          <w:rFonts w:ascii="Calibri" w:hAnsi="Calibri" w:cs="Calibri"/>
          <w:bCs/>
          <w:sz w:val="22"/>
          <w:szCs w:val="22"/>
        </w:rPr>
        <w:t>předloží příjemce poskytovateli, tj. Odboru</w:t>
      </w:r>
      <w:r>
        <w:rPr>
          <w:rFonts w:ascii="Calibri" w:hAnsi="Calibri" w:cs="Calibri"/>
          <w:bCs/>
          <w:sz w:val="22"/>
          <w:szCs w:val="22"/>
        </w:rPr>
        <w:t xml:space="preserve"> sociálních věcí a školství</w:t>
      </w:r>
      <w:r w:rsidRPr="00DB0988">
        <w:rPr>
          <w:rFonts w:ascii="Calibri" w:hAnsi="Calibri" w:cs="Calibri"/>
          <w:bCs/>
          <w:sz w:val="22"/>
          <w:szCs w:val="22"/>
        </w:rPr>
        <w:t xml:space="preserve">, nejpozději do </w:t>
      </w:r>
      <w:r w:rsidR="008561DE">
        <w:rPr>
          <w:rFonts w:ascii="Calibri" w:hAnsi="Calibri" w:cs="Calibri"/>
          <w:bCs/>
          <w:sz w:val="22"/>
          <w:szCs w:val="22"/>
        </w:rPr>
        <w:t>31.03.2024</w:t>
      </w:r>
      <w:r>
        <w:rPr>
          <w:rFonts w:ascii="Calibri" w:hAnsi="Calibri" w:cs="Calibri"/>
          <w:bCs/>
          <w:sz w:val="22"/>
          <w:szCs w:val="22"/>
        </w:rPr>
        <w:t xml:space="preserve"> </w:t>
      </w:r>
      <w:r w:rsidRPr="00DB0988">
        <w:rPr>
          <w:rFonts w:ascii="Calibri" w:hAnsi="Calibri" w:cs="Calibri"/>
          <w:bCs/>
          <w:sz w:val="22"/>
          <w:szCs w:val="22"/>
        </w:rPr>
        <w:t xml:space="preserve">závěrečnou zprávu o výsledcích včetně vyúčtování dotace. Součástí vyúčtování je přehled dokladů o uskutečněných výdajích souvisejících se zajištěním akce, přičemž v přehledu příjemce označí doklady, týkající se výdajů realizovaných z </w:t>
      </w:r>
      <w:r w:rsidR="00B74D9D">
        <w:rPr>
          <w:rFonts w:ascii="Calibri" w:hAnsi="Calibri" w:cs="Calibri"/>
          <w:bCs/>
          <w:sz w:val="22"/>
          <w:szCs w:val="22"/>
        </w:rPr>
        <w:t>dotace</w:t>
      </w:r>
      <w:r w:rsidRPr="00DB0988">
        <w:rPr>
          <w:rFonts w:ascii="Calibri" w:hAnsi="Calibri" w:cs="Calibri"/>
          <w:bCs/>
          <w:sz w:val="22"/>
          <w:szCs w:val="22"/>
        </w:rPr>
        <w:t xml:space="preserve">. </w:t>
      </w:r>
    </w:p>
    <w:p w14:paraId="737D48D4" w14:textId="77777777" w:rsidR="00402226" w:rsidRPr="00DB0988" w:rsidRDefault="00402226" w:rsidP="00402226">
      <w:pPr>
        <w:rPr>
          <w:rFonts w:ascii="Calibri" w:hAnsi="Calibri" w:cs="Calibri"/>
          <w:bCs/>
          <w:sz w:val="22"/>
          <w:szCs w:val="22"/>
        </w:rPr>
      </w:pPr>
    </w:p>
    <w:p w14:paraId="285FEB1F" w14:textId="0190A542" w:rsidR="00402226" w:rsidRPr="00DB0988" w:rsidRDefault="00402226" w:rsidP="00402226">
      <w:pPr>
        <w:jc w:val="both"/>
        <w:rPr>
          <w:rFonts w:ascii="Calibri" w:hAnsi="Calibri" w:cs="Calibri"/>
          <w:bCs/>
          <w:sz w:val="22"/>
          <w:szCs w:val="22"/>
        </w:rPr>
      </w:pPr>
      <w:r>
        <w:rPr>
          <w:rFonts w:ascii="Calibri" w:hAnsi="Calibri" w:cs="Calibri"/>
          <w:bCs/>
          <w:sz w:val="22"/>
          <w:szCs w:val="22"/>
        </w:rPr>
        <w:t xml:space="preserve">2. </w:t>
      </w:r>
      <w:r w:rsidRPr="005B1041">
        <w:rPr>
          <w:rFonts w:asciiTheme="minorHAnsi" w:hAnsiTheme="minorHAnsi" w:cstheme="minorHAnsi"/>
          <w:bCs/>
          <w:sz w:val="22"/>
          <w:szCs w:val="22"/>
        </w:rPr>
        <w:t xml:space="preserve">Výdaje hrazené z dotace doloží </w:t>
      </w:r>
      <w:r w:rsidRPr="005B1041">
        <w:rPr>
          <w:rFonts w:asciiTheme="minorHAnsi" w:hAnsiTheme="minorHAnsi" w:cstheme="minorHAnsi"/>
          <w:sz w:val="22"/>
          <w:szCs w:val="22"/>
        </w:rPr>
        <w:t xml:space="preserve">účetní sestavou zobrazující účetní doklady hrazené z poskytnuté dotace </w:t>
      </w:r>
      <w:r w:rsidRPr="00743649">
        <w:rPr>
          <w:rFonts w:asciiTheme="minorHAnsi" w:hAnsiTheme="minorHAnsi" w:cstheme="minorHAnsi"/>
          <w:b/>
          <w:bCs/>
          <w:sz w:val="22"/>
          <w:szCs w:val="22"/>
        </w:rPr>
        <w:t>bez DPH</w:t>
      </w:r>
      <w:r w:rsidRPr="005B1041">
        <w:rPr>
          <w:rFonts w:asciiTheme="minorHAnsi" w:hAnsiTheme="minorHAnsi" w:cstheme="minorHAnsi"/>
          <w:sz w:val="22"/>
          <w:szCs w:val="22"/>
        </w:rPr>
        <w:t xml:space="preserve"> a k nahlédnutí účetní doklady</w:t>
      </w:r>
      <w:r w:rsidRPr="005B1041">
        <w:rPr>
          <w:rFonts w:asciiTheme="minorHAnsi" w:hAnsiTheme="minorHAnsi" w:cstheme="minorHAnsi"/>
          <w:bCs/>
          <w:sz w:val="22"/>
          <w:szCs w:val="22"/>
        </w:rPr>
        <w:t xml:space="preserve"> se všemi náležitostmi</w:t>
      </w:r>
      <w:r w:rsidRPr="00DB0988">
        <w:rPr>
          <w:rFonts w:ascii="Calibri" w:hAnsi="Calibri" w:cs="Calibri"/>
          <w:bCs/>
          <w:sz w:val="22"/>
          <w:szCs w:val="22"/>
        </w:rPr>
        <w:t xml:space="preserve"> v souladu se zákonem č. 563/1991 </w:t>
      </w:r>
      <w:r w:rsidRPr="00DB0988">
        <w:rPr>
          <w:rFonts w:ascii="Calibri" w:hAnsi="Calibri" w:cs="Calibri"/>
          <w:bCs/>
          <w:sz w:val="22"/>
          <w:szCs w:val="22"/>
        </w:rPr>
        <w:lastRenderedPageBreak/>
        <w:t>Sb., o účetnictví, ve znění pozdějších předpisů, včetně výpisů z bankovního účtu, popřípadě výdajových dokladů při platbě v hotovosti, účtovou osnovu.</w:t>
      </w:r>
    </w:p>
    <w:p w14:paraId="02CBD2B7" w14:textId="77777777" w:rsidR="00402226" w:rsidRPr="00DB0988" w:rsidRDefault="00402226" w:rsidP="00402226">
      <w:pPr>
        <w:jc w:val="both"/>
        <w:rPr>
          <w:rFonts w:ascii="Calibri" w:hAnsi="Calibri" w:cs="Calibri"/>
          <w:bCs/>
          <w:sz w:val="22"/>
          <w:szCs w:val="22"/>
        </w:rPr>
      </w:pPr>
      <w:r w:rsidRPr="00DB0988">
        <w:rPr>
          <w:rFonts w:ascii="Calibri" w:hAnsi="Calibri" w:cs="Calibri"/>
          <w:bCs/>
          <w:sz w:val="22"/>
          <w:szCs w:val="22"/>
        </w:rPr>
        <w:t>Výdaje musí být přiměřené (odpovídat cenám v místě a čase obvyklým) a vynaložené v souladu s principy hospodárnosti, účelnosti a efektivnosti. Výdaje musí být identifikovatelné a prokazatelné, doložené potvrzenými účetními doklady, tzn., musí být definitivní a zachycené odpovídajícím způsobem a v souladu s požadavky legislativy v účetnictví.</w:t>
      </w:r>
    </w:p>
    <w:p w14:paraId="605F70C6" w14:textId="77777777" w:rsidR="00402226" w:rsidRPr="00DB0988" w:rsidRDefault="00402226" w:rsidP="00402226">
      <w:pPr>
        <w:rPr>
          <w:rFonts w:ascii="Calibri" w:hAnsi="Calibri" w:cs="Calibri"/>
          <w:bCs/>
          <w:sz w:val="22"/>
          <w:szCs w:val="22"/>
        </w:rPr>
      </w:pPr>
    </w:p>
    <w:p w14:paraId="487641E9" w14:textId="00C18E37" w:rsidR="00402226" w:rsidRPr="00DB0988" w:rsidRDefault="00402226" w:rsidP="00402226">
      <w:pPr>
        <w:jc w:val="both"/>
        <w:rPr>
          <w:rFonts w:ascii="Calibri" w:hAnsi="Calibri" w:cs="Calibri"/>
          <w:bCs/>
          <w:sz w:val="22"/>
          <w:szCs w:val="22"/>
        </w:rPr>
      </w:pPr>
      <w:r w:rsidRPr="00DB0988">
        <w:rPr>
          <w:rFonts w:ascii="Calibri" w:hAnsi="Calibri" w:cs="Calibri"/>
          <w:bCs/>
          <w:sz w:val="22"/>
          <w:szCs w:val="22"/>
        </w:rPr>
        <w:t>3. Příjemce je povinen na originál</w:t>
      </w:r>
      <w:r>
        <w:rPr>
          <w:rFonts w:ascii="Calibri" w:hAnsi="Calibri" w:cs="Calibri"/>
          <w:bCs/>
          <w:sz w:val="22"/>
          <w:szCs w:val="22"/>
        </w:rPr>
        <w:t>u</w:t>
      </w:r>
      <w:r w:rsidRPr="00DB0988">
        <w:rPr>
          <w:rFonts w:ascii="Calibri" w:hAnsi="Calibri" w:cs="Calibri"/>
          <w:bCs/>
          <w:sz w:val="22"/>
          <w:szCs w:val="22"/>
        </w:rPr>
        <w:t xml:space="preserve"> účetního dokladu uvést, že úhrada byla financována z dotace města Litvínova s odkazem na příslušný smluvní vztah (dle smlouvy číslo KT/</w:t>
      </w:r>
      <w:r w:rsidR="008561DE">
        <w:rPr>
          <w:rFonts w:ascii="Calibri" w:hAnsi="Calibri" w:cs="Calibri"/>
          <w:bCs/>
          <w:sz w:val="22"/>
          <w:szCs w:val="22"/>
        </w:rPr>
        <w:t>12215/22</w:t>
      </w:r>
      <w:r w:rsidRPr="00DB0988">
        <w:rPr>
          <w:rFonts w:ascii="Calibri" w:hAnsi="Calibri" w:cs="Calibri"/>
          <w:bCs/>
          <w:sz w:val="22"/>
          <w:szCs w:val="22"/>
        </w:rPr>
        <w:t xml:space="preserve">). Splnění této podmínky doloží příjemce dotace při vyúčtování </w:t>
      </w:r>
      <w:r w:rsidR="00F767D7">
        <w:rPr>
          <w:rFonts w:ascii="Calibri" w:hAnsi="Calibri" w:cs="Calibri"/>
          <w:bCs/>
          <w:sz w:val="22"/>
          <w:szCs w:val="22"/>
        </w:rPr>
        <w:t>originálem</w:t>
      </w:r>
      <w:r w:rsidRPr="00DB0988">
        <w:rPr>
          <w:rFonts w:ascii="Calibri" w:hAnsi="Calibri" w:cs="Calibri"/>
          <w:bCs/>
          <w:sz w:val="22"/>
          <w:szCs w:val="22"/>
        </w:rPr>
        <w:t xml:space="preserve"> účetního dokladu.</w:t>
      </w:r>
    </w:p>
    <w:p w14:paraId="7BCB5A4A" w14:textId="77777777" w:rsidR="00402226" w:rsidRPr="00DB0988" w:rsidRDefault="00402226" w:rsidP="00402226">
      <w:pPr>
        <w:rPr>
          <w:rFonts w:ascii="Calibri" w:hAnsi="Calibri" w:cs="Calibri"/>
          <w:bCs/>
          <w:sz w:val="22"/>
          <w:szCs w:val="22"/>
        </w:rPr>
      </w:pPr>
    </w:p>
    <w:p w14:paraId="266E814A" w14:textId="77777777" w:rsidR="00A8038C" w:rsidRDefault="00A8038C" w:rsidP="00A8038C">
      <w:pPr>
        <w:jc w:val="both"/>
        <w:rPr>
          <w:rFonts w:ascii="Calibri" w:hAnsi="Calibri" w:cs="Calibri"/>
          <w:bCs/>
          <w:sz w:val="22"/>
          <w:szCs w:val="22"/>
        </w:rPr>
      </w:pPr>
      <w:bookmarkStart w:id="5" w:name="_Hlk116476347"/>
      <w:r>
        <w:rPr>
          <w:rFonts w:ascii="Calibri" w:hAnsi="Calibri" w:cs="Calibri"/>
          <w:bCs/>
          <w:sz w:val="22"/>
          <w:szCs w:val="22"/>
        </w:rPr>
        <w:t xml:space="preserve">4. Pokud příjemce nevyčerpá všechny prostředky dotace na stanovený účel, je povinen vrátit poskytovateli nevyčerpanou částku nejpozději ve lhůtě, ve které je povinen předložit řádné vyúčtování poskytnuté neinvestiční dotace a na č. </w:t>
      </w:r>
      <w:proofErr w:type="spellStart"/>
      <w:r>
        <w:rPr>
          <w:rFonts w:ascii="Calibri" w:hAnsi="Calibri" w:cs="Calibri"/>
          <w:bCs/>
          <w:sz w:val="22"/>
          <w:szCs w:val="22"/>
        </w:rPr>
        <w:t>ú.</w:t>
      </w:r>
      <w:proofErr w:type="spellEnd"/>
      <w:r>
        <w:rPr>
          <w:rFonts w:ascii="Calibri" w:hAnsi="Calibri" w:cs="Calibri"/>
          <w:bCs/>
          <w:sz w:val="22"/>
          <w:szCs w:val="22"/>
        </w:rPr>
        <w:t xml:space="preserve"> uvedeném v záhlaví této smlouvy.</w:t>
      </w:r>
    </w:p>
    <w:p w14:paraId="7862B49E" w14:textId="77777777" w:rsidR="00A8038C" w:rsidRDefault="00A8038C" w:rsidP="00A8038C">
      <w:pPr>
        <w:jc w:val="both"/>
        <w:rPr>
          <w:rFonts w:ascii="Calibri" w:hAnsi="Calibri" w:cs="Calibri"/>
          <w:bCs/>
          <w:sz w:val="22"/>
          <w:szCs w:val="22"/>
        </w:rPr>
      </w:pPr>
    </w:p>
    <w:p w14:paraId="7DB80F33" w14:textId="77777777" w:rsidR="00A8038C" w:rsidRDefault="00A8038C" w:rsidP="00A8038C">
      <w:pPr>
        <w:jc w:val="both"/>
        <w:rPr>
          <w:rFonts w:ascii="Calibri" w:hAnsi="Calibri" w:cs="Calibri"/>
          <w:bCs/>
          <w:sz w:val="22"/>
          <w:szCs w:val="22"/>
        </w:rPr>
      </w:pPr>
      <w:r>
        <w:rPr>
          <w:rFonts w:ascii="Calibri" w:hAnsi="Calibri" w:cs="Calibri"/>
          <w:bCs/>
          <w:sz w:val="22"/>
          <w:szCs w:val="22"/>
        </w:rPr>
        <w:t>5. Příjemce odpovídá za hospodárné použití poskytnutých prostředků v souladu s účelem dle článku III. odstavce 1 a článku VI. odstavce 1 této smlouvy a zajistí ve svém účetnictví nebo daňové evidenci, v souladu s platnými obecně závaznými právními předpis, zejména se zákonem 563/1991 sb. o účetnictví, ve znění pozdějších předpisů, řádné a prokazatelně oddělené sledování poskytnuté neinvestiční dotace.</w:t>
      </w:r>
    </w:p>
    <w:p w14:paraId="192C16D5" w14:textId="77777777" w:rsidR="00A8038C" w:rsidRDefault="00A8038C" w:rsidP="00A8038C">
      <w:pPr>
        <w:jc w:val="both"/>
        <w:rPr>
          <w:rFonts w:ascii="Calibri" w:hAnsi="Calibri" w:cs="Calibri"/>
          <w:bCs/>
          <w:sz w:val="22"/>
          <w:szCs w:val="22"/>
        </w:rPr>
      </w:pPr>
    </w:p>
    <w:p w14:paraId="4B74B43B" w14:textId="77777777" w:rsidR="00A8038C" w:rsidRDefault="00A8038C" w:rsidP="00A8038C">
      <w:pPr>
        <w:jc w:val="both"/>
        <w:rPr>
          <w:rFonts w:ascii="Calibri" w:hAnsi="Calibri" w:cs="Calibri"/>
          <w:bCs/>
          <w:sz w:val="22"/>
          <w:szCs w:val="22"/>
        </w:rPr>
      </w:pPr>
      <w:r>
        <w:rPr>
          <w:rFonts w:ascii="Calibri" w:hAnsi="Calibri" w:cs="Calibri"/>
          <w:bCs/>
          <w:sz w:val="22"/>
          <w:szCs w:val="22"/>
        </w:rPr>
        <w:t>6. Příjemce je oprávněn použít poskytnuté finanční prostředky nejpozději do 31. 12. 2023.</w:t>
      </w:r>
    </w:p>
    <w:p w14:paraId="573326E1" w14:textId="77777777" w:rsidR="00A8038C" w:rsidRDefault="00A8038C" w:rsidP="00A8038C">
      <w:pPr>
        <w:jc w:val="center"/>
        <w:rPr>
          <w:rFonts w:ascii="Calibri" w:hAnsi="Calibri" w:cs="Calibri"/>
          <w:b/>
          <w:bCs/>
          <w:sz w:val="22"/>
          <w:szCs w:val="22"/>
        </w:rPr>
      </w:pPr>
    </w:p>
    <w:p w14:paraId="606771B5" w14:textId="77777777" w:rsidR="00A8038C" w:rsidRDefault="00A8038C" w:rsidP="00A8038C">
      <w:pPr>
        <w:jc w:val="center"/>
        <w:rPr>
          <w:rFonts w:ascii="Calibri" w:hAnsi="Calibri" w:cs="Calibri"/>
          <w:b/>
          <w:bCs/>
          <w:sz w:val="22"/>
          <w:szCs w:val="22"/>
        </w:rPr>
      </w:pPr>
      <w:r>
        <w:rPr>
          <w:rFonts w:ascii="Calibri" w:hAnsi="Calibri" w:cs="Calibri"/>
          <w:b/>
          <w:bCs/>
          <w:sz w:val="22"/>
          <w:szCs w:val="22"/>
        </w:rPr>
        <w:t>VIII.</w:t>
      </w:r>
    </w:p>
    <w:p w14:paraId="7B822323" w14:textId="77777777" w:rsidR="00A8038C" w:rsidRDefault="00A8038C" w:rsidP="00A8038C">
      <w:pPr>
        <w:jc w:val="center"/>
        <w:rPr>
          <w:rFonts w:ascii="Calibri" w:hAnsi="Calibri" w:cs="Calibri"/>
          <w:b/>
          <w:bCs/>
          <w:sz w:val="22"/>
          <w:szCs w:val="22"/>
        </w:rPr>
      </w:pPr>
      <w:r>
        <w:rPr>
          <w:rFonts w:ascii="Calibri" w:hAnsi="Calibri" w:cs="Calibri"/>
          <w:b/>
          <w:bCs/>
          <w:sz w:val="22"/>
          <w:szCs w:val="22"/>
        </w:rPr>
        <w:t>Povinnosti příjemce při přeměně, insolvenci a likvidaci právnické osoby</w:t>
      </w:r>
    </w:p>
    <w:p w14:paraId="4A8AF59E" w14:textId="77777777" w:rsidR="00A8038C" w:rsidRDefault="00A8038C" w:rsidP="00A8038C">
      <w:pPr>
        <w:jc w:val="center"/>
        <w:rPr>
          <w:rFonts w:ascii="Calibri" w:hAnsi="Calibri" w:cs="Calibri"/>
          <w:b/>
          <w:bCs/>
          <w:sz w:val="22"/>
          <w:szCs w:val="22"/>
        </w:rPr>
      </w:pPr>
    </w:p>
    <w:p w14:paraId="4FFD8AA2" w14:textId="77777777" w:rsidR="00A8038C" w:rsidRDefault="00A8038C" w:rsidP="00A8038C">
      <w:pPr>
        <w:jc w:val="both"/>
        <w:rPr>
          <w:rFonts w:ascii="Calibri" w:hAnsi="Calibri" w:cs="Calibri"/>
          <w:bCs/>
          <w:sz w:val="22"/>
          <w:szCs w:val="22"/>
        </w:rPr>
      </w:pPr>
      <w:r>
        <w:rPr>
          <w:rFonts w:ascii="Calibri" w:hAnsi="Calibri" w:cs="Calibri"/>
          <w:bCs/>
          <w:sz w:val="22"/>
          <w:szCs w:val="22"/>
        </w:rPr>
        <w:t xml:space="preserve">1. V případě, že je příjemce právnickou osobou a má dojít k jeho přeměně podle příslušného zákona a příjemce má být zanikající právnickou osobou, má povinnost tuto skutečnost oznámit s dostatečným předstihem poskytovateli s žádostí o udělení souhlasu s přechodem práv a povinností z tohoto smluvního vztahu na právního nástupce. Přitom musí respektovat, že každá taková skutečnost musí být projednána v tom orgánu poskytovatele, který schválil poskytnutí dotace a smlouvu o jejím poskytnutí. </w:t>
      </w:r>
    </w:p>
    <w:p w14:paraId="4CBC59B1" w14:textId="77777777" w:rsidR="00A8038C" w:rsidRDefault="00A8038C" w:rsidP="00A8038C">
      <w:pPr>
        <w:jc w:val="both"/>
        <w:rPr>
          <w:rFonts w:ascii="Calibri" w:hAnsi="Calibri" w:cs="Calibri"/>
          <w:bCs/>
          <w:sz w:val="22"/>
          <w:szCs w:val="22"/>
        </w:rPr>
      </w:pPr>
    </w:p>
    <w:p w14:paraId="70C9CA44" w14:textId="77777777" w:rsidR="00A8038C" w:rsidRDefault="00A8038C" w:rsidP="00A8038C">
      <w:pPr>
        <w:rPr>
          <w:rFonts w:ascii="Calibri" w:hAnsi="Calibri" w:cs="Calibri"/>
          <w:bCs/>
          <w:sz w:val="22"/>
          <w:szCs w:val="22"/>
        </w:rPr>
      </w:pPr>
      <w:r>
        <w:rPr>
          <w:rFonts w:ascii="Calibri" w:hAnsi="Calibri" w:cs="Calibri"/>
          <w:bCs/>
          <w:sz w:val="22"/>
          <w:szCs w:val="22"/>
        </w:rPr>
        <w:t>2. K žádosti o udělení souhlasu podle odstavce 1. musí příjemce prokázat příslušnými dokumenty, že práva a povinnosti z tohoto smluvního vztahu přejdou na právního nástupce a právní nástupce se zavazuje tyto povinnosti plnit (např. projekt fúze). Poskytovatel je oprávněn si vyžádat dodatečné podklady, pokud z dodaných podkladů nebude tato skutečnost vyplývat.</w:t>
      </w:r>
    </w:p>
    <w:p w14:paraId="08619349" w14:textId="77777777" w:rsidR="00A8038C" w:rsidRDefault="00A8038C" w:rsidP="00A8038C">
      <w:pPr>
        <w:jc w:val="both"/>
        <w:rPr>
          <w:rFonts w:ascii="Calibri" w:hAnsi="Calibri" w:cs="Calibri"/>
          <w:bCs/>
          <w:sz w:val="22"/>
          <w:szCs w:val="22"/>
        </w:rPr>
      </w:pPr>
    </w:p>
    <w:p w14:paraId="225BFF4F" w14:textId="77777777" w:rsidR="00A8038C" w:rsidRDefault="00A8038C" w:rsidP="00A8038C">
      <w:pPr>
        <w:jc w:val="both"/>
        <w:rPr>
          <w:rFonts w:ascii="Calibri" w:hAnsi="Calibri" w:cs="Calibri"/>
          <w:bCs/>
          <w:sz w:val="22"/>
          <w:szCs w:val="22"/>
        </w:rPr>
      </w:pPr>
      <w:r>
        <w:rPr>
          <w:rFonts w:ascii="Calibri" w:hAnsi="Calibri" w:cs="Calibri"/>
          <w:bCs/>
          <w:sz w:val="22"/>
          <w:szCs w:val="22"/>
        </w:rPr>
        <w:t>3. V případě, že poskytovatel žádosti vyhoví, zpraví o tom bez zbytečného odkladu příjemce po projednání v příslušném orgánu poskytovatele a uzavře dodatek ke smlouvě, který bude obsahovat popis a důvod jeho uzavření s ohledem na přeměnu příjemce.</w:t>
      </w:r>
    </w:p>
    <w:p w14:paraId="3E5E3E7C" w14:textId="77777777" w:rsidR="00A8038C" w:rsidRDefault="00A8038C" w:rsidP="00A8038C">
      <w:pPr>
        <w:jc w:val="both"/>
        <w:rPr>
          <w:rFonts w:ascii="Calibri" w:hAnsi="Calibri" w:cs="Calibri"/>
          <w:bCs/>
          <w:sz w:val="22"/>
          <w:szCs w:val="22"/>
        </w:rPr>
      </w:pPr>
    </w:p>
    <w:p w14:paraId="408FEB25" w14:textId="77777777" w:rsidR="00A8038C" w:rsidRDefault="00A8038C" w:rsidP="00A8038C">
      <w:pPr>
        <w:jc w:val="both"/>
        <w:rPr>
          <w:rFonts w:ascii="Calibri" w:hAnsi="Calibri" w:cs="Calibri"/>
          <w:bCs/>
          <w:sz w:val="22"/>
          <w:szCs w:val="22"/>
        </w:rPr>
      </w:pPr>
      <w:r>
        <w:rPr>
          <w:rFonts w:ascii="Calibri" w:hAnsi="Calibri" w:cs="Calibri"/>
          <w:bCs/>
          <w:sz w:val="22"/>
          <w:szCs w:val="22"/>
        </w:rPr>
        <w:t xml:space="preserve">4. V případě, že žádosti poskytovatel nevyhoví, bezodkladně o tom spraví příjemce po projednání v příslušném orgánu poskytovatele. Poskytovatel je pak oprávněn posoudit dosavadní naplnění účelu této smlouvy a rozhodne o vrácení poskytnuté dotace nebo její části. V takovém případě má příjemce povinnost vrátit doposud vyplacenou dotaci nebo její část způsobem a ve lhůtě stanovené výzvou poskytovatele. </w:t>
      </w:r>
    </w:p>
    <w:p w14:paraId="6C3CCAF2" w14:textId="77777777" w:rsidR="00A8038C" w:rsidRDefault="00A8038C" w:rsidP="00A8038C">
      <w:pPr>
        <w:jc w:val="both"/>
        <w:rPr>
          <w:rFonts w:ascii="Calibri" w:hAnsi="Calibri" w:cs="Calibri"/>
          <w:bCs/>
          <w:sz w:val="22"/>
          <w:szCs w:val="22"/>
        </w:rPr>
      </w:pPr>
    </w:p>
    <w:p w14:paraId="7342A451" w14:textId="77777777" w:rsidR="00A8038C" w:rsidRDefault="00A8038C" w:rsidP="00A8038C">
      <w:pPr>
        <w:jc w:val="both"/>
        <w:rPr>
          <w:rFonts w:ascii="Calibri" w:hAnsi="Calibri" w:cs="Calibri"/>
          <w:bCs/>
          <w:sz w:val="22"/>
          <w:szCs w:val="22"/>
        </w:rPr>
      </w:pPr>
      <w:r>
        <w:rPr>
          <w:rFonts w:ascii="Calibri" w:hAnsi="Calibri" w:cs="Calibri"/>
          <w:bCs/>
          <w:sz w:val="22"/>
          <w:szCs w:val="22"/>
        </w:rPr>
        <w:t xml:space="preserve">5. V případě, že je příjemce příspěvkovou organizací jiného územního samosprávného celku, je povinen při sloučení, splynutí či rozdělení postupovat obdobně podle odstavce 1- </w:t>
      </w:r>
      <w:proofErr w:type="gramStart"/>
      <w:r>
        <w:rPr>
          <w:rFonts w:ascii="Calibri" w:hAnsi="Calibri" w:cs="Calibri"/>
          <w:bCs/>
          <w:sz w:val="22"/>
          <w:szCs w:val="22"/>
        </w:rPr>
        <w:t>4  tohoto</w:t>
      </w:r>
      <w:proofErr w:type="gramEnd"/>
      <w:r>
        <w:rPr>
          <w:rFonts w:ascii="Calibri" w:hAnsi="Calibri" w:cs="Calibri"/>
          <w:bCs/>
          <w:sz w:val="22"/>
          <w:szCs w:val="22"/>
        </w:rPr>
        <w:t xml:space="preserve"> článku  (doložení např. formou usnesení zastupitelstva územně samosprávného celku). Poslední věta odstavce 2 tohoto článku platí obdobně. </w:t>
      </w:r>
    </w:p>
    <w:p w14:paraId="5EA6A1BF" w14:textId="77777777" w:rsidR="00A8038C" w:rsidRDefault="00A8038C" w:rsidP="00A8038C">
      <w:pPr>
        <w:jc w:val="both"/>
        <w:rPr>
          <w:rFonts w:ascii="Calibri" w:hAnsi="Calibri" w:cs="Calibri"/>
          <w:bCs/>
          <w:sz w:val="22"/>
          <w:szCs w:val="22"/>
        </w:rPr>
      </w:pPr>
    </w:p>
    <w:p w14:paraId="39981300" w14:textId="77777777" w:rsidR="00A8038C" w:rsidRDefault="00A8038C" w:rsidP="00A8038C">
      <w:pPr>
        <w:jc w:val="both"/>
        <w:rPr>
          <w:rFonts w:ascii="Calibri" w:hAnsi="Calibri" w:cs="Calibri"/>
          <w:bCs/>
          <w:sz w:val="22"/>
          <w:szCs w:val="22"/>
        </w:rPr>
      </w:pPr>
      <w:r>
        <w:rPr>
          <w:rFonts w:ascii="Calibri" w:hAnsi="Calibri" w:cs="Calibri"/>
          <w:bCs/>
          <w:sz w:val="22"/>
          <w:szCs w:val="22"/>
        </w:rPr>
        <w:t xml:space="preserve">6. V případě, že příslušný soud rozhodl o úpadku příjemce nebo má být příjemce zrušen s likvidací, </w:t>
      </w:r>
    </w:p>
    <w:p w14:paraId="1A1DAF15" w14:textId="77777777" w:rsidR="00A8038C" w:rsidRDefault="00A8038C" w:rsidP="00A8038C">
      <w:pPr>
        <w:jc w:val="both"/>
        <w:rPr>
          <w:rFonts w:ascii="Calibri" w:hAnsi="Calibri" w:cs="Calibri"/>
          <w:bCs/>
          <w:sz w:val="22"/>
          <w:szCs w:val="22"/>
        </w:rPr>
      </w:pPr>
      <w:r>
        <w:rPr>
          <w:rFonts w:ascii="Calibri" w:hAnsi="Calibri" w:cs="Calibri"/>
          <w:bCs/>
          <w:sz w:val="22"/>
          <w:szCs w:val="22"/>
        </w:rPr>
        <w:t xml:space="preserve">je povinen tuto skutečnost neprodleně oznámit poskytovateli.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za podmínek stanovených zvláštním zákonem. Zároveň je příjemce povinen bezodkladně oznámit insolvenčnímu správci či likvidátorovi příjemce, že tento přijal dotaci z rozpočtu poskytovatele a váže ho povinnost vyplacenou dotaci vrátit zpět do rozpočtu poskytovatele. </w:t>
      </w:r>
    </w:p>
    <w:p w14:paraId="7FD2886D" w14:textId="77777777" w:rsidR="00A8038C" w:rsidRDefault="00A8038C" w:rsidP="00A8038C">
      <w:pPr>
        <w:jc w:val="center"/>
        <w:rPr>
          <w:rFonts w:ascii="Calibri" w:hAnsi="Calibri" w:cs="Calibri"/>
          <w:b/>
          <w:bCs/>
          <w:sz w:val="22"/>
          <w:szCs w:val="22"/>
        </w:rPr>
      </w:pPr>
    </w:p>
    <w:p w14:paraId="4AC8A898" w14:textId="77777777" w:rsidR="00A8038C" w:rsidRDefault="00A8038C" w:rsidP="00A8038C">
      <w:pPr>
        <w:jc w:val="center"/>
        <w:rPr>
          <w:rFonts w:ascii="Calibri" w:hAnsi="Calibri" w:cs="Calibri"/>
          <w:b/>
          <w:bCs/>
          <w:sz w:val="22"/>
          <w:szCs w:val="22"/>
        </w:rPr>
      </w:pPr>
      <w:r>
        <w:rPr>
          <w:rFonts w:ascii="Calibri" w:hAnsi="Calibri" w:cs="Calibri"/>
          <w:b/>
          <w:bCs/>
          <w:sz w:val="22"/>
          <w:szCs w:val="22"/>
        </w:rPr>
        <w:t>IX.</w:t>
      </w:r>
    </w:p>
    <w:p w14:paraId="0EF8B7BF" w14:textId="77777777" w:rsidR="00A8038C" w:rsidRDefault="00A8038C" w:rsidP="00A8038C">
      <w:pPr>
        <w:jc w:val="center"/>
        <w:rPr>
          <w:rFonts w:ascii="Calibri" w:hAnsi="Calibri" w:cs="Calibri"/>
          <w:b/>
          <w:bCs/>
          <w:sz w:val="22"/>
          <w:szCs w:val="22"/>
        </w:rPr>
      </w:pPr>
      <w:r>
        <w:rPr>
          <w:rFonts w:ascii="Calibri" w:hAnsi="Calibri" w:cs="Calibri"/>
          <w:b/>
          <w:bCs/>
          <w:sz w:val="22"/>
          <w:szCs w:val="22"/>
        </w:rPr>
        <w:t>Výpověď smlouvy a porušení rozpočtové kázně</w:t>
      </w:r>
    </w:p>
    <w:p w14:paraId="76ADDCC5" w14:textId="77777777" w:rsidR="00A8038C" w:rsidRDefault="00A8038C" w:rsidP="00A8038C">
      <w:pPr>
        <w:jc w:val="center"/>
        <w:rPr>
          <w:rFonts w:ascii="Calibri" w:hAnsi="Calibri" w:cs="Calibri"/>
          <w:b/>
          <w:bCs/>
          <w:sz w:val="22"/>
          <w:szCs w:val="22"/>
        </w:rPr>
      </w:pPr>
    </w:p>
    <w:p w14:paraId="06FB6F3A" w14:textId="77777777" w:rsidR="00A8038C" w:rsidRDefault="00A8038C" w:rsidP="00A8038C">
      <w:pPr>
        <w:jc w:val="both"/>
        <w:rPr>
          <w:rFonts w:ascii="Calibri" w:hAnsi="Calibri" w:cs="Calibri"/>
          <w:bCs/>
          <w:sz w:val="22"/>
          <w:szCs w:val="22"/>
        </w:rPr>
      </w:pPr>
      <w:r>
        <w:rPr>
          <w:rFonts w:ascii="Calibri" w:hAnsi="Calibri" w:cs="Calibri"/>
          <w:bCs/>
          <w:sz w:val="22"/>
          <w:szCs w:val="22"/>
        </w:rPr>
        <w:t xml:space="preserve">1. 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w:t>
      </w:r>
    </w:p>
    <w:p w14:paraId="76E6A8B5" w14:textId="77777777" w:rsidR="00A8038C" w:rsidRDefault="00A8038C" w:rsidP="00A8038C">
      <w:pPr>
        <w:jc w:val="both"/>
        <w:rPr>
          <w:rFonts w:ascii="Calibri" w:hAnsi="Calibri" w:cs="Calibri"/>
          <w:bCs/>
          <w:sz w:val="22"/>
          <w:szCs w:val="22"/>
        </w:rPr>
      </w:pPr>
      <w:r>
        <w:rPr>
          <w:rFonts w:ascii="Calibri" w:hAnsi="Calibri" w:cs="Calibri"/>
          <w:bCs/>
          <w:sz w:val="22"/>
          <w:szCs w:val="22"/>
        </w:rPr>
        <w:t>že údaje, které mu sdělil příjemce, a které měly vliv na rozhodnutí o poskytnutí dotace, jsou nepravdivé.</w:t>
      </w:r>
    </w:p>
    <w:p w14:paraId="09E32124" w14:textId="77777777" w:rsidR="00A8038C" w:rsidRDefault="00A8038C" w:rsidP="00A8038C">
      <w:pPr>
        <w:jc w:val="both"/>
        <w:rPr>
          <w:rFonts w:ascii="Calibri" w:hAnsi="Calibri" w:cs="Calibri"/>
          <w:bCs/>
          <w:sz w:val="22"/>
          <w:szCs w:val="22"/>
        </w:rPr>
      </w:pPr>
    </w:p>
    <w:p w14:paraId="697B1F71" w14:textId="77777777" w:rsidR="00A8038C" w:rsidRDefault="00A8038C" w:rsidP="00A8038C">
      <w:pPr>
        <w:jc w:val="both"/>
        <w:rPr>
          <w:rFonts w:ascii="Calibri" w:hAnsi="Calibri" w:cs="Calibri"/>
          <w:bCs/>
          <w:sz w:val="22"/>
          <w:szCs w:val="22"/>
        </w:rPr>
      </w:pPr>
      <w:r>
        <w:rPr>
          <w:rFonts w:ascii="Calibri" w:hAnsi="Calibri" w:cs="Calibri"/>
          <w:bCs/>
          <w:sz w:val="22"/>
          <w:szCs w:val="22"/>
        </w:rPr>
        <w:t>2. Výpovědní lhůta je 10 dní a začíná běžet dnem doručení písemné výpovědi příjemci.</w:t>
      </w:r>
    </w:p>
    <w:p w14:paraId="33722930" w14:textId="77777777" w:rsidR="00A8038C" w:rsidRDefault="00A8038C" w:rsidP="00A8038C">
      <w:pPr>
        <w:jc w:val="both"/>
        <w:rPr>
          <w:rFonts w:ascii="Calibri" w:hAnsi="Calibri" w:cs="Calibri"/>
          <w:bCs/>
          <w:sz w:val="22"/>
          <w:szCs w:val="22"/>
        </w:rPr>
      </w:pPr>
      <w:r>
        <w:rPr>
          <w:rFonts w:ascii="Calibri" w:hAnsi="Calibri" w:cs="Calibri"/>
          <w:bCs/>
          <w:sz w:val="22"/>
          <w:szCs w:val="22"/>
        </w:rPr>
        <w:t>3. V písemné výpovědi poskytovatel uvede zjištěné skutečnosti, které jej prokazatelně vedly k výpovědi smlouvy, a vyzve příjemce k vrácení celé dotace nebo její části, pokud již byly poskytnuty. Příjemce je povinen vrátit tyto prostředky do 15 dnů od ukončení smlouvy na účet poskytovatele uvedený ve výpovědi. Pokud tyto prostředky ještě nebyly převedeny na účet příjemce, přestože byla uzavřena smlouva, má poskytovatel právo je neposkytnout.</w:t>
      </w:r>
    </w:p>
    <w:p w14:paraId="3DA2E8EF" w14:textId="77777777" w:rsidR="00A8038C" w:rsidRDefault="00A8038C" w:rsidP="00A8038C">
      <w:pPr>
        <w:jc w:val="both"/>
        <w:rPr>
          <w:rFonts w:ascii="Calibri" w:hAnsi="Calibri" w:cs="Calibri"/>
          <w:bCs/>
          <w:sz w:val="22"/>
          <w:szCs w:val="22"/>
        </w:rPr>
      </w:pPr>
    </w:p>
    <w:p w14:paraId="2DCEF224" w14:textId="77777777" w:rsidR="00A8038C" w:rsidRDefault="00A8038C" w:rsidP="00A8038C">
      <w:pPr>
        <w:jc w:val="both"/>
        <w:rPr>
          <w:rFonts w:ascii="Calibri" w:hAnsi="Calibri" w:cs="Calibri"/>
          <w:bCs/>
          <w:sz w:val="22"/>
          <w:szCs w:val="22"/>
        </w:rPr>
      </w:pPr>
      <w:r>
        <w:rPr>
          <w:rFonts w:ascii="Calibri" w:hAnsi="Calibri" w:cs="Calibri"/>
          <w:bCs/>
          <w:sz w:val="22"/>
          <w:szCs w:val="22"/>
        </w:rPr>
        <w:t xml:space="preserve">4. V případě porušení povinností stanovených pro čerpání dotace, zjištěných na základě provedené kontroly, může být příjemce vyzván k provedení opatření k nápravě zjištěného pochybení tehdy, jestliže porušil méně závažnou podmínku, u které je stanovena možnost sníženého odvodu dle odst. 5 tohoto článku. V rozsahu, v jakém příjemce provedl opatření k nápravě, platí, že nedošlo k porušení rozpočtové kázně. </w:t>
      </w:r>
    </w:p>
    <w:p w14:paraId="772C1655" w14:textId="77777777" w:rsidR="00A8038C" w:rsidRDefault="00A8038C" w:rsidP="00A8038C">
      <w:pPr>
        <w:rPr>
          <w:rFonts w:ascii="Calibri" w:hAnsi="Calibri" w:cs="Calibri"/>
          <w:bCs/>
          <w:sz w:val="22"/>
          <w:szCs w:val="22"/>
        </w:rPr>
      </w:pPr>
    </w:p>
    <w:p w14:paraId="7161B11D" w14:textId="77777777" w:rsidR="00A8038C" w:rsidRDefault="00A8038C" w:rsidP="00A8038C">
      <w:pPr>
        <w:jc w:val="both"/>
        <w:rPr>
          <w:rFonts w:ascii="Calibri" w:hAnsi="Calibri" w:cs="Calibri"/>
          <w:bCs/>
          <w:sz w:val="22"/>
          <w:szCs w:val="22"/>
        </w:rPr>
      </w:pPr>
      <w:r>
        <w:rPr>
          <w:rFonts w:ascii="Calibri" w:hAnsi="Calibri" w:cs="Calibri"/>
          <w:bCs/>
          <w:sz w:val="22"/>
          <w:szCs w:val="22"/>
        </w:rPr>
        <w:t>5. Porušením rozpočtové kázně je každé neoprávněné použití nebo zadržení peněžních prostředků poskytnutých jako dotace (§ 22 odst. 1 až 3 zákona č. 250/2000 Sb.). V případě, že se příjemce dopustí porušení rozpočtové kázně tím, že neoprávněně použije nebo zadrží poskytnutou dotaci, bude poskytovatel postupovat dle § 22 zákona č. 250/2000 Sb. a bude příjemci uložen odvod včetně penále za prodlení s odvodem ve výši stanovené platnými právními předpisy a touto smlouvou.</w:t>
      </w:r>
    </w:p>
    <w:p w14:paraId="4BD497A7" w14:textId="77777777" w:rsidR="00A8038C" w:rsidRDefault="00A8038C" w:rsidP="00A8038C">
      <w:pPr>
        <w:jc w:val="both"/>
        <w:rPr>
          <w:rFonts w:ascii="Calibri" w:hAnsi="Calibri" w:cs="Calibri"/>
          <w:bCs/>
          <w:sz w:val="22"/>
          <w:szCs w:val="22"/>
        </w:rPr>
      </w:pPr>
    </w:p>
    <w:p w14:paraId="35CAADB9" w14:textId="77777777" w:rsidR="00A8038C" w:rsidRDefault="00A8038C" w:rsidP="00A8038C">
      <w:pPr>
        <w:jc w:val="both"/>
        <w:rPr>
          <w:rFonts w:ascii="Calibri" w:hAnsi="Calibri" w:cs="Calibri"/>
          <w:bCs/>
          <w:sz w:val="22"/>
          <w:szCs w:val="22"/>
        </w:rPr>
      </w:pPr>
      <w:r>
        <w:rPr>
          <w:rFonts w:ascii="Calibri" w:hAnsi="Calibri" w:cs="Calibri"/>
          <w:bCs/>
          <w:sz w:val="22"/>
          <w:szCs w:val="22"/>
        </w:rPr>
        <w:t>6. Pokud příjemce předloží závěrečnou zprávu včetně finančního vypořádání v termínu stanoveném ve smlouvě, ale finanční vypořádání nebo závěrečná zpráva nebudou obsahovat všechny náležitosti stanovené ve smlouvě, dopustí se příjemce porušení rozpočtové kázně až v případě, že nedoplní neúplnou závěrečnou zprávu nebo finanční vypořádání ani po marném uplynutí náhradní lhůty 10 dnů ode dne doručení výzvy poskytovatele k nápravě.</w:t>
      </w:r>
    </w:p>
    <w:p w14:paraId="3B7753B2" w14:textId="77777777" w:rsidR="00A8038C" w:rsidRDefault="00A8038C" w:rsidP="00A8038C">
      <w:pPr>
        <w:jc w:val="both"/>
        <w:rPr>
          <w:rFonts w:ascii="Calibri" w:hAnsi="Calibri" w:cs="Calibri"/>
          <w:bCs/>
          <w:sz w:val="22"/>
          <w:szCs w:val="22"/>
        </w:rPr>
      </w:pPr>
    </w:p>
    <w:p w14:paraId="6BD2A40F" w14:textId="77777777" w:rsidR="00A8038C" w:rsidRDefault="00A8038C" w:rsidP="00A8038C">
      <w:pPr>
        <w:jc w:val="both"/>
        <w:rPr>
          <w:rFonts w:ascii="Calibri" w:hAnsi="Calibri" w:cs="Calibri"/>
          <w:bCs/>
          <w:sz w:val="22"/>
          <w:szCs w:val="22"/>
        </w:rPr>
      </w:pPr>
      <w:r>
        <w:rPr>
          <w:rFonts w:ascii="Calibri" w:hAnsi="Calibri" w:cs="Calibri"/>
          <w:bCs/>
          <w:sz w:val="22"/>
          <w:szCs w:val="22"/>
        </w:rPr>
        <w:t>7. V případě porušení rozpočtové kázně, které poskytovatel považuje za méně závažné, bude vždy uložen odvod za tato porušení procentem z celkové částky poskytnuté dotace následovně:</w:t>
      </w:r>
    </w:p>
    <w:p w14:paraId="0AECCFD5" w14:textId="77777777" w:rsidR="00A8038C" w:rsidRDefault="00A8038C" w:rsidP="00A8038C">
      <w:pPr>
        <w:rPr>
          <w:rFonts w:ascii="Calibri" w:hAnsi="Calibri" w:cs="Calibri"/>
          <w:b/>
          <w:bCs/>
          <w:sz w:val="22"/>
          <w:szCs w:val="22"/>
        </w:rPr>
      </w:pPr>
    </w:p>
    <w:p w14:paraId="39EDE5F0" w14:textId="77777777" w:rsidR="00A8038C" w:rsidRDefault="00A8038C" w:rsidP="00A8038C">
      <w:pPr>
        <w:jc w:val="both"/>
        <w:rPr>
          <w:rFonts w:ascii="Calibri" w:hAnsi="Calibri" w:cs="Calibri"/>
          <w:bCs/>
          <w:sz w:val="22"/>
          <w:szCs w:val="22"/>
        </w:rPr>
      </w:pPr>
      <w:r>
        <w:rPr>
          <w:rFonts w:ascii="Calibri" w:hAnsi="Calibri" w:cs="Calibri"/>
          <w:bCs/>
          <w:sz w:val="22"/>
          <w:szCs w:val="22"/>
        </w:rPr>
        <w:t>a) předložení závěrečné zprávy do 15 kalendářních dnů po lhůtě stanovené smlouvou – výše odvodu činí 5 %;</w:t>
      </w:r>
    </w:p>
    <w:p w14:paraId="769AED91" w14:textId="77777777" w:rsidR="00A8038C" w:rsidRDefault="00A8038C" w:rsidP="00A8038C">
      <w:pPr>
        <w:jc w:val="both"/>
        <w:rPr>
          <w:rFonts w:ascii="Calibri" w:hAnsi="Calibri" w:cs="Calibri"/>
          <w:bCs/>
          <w:sz w:val="22"/>
          <w:szCs w:val="22"/>
        </w:rPr>
      </w:pPr>
    </w:p>
    <w:p w14:paraId="3098DB86" w14:textId="77777777" w:rsidR="00A8038C" w:rsidRDefault="00A8038C" w:rsidP="00A8038C">
      <w:pPr>
        <w:jc w:val="both"/>
        <w:rPr>
          <w:rFonts w:ascii="Calibri" w:hAnsi="Calibri" w:cs="Calibri"/>
          <w:bCs/>
          <w:sz w:val="22"/>
          <w:szCs w:val="22"/>
        </w:rPr>
      </w:pPr>
      <w:bookmarkStart w:id="6" w:name="_Hlk116455694"/>
      <w:r>
        <w:rPr>
          <w:rFonts w:ascii="Calibri" w:hAnsi="Calibri" w:cs="Calibri"/>
          <w:bCs/>
          <w:sz w:val="22"/>
          <w:szCs w:val="22"/>
        </w:rPr>
        <w:t>b) předložení závěrečné zprávy později než ve lhůtě dle písm. a) tohoto odstavce a současně do 30 kalendářních dnů po lhůtě stanovené smlouvou – výše odvodu činí 10 %;</w:t>
      </w:r>
    </w:p>
    <w:p w14:paraId="732A634A" w14:textId="77777777" w:rsidR="00A8038C" w:rsidRDefault="00A8038C" w:rsidP="00A8038C">
      <w:pPr>
        <w:jc w:val="both"/>
        <w:rPr>
          <w:rFonts w:ascii="Calibri" w:hAnsi="Calibri" w:cs="Calibri"/>
          <w:bCs/>
          <w:sz w:val="22"/>
          <w:szCs w:val="22"/>
        </w:rPr>
      </w:pPr>
    </w:p>
    <w:p w14:paraId="3C301641" w14:textId="77777777" w:rsidR="00A8038C" w:rsidRDefault="00A8038C" w:rsidP="00A8038C">
      <w:pPr>
        <w:jc w:val="both"/>
        <w:rPr>
          <w:rFonts w:ascii="Calibri" w:hAnsi="Calibri" w:cs="Calibri"/>
          <w:bCs/>
          <w:sz w:val="22"/>
          <w:szCs w:val="22"/>
        </w:rPr>
      </w:pPr>
      <w:r>
        <w:rPr>
          <w:rFonts w:ascii="Calibri" w:hAnsi="Calibri" w:cs="Calibri"/>
          <w:bCs/>
          <w:sz w:val="22"/>
          <w:szCs w:val="22"/>
        </w:rPr>
        <w:lastRenderedPageBreak/>
        <w:t>c) předložení doplněné závěrečné zprávy do 15 kalendářních dnů od uplynutí náhradní lhůty uvedené ve výzvě poskytovatele dle odst. 6 tohoto článku – výše odvodu činí 3 %;</w:t>
      </w:r>
    </w:p>
    <w:p w14:paraId="1BD28592" w14:textId="77777777" w:rsidR="00A8038C" w:rsidRDefault="00A8038C" w:rsidP="00A8038C">
      <w:pPr>
        <w:jc w:val="both"/>
        <w:rPr>
          <w:rFonts w:ascii="Calibri" w:hAnsi="Calibri" w:cs="Calibri"/>
          <w:bCs/>
          <w:sz w:val="22"/>
          <w:szCs w:val="22"/>
        </w:rPr>
      </w:pPr>
    </w:p>
    <w:p w14:paraId="765AF03A" w14:textId="77777777" w:rsidR="00A8038C" w:rsidRDefault="00A8038C" w:rsidP="00A8038C">
      <w:pPr>
        <w:jc w:val="both"/>
        <w:rPr>
          <w:rFonts w:ascii="Calibri" w:hAnsi="Calibri" w:cs="Calibri"/>
          <w:bCs/>
          <w:sz w:val="22"/>
          <w:szCs w:val="22"/>
        </w:rPr>
      </w:pPr>
      <w:r>
        <w:rPr>
          <w:rFonts w:ascii="Calibri" w:hAnsi="Calibri" w:cs="Calibri"/>
          <w:bCs/>
          <w:sz w:val="22"/>
          <w:szCs w:val="22"/>
        </w:rPr>
        <w:t>d) předložení doplněné závěrečné zprávy později než ve lhůtě dle písm. c) tohoto odstavce a současně do 30 kalendářních dnů od uplynutí náhradní lhůty uvedené ve výzvě poskytovatele dle odst. 6 tohoto článku – výše odvodu činí 6 %;</w:t>
      </w:r>
    </w:p>
    <w:bookmarkEnd w:id="6"/>
    <w:p w14:paraId="19BED822" w14:textId="77777777" w:rsidR="00A8038C" w:rsidRDefault="00A8038C" w:rsidP="00A8038C">
      <w:pPr>
        <w:jc w:val="both"/>
        <w:rPr>
          <w:rFonts w:ascii="Calibri" w:hAnsi="Calibri" w:cs="Calibri"/>
          <w:bCs/>
          <w:sz w:val="22"/>
          <w:szCs w:val="22"/>
        </w:rPr>
      </w:pPr>
    </w:p>
    <w:p w14:paraId="49765BF4" w14:textId="77777777" w:rsidR="00A8038C" w:rsidRDefault="00A8038C" w:rsidP="00A8038C">
      <w:pPr>
        <w:jc w:val="both"/>
        <w:rPr>
          <w:rFonts w:ascii="Calibri" w:hAnsi="Calibri" w:cs="Calibri"/>
          <w:bCs/>
          <w:sz w:val="22"/>
          <w:szCs w:val="22"/>
        </w:rPr>
      </w:pPr>
      <w:r>
        <w:rPr>
          <w:rFonts w:ascii="Calibri" w:hAnsi="Calibri" w:cs="Calibri"/>
          <w:bCs/>
          <w:sz w:val="22"/>
          <w:szCs w:val="22"/>
        </w:rPr>
        <w:t>e) nedodržení povinnosti vést dotaci v odděleném účetnictví – výše odvodu činí 10 %;</w:t>
      </w:r>
    </w:p>
    <w:p w14:paraId="5CB2840B" w14:textId="77777777" w:rsidR="00A8038C" w:rsidRDefault="00A8038C" w:rsidP="00A8038C">
      <w:pPr>
        <w:jc w:val="both"/>
        <w:rPr>
          <w:rFonts w:ascii="Calibri" w:hAnsi="Calibri" w:cs="Calibri"/>
          <w:bCs/>
          <w:sz w:val="22"/>
          <w:szCs w:val="22"/>
        </w:rPr>
      </w:pPr>
    </w:p>
    <w:p w14:paraId="4780831F" w14:textId="77777777" w:rsidR="00A8038C" w:rsidRDefault="00A8038C" w:rsidP="00A8038C">
      <w:pPr>
        <w:jc w:val="both"/>
        <w:rPr>
          <w:rFonts w:ascii="Calibri" w:hAnsi="Calibri" w:cs="Calibri"/>
          <w:bCs/>
          <w:sz w:val="22"/>
          <w:szCs w:val="22"/>
        </w:rPr>
      </w:pPr>
      <w:r>
        <w:rPr>
          <w:rFonts w:ascii="Calibri" w:hAnsi="Calibri" w:cs="Calibri"/>
          <w:bCs/>
          <w:sz w:val="22"/>
          <w:szCs w:val="22"/>
        </w:rPr>
        <w:t>f) nedodržení povinnosti označovat originály účetních dokladů informací o tom, že je projekt financován městem Litvínovem – výše odvodu činí 10 %;</w:t>
      </w:r>
    </w:p>
    <w:p w14:paraId="28331009" w14:textId="77777777" w:rsidR="00A8038C" w:rsidRDefault="00A8038C" w:rsidP="00A8038C">
      <w:pPr>
        <w:rPr>
          <w:rFonts w:ascii="Calibri" w:hAnsi="Calibri" w:cs="Calibri"/>
          <w:b/>
          <w:bCs/>
          <w:sz w:val="22"/>
          <w:szCs w:val="22"/>
        </w:rPr>
      </w:pPr>
    </w:p>
    <w:p w14:paraId="49FADF98" w14:textId="77777777" w:rsidR="00A8038C" w:rsidRDefault="00A8038C" w:rsidP="00A8038C">
      <w:pPr>
        <w:jc w:val="both"/>
        <w:rPr>
          <w:rFonts w:ascii="Calibri" w:hAnsi="Calibri" w:cs="Calibri"/>
          <w:bCs/>
          <w:sz w:val="22"/>
          <w:szCs w:val="22"/>
        </w:rPr>
      </w:pPr>
      <w:r>
        <w:rPr>
          <w:rFonts w:ascii="Calibri" w:hAnsi="Calibri" w:cs="Calibri"/>
          <w:bCs/>
          <w:sz w:val="22"/>
          <w:szCs w:val="22"/>
        </w:rPr>
        <w:t xml:space="preserve">8. 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 22 odst. 2 písm. a) nebo b) zákona č. 250/2000 Sb., odpovídá odvod za porušení rozpočtové kázně výši poskytovaných prostředků, mimo případů, kdy se podle této smlouvy (odst. 3 tohoto článku)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město uloží odvod za porušení rozpočtové kázně, v rozhodnutí uvede, že z uloženého odvodu bude odvedena pouze částka ve výši rozdílu mezi uloženým odvodem a peněžními prostředky neposkytnutými z důvodu podezření na porušení rozpočtové kázně. Pokud město odvod neuloží, poskytovatel poskytne pozastavené peněžní prostředky příjemci. </w:t>
      </w:r>
    </w:p>
    <w:p w14:paraId="38609825" w14:textId="77777777" w:rsidR="00A8038C" w:rsidRDefault="00A8038C" w:rsidP="00A8038C">
      <w:pPr>
        <w:jc w:val="both"/>
        <w:rPr>
          <w:rFonts w:ascii="Calibri" w:hAnsi="Calibri" w:cs="Calibri"/>
          <w:bCs/>
          <w:sz w:val="22"/>
          <w:szCs w:val="22"/>
        </w:rPr>
      </w:pPr>
    </w:p>
    <w:p w14:paraId="6CB999AE" w14:textId="77777777" w:rsidR="00A8038C" w:rsidRDefault="00A8038C" w:rsidP="00A8038C">
      <w:pPr>
        <w:jc w:val="both"/>
        <w:rPr>
          <w:rFonts w:ascii="Calibri" w:hAnsi="Calibri" w:cs="Calibri"/>
          <w:bCs/>
          <w:sz w:val="22"/>
          <w:szCs w:val="22"/>
        </w:rPr>
      </w:pPr>
      <w:r>
        <w:rPr>
          <w:rFonts w:ascii="Calibri" w:hAnsi="Calibri" w:cs="Calibri"/>
          <w:bCs/>
          <w:sz w:val="22"/>
          <w:szCs w:val="22"/>
        </w:rPr>
        <w:t xml:space="preserve">9. V případě, že příjemce bude vyzván k vrácení dotace nebo její poměrné části a svou povinnost k jejímu vrácení nesplní v jemu stanovené náhradní lhůtě, bude považována nečinnost příjemce za porušení rozpočtové kázně ve formě zadržení dotace. </w:t>
      </w:r>
    </w:p>
    <w:bookmarkEnd w:id="5"/>
    <w:p w14:paraId="503357CD" w14:textId="77777777" w:rsidR="00A8038C" w:rsidRDefault="00A8038C" w:rsidP="00A8038C">
      <w:pPr>
        <w:rPr>
          <w:rFonts w:ascii="Calibri" w:hAnsi="Calibri" w:cs="Calibri"/>
          <w:b/>
          <w:bCs/>
          <w:sz w:val="22"/>
          <w:szCs w:val="22"/>
        </w:rPr>
      </w:pPr>
    </w:p>
    <w:p w14:paraId="66A30CAB" w14:textId="77777777" w:rsidR="00402226" w:rsidRPr="00C326FF" w:rsidRDefault="00402226" w:rsidP="00402226">
      <w:pPr>
        <w:jc w:val="center"/>
        <w:rPr>
          <w:rFonts w:ascii="Calibri" w:hAnsi="Calibri" w:cs="Calibri"/>
          <w:b/>
          <w:bCs/>
          <w:sz w:val="22"/>
          <w:szCs w:val="22"/>
        </w:rPr>
      </w:pPr>
      <w:r w:rsidRPr="00C326FF">
        <w:rPr>
          <w:rFonts w:ascii="Calibri" w:hAnsi="Calibri" w:cs="Calibri"/>
          <w:b/>
          <w:bCs/>
          <w:sz w:val="22"/>
          <w:szCs w:val="22"/>
        </w:rPr>
        <w:t>X.</w:t>
      </w:r>
    </w:p>
    <w:p w14:paraId="1829DC09" w14:textId="77777777" w:rsidR="00402226" w:rsidRDefault="00402226" w:rsidP="00402226">
      <w:pPr>
        <w:jc w:val="center"/>
        <w:rPr>
          <w:rFonts w:ascii="Calibri" w:hAnsi="Calibri" w:cs="Calibri"/>
          <w:b/>
          <w:bCs/>
          <w:sz w:val="22"/>
          <w:szCs w:val="22"/>
        </w:rPr>
      </w:pPr>
      <w:r w:rsidRPr="00C326FF">
        <w:rPr>
          <w:rFonts w:ascii="Calibri" w:hAnsi="Calibri" w:cs="Calibri"/>
          <w:b/>
          <w:bCs/>
          <w:sz w:val="22"/>
          <w:szCs w:val="22"/>
        </w:rPr>
        <w:t>Ostatní ujednání</w:t>
      </w:r>
    </w:p>
    <w:p w14:paraId="18EAFC92" w14:textId="77777777" w:rsidR="00402226" w:rsidRPr="00C326FF" w:rsidRDefault="00402226" w:rsidP="00402226">
      <w:pPr>
        <w:jc w:val="center"/>
        <w:rPr>
          <w:rFonts w:ascii="Calibri" w:hAnsi="Calibri" w:cs="Calibri"/>
          <w:b/>
          <w:bCs/>
          <w:sz w:val="22"/>
          <w:szCs w:val="22"/>
        </w:rPr>
      </w:pPr>
    </w:p>
    <w:p w14:paraId="49E35179" w14:textId="77777777" w:rsidR="007B0048" w:rsidRPr="0014298D" w:rsidRDefault="007B0048" w:rsidP="007B0048">
      <w:pPr>
        <w:jc w:val="both"/>
        <w:rPr>
          <w:rFonts w:ascii="Calibri" w:hAnsi="Calibri" w:cs="Calibri"/>
          <w:bCs/>
          <w:sz w:val="22"/>
          <w:szCs w:val="22"/>
        </w:rPr>
      </w:pPr>
      <w:r>
        <w:rPr>
          <w:rFonts w:ascii="Calibri" w:hAnsi="Calibri" w:cs="Calibri"/>
          <w:bCs/>
          <w:sz w:val="22"/>
          <w:szCs w:val="22"/>
        </w:rPr>
        <w:t>1</w:t>
      </w:r>
      <w:r w:rsidRPr="0014298D">
        <w:rPr>
          <w:rFonts w:ascii="Calibri" w:hAnsi="Calibri" w:cs="Calibri"/>
          <w:bCs/>
          <w:sz w:val="22"/>
          <w:szCs w:val="22"/>
        </w:rPr>
        <w:t xml:space="preserve">. Pokud dojde </w:t>
      </w:r>
      <w:r>
        <w:rPr>
          <w:rFonts w:ascii="Calibri" w:hAnsi="Calibri" w:cs="Calibri"/>
          <w:bCs/>
          <w:sz w:val="22"/>
          <w:szCs w:val="22"/>
        </w:rPr>
        <w:t xml:space="preserve">za účinnosti </w:t>
      </w:r>
      <w:r w:rsidRPr="0014298D">
        <w:rPr>
          <w:rFonts w:ascii="Calibri" w:hAnsi="Calibri" w:cs="Calibri"/>
          <w:bCs/>
          <w:sz w:val="22"/>
          <w:szCs w:val="22"/>
        </w:rPr>
        <w:t>této smlouvy na straně příjemce ke změně podmínek, za kterých byla dotace poskytnuta (včetně změny kontaktní osoby uvedené v žádosti nebo sídla příjemce), je příjemce povinen oznámit toto písemně poskytovateli neprodleně po zjištění změny.</w:t>
      </w:r>
    </w:p>
    <w:p w14:paraId="30B97C94" w14:textId="77777777" w:rsidR="007B0048" w:rsidRPr="00C326FF" w:rsidRDefault="007B0048" w:rsidP="007B0048">
      <w:pPr>
        <w:rPr>
          <w:rFonts w:ascii="Calibri" w:hAnsi="Calibri" w:cs="Calibri"/>
          <w:b/>
          <w:bCs/>
          <w:sz w:val="22"/>
          <w:szCs w:val="22"/>
        </w:rPr>
      </w:pPr>
    </w:p>
    <w:p w14:paraId="56ED09A3" w14:textId="77777777" w:rsidR="007B0048" w:rsidRPr="0014298D" w:rsidRDefault="007B0048" w:rsidP="007B0048">
      <w:pPr>
        <w:jc w:val="both"/>
        <w:rPr>
          <w:rFonts w:ascii="Calibri" w:hAnsi="Calibri" w:cs="Calibri"/>
          <w:bCs/>
          <w:sz w:val="22"/>
          <w:szCs w:val="22"/>
        </w:rPr>
      </w:pPr>
      <w:r>
        <w:rPr>
          <w:rFonts w:ascii="Calibri" w:hAnsi="Calibri" w:cs="Calibri"/>
          <w:bCs/>
          <w:sz w:val="22"/>
          <w:szCs w:val="22"/>
        </w:rPr>
        <w:t>2</w:t>
      </w:r>
      <w:r w:rsidRPr="0014298D">
        <w:rPr>
          <w:rFonts w:ascii="Calibri" w:hAnsi="Calibri" w:cs="Calibri"/>
          <w:bCs/>
          <w:sz w:val="22"/>
          <w:szCs w:val="22"/>
        </w:rPr>
        <w:t>. Příjemce bere na vědomí, že smlouva bude uveřejněna v registru smluv zřízené</w:t>
      </w:r>
      <w:r>
        <w:rPr>
          <w:rFonts w:ascii="Calibri" w:hAnsi="Calibri" w:cs="Calibri"/>
          <w:bCs/>
          <w:sz w:val="22"/>
          <w:szCs w:val="22"/>
        </w:rPr>
        <w:t>m</w:t>
      </w:r>
      <w:r w:rsidRPr="0014298D">
        <w:rPr>
          <w:rFonts w:ascii="Calibri" w:hAnsi="Calibri" w:cs="Calibri"/>
          <w:bCs/>
          <w:sz w:val="22"/>
          <w:szCs w:val="22"/>
        </w:rPr>
        <w:t xml:space="preserve"> podle zákona č. 340/2015 Sb., o registru smluv, </w:t>
      </w:r>
      <w:r>
        <w:rPr>
          <w:rFonts w:ascii="Calibri" w:hAnsi="Calibri" w:cs="Calibri"/>
          <w:bCs/>
          <w:sz w:val="22"/>
          <w:szCs w:val="22"/>
        </w:rPr>
        <w:t>v platném znění</w:t>
      </w:r>
      <w:r w:rsidRPr="0014298D">
        <w:rPr>
          <w:rFonts w:ascii="Calibri" w:hAnsi="Calibri" w:cs="Calibri"/>
          <w:bCs/>
          <w:sz w:val="22"/>
          <w:szCs w:val="22"/>
        </w:rPr>
        <w:t xml:space="preserve">. Příjemce prohlašuje, že tato smlouva neobsahuje údaje, které tvoří předmět jeho obchodního tajemství podle </w:t>
      </w:r>
      <w:r>
        <w:rPr>
          <w:rFonts w:ascii="Calibri" w:hAnsi="Calibri" w:cs="Calibri"/>
          <w:bCs/>
          <w:sz w:val="22"/>
          <w:szCs w:val="22"/>
        </w:rPr>
        <w:t xml:space="preserve">ustanovení </w:t>
      </w:r>
      <w:r w:rsidRPr="0014298D">
        <w:rPr>
          <w:rFonts w:ascii="Calibri" w:hAnsi="Calibri" w:cs="Calibri"/>
          <w:bCs/>
          <w:sz w:val="22"/>
          <w:szCs w:val="22"/>
        </w:rPr>
        <w:t xml:space="preserve">§ 504 zákona č. 89/2012 Sb., občanský zákoník, </w:t>
      </w:r>
      <w:r>
        <w:rPr>
          <w:rFonts w:ascii="Calibri" w:hAnsi="Calibri" w:cs="Calibri"/>
          <w:bCs/>
          <w:sz w:val="22"/>
          <w:szCs w:val="22"/>
        </w:rPr>
        <w:t>ve znění pozdějších předpisů</w:t>
      </w:r>
      <w:r w:rsidRPr="0014298D">
        <w:rPr>
          <w:rFonts w:ascii="Calibri" w:hAnsi="Calibri" w:cs="Calibri"/>
          <w:bCs/>
          <w:sz w:val="22"/>
          <w:szCs w:val="22"/>
        </w:rPr>
        <w:t>.</w:t>
      </w:r>
    </w:p>
    <w:p w14:paraId="5E97A42E" w14:textId="77777777" w:rsidR="007B0048" w:rsidRPr="00C326FF" w:rsidRDefault="007B0048" w:rsidP="007B0048">
      <w:pPr>
        <w:rPr>
          <w:rFonts w:ascii="Calibri" w:hAnsi="Calibri" w:cs="Calibri"/>
          <w:b/>
          <w:bCs/>
          <w:sz w:val="22"/>
          <w:szCs w:val="22"/>
        </w:rPr>
      </w:pPr>
    </w:p>
    <w:p w14:paraId="7A825D1D" w14:textId="77777777" w:rsidR="007B0048" w:rsidRPr="00066059" w:rsidRDefault="007B0048" w:rsidP="007B0048">
      <w:pPr>
        <w:jc w:val="both"/>
        <w:rPr>
          <w:rFonts w:ascii="Calibri" w:hAnsi="Calibri" w:cs="Calibri"/>
          <w:bCs/>
          <w:sz w:val="22"/>
          <w:szCs w:val="22"/>
        </w:rPr>
      </w:pPr>
      <w:r>
        <w:rPr>
          <w:rFonts w:ascii="Calibri" w:hAnsi="Calibri" w:cs="Calibri"/>
          <w:bCs/>
          <w:sz w:val="22"/>
          <w:szCs w:val="22"/>
        </w:rPr>
        <w:t>3</w:t>
      </w:r>
      <w:r w:rsidRPr="00066059">
        <w:rPr>
          <w:rFonts w:ascii="Calibri" w:hAnsi="Calibri" w:cs="Calibri"/>
          <w:bCs/>
          <w:sz w:val="22"/>
          <w:szCs w:val="22"/>
        </w:rPr>
        <w:t>. Smluvní strany se dohodly na tom, že uveřejnění v registru smluv provede poskytovatel.</w:t>
      </w:r>
    </w:p>
    <w:p w14:paraId="763B0AA8" w14:textId="77777777" w:rsidR="007B0048" w:rsidRPr="00C326FF" w:rsidRDefault="007B0048" w:rsidP="007B0048">
      <w:pPr>
        <w:rPr>
          <w:rFonts w:ascii="Calibri" w:hAnsi="Calibri" w:cs="Calibri"/>
          <w:b/>
          <w:bCs/>
          <w:sz w:val="22"/>
          <w:szCs w:val="22"/>
        </w:rPr>
      </w:pPr>
    </w:p>
    <w:p w14:paraId="5214C93D" w14:textId="77777777" w:rsidR="007B0048" w:rsidRPr="00066059" w:rsidRDefault="007B0048" w:rsidP="007B0048">
      <w:pPr>
        <w:jc w:val="both"/>
        <w:rPr>
          <w:rFonts w:ascii="Calibri" w:hAnsi="Calibri" w:cs="Calibri"/>
          <w:bCs/>
          <w:sz w:val="22"/>
          <w:szCs w:val="22"/>
        </w:rPr>
      </w:pPr>
      <w:r>
        <w:rPr>
          <w:rFonts w:ascii="Calibri" w:hAnsi="Calibri" w:cs="Calibri"/>
          <w:bCs/>
          <w:sz w:val="22"/>
          <w:szCs w:val="22"/>
        </w:rPr>
        <w:t>4</w:t>
      </w:r>
      <w:r w:rsidRPr="00066059">
        <w:rPr>
          <w:rFonts w:ascii="Calibri" w:hAnsi="Calibri" w:cs="Calibri"/>
          <w:bCs/>
          <w:sz w:val="22"/>
          <w:szCs w:val="22"/>
        </w:rPr>
        <w:t>. O užití dotace vede příjemce průkaznou účetní nebo jinou evidenci. Dále se zavazuje uchovávat tuto evidenci po dobu deseti let po skončení projektu.</w:t>
      </w:r>
    </w:p>
    <w:p w14:paraId="02790CE5" w14:textId="77777777" w:rsidR="007B0048" w:rsidRPr="00066059" w:rsidRDefault="007B0048" w:rsidP="007B0048">
      <w:pPr>
        <w:jc w:val="both"/>
        <w:rPr>
          <w:rFonts w:ascii="Calibri" w:hAnsi="Calibri" w:cs="Calibri"/>
          <w:bCs/>
          <w:sz w:val="22"/>
          <w:szCs w:val="22"/>
        </w:rPr>
      </w:pPr>
    </w:p>
    <w:p w14:paraId="78F05799" w14:textId="77777777" w:rsidR="007B0048" w:rsidRPr="00066059" w:rsidRDefault="007B0048" w:rsidP="007B0048">
      <w:pPr>
        <w:jc w:val="both"/>
        <w:rPr>
          <w:rFonts w:ascii="Calibri" w:hAnsi="Calibri" w:cs="Calibri"/>
          <w:bCs/>
          <w:sz w:val="22"/>
          <w:szCs w:val="22"/>
        </w:rPr>
      </w:pPr>
      <w:r>
        <w:rPr>
          <w:rFonts w:ascii="Calibri" w:hAnsi="Calibri" w:cs="Calibri"/>
          <w:bCs/>
          <w:sz w:val="22"/>
          <w:szCs w:val="22"/>
        </w:rPr>
        <w:t>5</w:t>
      </w:r>
      <w:r w:rsidRPr="00066059">
        <w:rPr>
          <w:rFonts w:ascii="Calibri" w:hAnsi="Calibri" w:cs="Calibri"/>
          <w:bCs/>
          <w:sz w:val="22"/>
          <w:szCs w:val="22"/>
        </w:rPr>
        <w:t xml:space="preserve">. Poskytovatel je oprávněn provádět u příjemce kontrolu účetnictví, příp. dalších skutečností, v rozsahu potřebném k posouzení, zda byla dodržena tato smlouva. Příjemce se zavazuje umožnit poskytovateli nebo jím pověřeným osobám provést kdykoli (i v průběhu realizace) komplexní kontrolu postupu a výsledků realizace projektu, včetně použití peněžních prostředků a zpřístupnit na požádání </w:t>
      </w:r>
      <w:r w:rsidRPr="00066059">
        <w:rPr>
          <w:rFonts w:ascii="Calibri" w:hAnsi="Calibri" w:cs="Calibri"/>
          <w:bCs/>
          <w:sz w:val="22"/>
          <w:szCs w:val="22"/>
        </w:rPr>
        <w:lastRenderedPageBreak/>
        <w:t>veškeré doklady související s realizací projektu a s plněním této smlouvy. Tímto ujednáním nejsou dotčena ani omezena práva kontrolních a finančních orgánů státní správy České republiky.</w:t>
      </w:r>
    </w:p>
    <w:p w14:paraId="375D8172" w14:textId="77777777" w:rsidR="007B0048" w:rsidRDefault="007B0048" w:rsidP="007B0048">
      <w:pPr>
        <w:rPr>
          <w:rFonts w:ascii="Calibri" w:hAnsi="Calibri" w:cs="Calibri"/>
          <w:b/>
          <w:bCs/>
          <w:sz w:val="22"/>
          <w:szCs w:val="22"/>
        </w:rPr>
      </w:pPr>
    </w:p>
    <w:p w14:paraId="193BBC5F" w14:textId="77777777" w:rsidR="007B0048" w:rsidRDefault="007B0048" w:rsidP="007B0048">
      <w:pPr>
        <w:jc w:val="both"/>
        <w:rPr>
          <w:rFonts w:ascii="Calibri" w:hAnsi="Calibri" w:cs="Calibri"/>
          <w:bCs/>
          <w:sz w:val="22"/>
          <w:szCs w:val="22"/>
        </w:rPr>
      </w:pPr>
      <w:r>
        <w:rPr>
          <w:rFonts w:ascii="Calibri" w:hAnsi="Calibri" w:cs="Calibri"/>
          <w:bCs/>
          <w:sz w:val="22"/>
          <w:szCs w:val="22"/>
        </w:rPr>
        <w:t>6. Příjemce je povinen zajistit informování veřejnosti o tom, že akce byla podpořena peněžními prostředky města Litvínova tím, že:</w:t>
      </w:r>
    </w:p>
    <w:p w14:paraId="23B646B4" w14:textId="77777777" w:rsidR="007B0048" w:rsidRDefault="007B0048" w:rsidP="007B0048">
      <w:pPr>
        <w:jc w:val="both"/>
        <w:rPr>
          <w:rFonts w:ascii="Calibri" w:hAnsi="Calibri" w:cs="Calibri"/>
          <w:bCs/>
          <w:sz w:val="22"/>
          <w:szCs w:val="22"/>
        </w:rPr>
      </w:pPr>
      <w:r>
        <w:rPr>
          <w:rFonts w:ascii="Calibri" w:hAnsi="Calibri" w:cs="Calibri"/>
          <w:bCs/>
          <w:sz w:val="22"/>
          <w:szCs w:val="22"/>
        </w:rPr>
        <w:t>a) zveřejní prostřednictvím svých internetových stránek, pokud takové existují, stručný popis projektu včetně jeho cílů a výsledků a zdůrazní, že je na daný projekt poskytována finanční podpora města Litvínova;</w:t>
      </w:r>
    </w:p>
    <w:p w14:paraId="22C33817" w14:textId="77777777" w:rsidR="007B0048" w:rsidRDefault="007B0048" w:rsidP="007B0048">
      <w:pPr>
        <w:jc w:val="both"/>
        <w:rPr>
          <w:rFonts w:ascii="Calibri" w:hAnsi="Calibri" w:cs="Calibri"/>
          <w:bCs/>
          <w:sz w:val="22"/>
          <w:szCs w:val="22"/>
        </w:rPr>
      </w:pPr>
    </w:p>
    <w:p w14:paraId="364B95E2" w14:textId="77777777" w:rsidR="007B0048" w:rsidRDefault="007B0048" w:rsidP="007B0048">
      <w:pPr>
        <w:jc w:val="both"/>
        <w:rPr>
          <w:rFonts w:ascii="Calibri" w:hAnsi="Calibri" w:cs="Calibri"/>
          <w:bCs/>
          <w:sz w:val="22"/>
          <w:szCs w:val="22"/>
        </w:rPr>
      </w:pPr>
      <w:r>
        <w:rPr>
          <w:rFonts w:ascii="Calibri" w:hAnsi="Calibri" w:cs="Calibri"/>
          <w:bCs/>
          <w:sz w:val="22"/>
          <w:szCs w:val="22"/>
        </w:rPr>
        <w:t xml:space="preserve">b) umístí po zahájení fyzické realizace projektu alespoň jeden plakát s informacemi o projektu, včetně informace o finanční podpoře od města ve znění: „Projekt </w:t>
      </w:r>
      <w:r>
        <w:rPr>
          <w:rFonts w:ascii="Calibri" w:hAnsi="Calibri" w:cs="Calibri"/>
          <w:bCs/>
          <w:i/>
          <w:iCs/>
          <w:sz w:val="22"/>
          <w:szCs w:val="22"/>
        </w:rPr>
        <w:t>„název projektu“</w:t>
      </w:r>
      <w:r>
        <w:rPr>
          <w:rFonts w:ascii="Calibri" w:hAnsi="Calibri" w:cs="Calibri"/>
          <w:bCs/>
          <w:sz w:val="22"/>
          <w:szCs w:val="22"/>
        </w:rPr>
        <w:t xml:space="preserve"> je spolufinancován městem Litvínovem“ na místě snadno viditelném pro veřejnost, jako jsou např. vstupní prostory budovy </w:t>
      </w:r>
      <w:r>
        <w:rPr>
          <w:rFonts w:ascii="Calibri" w:hAnsi="Calibri" w:cs="Calibri"/>
          <w:bCs/>
          <w:i/>
          <w:iCs/>
          <w:sz w:val="22"/>
          <w:szCs w:val="22"/>
        </w:rPr>
        <w:t>(pozor na použití znaku města Litvínova, podléhá zásadám pro použití znaku města Litvínova a schvaluje Rada města Litvínova!)</w:t>
      </w:r>
      <w:r>
        <w:rPr>
          <w:rFonts w:ascii="Calibri" w:hAnsi="Calibri" w:cs="Calibri"/>
          <w:bCs/>
          <w:sz w:val="22"/>
          <w:szCs w:val="22"/>
        </w:rPr>
        <w:t>;</w:t>
      </w:r>
    </w:p>
    <w:p w14:paraId="0CC1DC8A" w14:textId="77777777" w:rsidR="007B0048" w:rsidRDefault="007B0048" w:rsidP="007B0048">
      <w:pPr>
        <w:jc w:val="both"/>
        <w:rPr>
          <w:rFonts w:ascii="Calibri" w:hAnsi="Calibri" w:cs="Calibri"/>
          <w:bCs/>
          <w:sz w:val="22"/>
          <w:szCs w:val="22"/>
        </w:rPr>
      </w:pPr>
    </w:p>
    <w:p w14:paraId="04366105" w14:textId="77777777" w:rsidR="007B0048" w:rsidRDefault="007B0048" w:rsidP="007B0048">
      <w:pPr>
        <w:jc w:val="both"/>
        <w:rPr>
          <w:rFonts w:ascii="Calibri" w:hAnsi="Calibri" w:cs="Calibri"/>
          <w:bCs/>
          <w:sz w:val="22"/>
          <w:szCs w:val="22"/>
        </w:rPr>
      </w:pPr>
      <w:r>
        <w:rPr>
          <w:rFonts w:ascii="Calibri" w:hAnsi="Calibri" w:cs="Calibri"/>
          <w:bCs/>
          <w:sz w:val="22"/>
          <w:szCs w:val="22"/>
        </w:rPr>
        <w:t>c) informovat poskytovatele o konání podporované akce (např. zasláním pozvánky);</w:t>
      </w:r>
    </w:p>
    <w:p w14:paraId="3534A9D9" w14:textId="77777777" w:rsidR="007B0048" w:rsidRDefault="007B0048" w:rsidP="007B0048">
      <w:pPr>
        <w:jc w:val="both"/>
        <w:rPr>
          <w:rFonts w:ascii="Calibri" w:hAnsi="Calibri" w:cs="Calibri"/>
          <w:bCs/>
          <w:sz w:val="22"/>
          <w:szCs w:val="22"/>
        </w:rPr>
      </w:pPr>
    </w:p>
    <w:p w14:paraId="4064CA0A" w14:textId="77777777" w:rsidR="007B0048" w:rsidRDefault="007B0048" w:rsidP="007B0048">
      <w:pPr>
        <w:jc w:val="both"/>
        <w:rPr>
          <w:rFonts w:ascii="Calibri" w:hAnsi="Calibri" w:cs="Calibri"/>
          <w:bCs/>
          <w:sz w:val="22"/>
          <w:szCs w:val="22"/>
        </w:rPr>
      </w:pPr>
      <w:r>
        <w:rPr>
          <w:rFonts w:ascii="Calibri" w:hAnsi="Calibri" w:cs="Calibri"/>
          <w:bCs/>
          <w:sz w:val="22"/>
          <w:szCs w:val="22"/>
        </w:rPr>
        <w:t>d) předložit v rámci vyúčtování dotace důkaz o informování veřejnosti (</w:t>
      </w:r>
      <w:proofErr w:type="spellStart"/>
      <w:r>
        <w:rPr>
          <w:rFonts w:ascii="Calibri" w:hAnsi="Calibri" w:cs="Calibri"/>
          <w:bCs/>
          <w:sz w:val="22"/>
          <w:szCs w:val="22"/>
        </w:rPr>
        <w:t>PrinScreen</w:t>
      </w:r>
      <w:proofErr w:type="spellEnd"/>
      <w:r>
        <w:rPr>
          <w:rFonts w:ascii="Calibri" w:hAnsi="Calibri" w:cs="Calibri"/>
          <w:bCs/>
          <w:sz w:val="22"/>
          <w:szCs w:val="22"/>
        </w:rPr>
        <w:t xml:space="preserve"> webové stránky, fotografie plakátu, příp. článek v tisku apod.)</w:t>
      </w:r>
    </w:p>
    <w:p w14:paraId="75A7C429" w14:textId="77777777" w:rsidR="007B0048" w:rsidRDefault="007B0048" w:rsidP="007B0048">
      <w:pPr>
        <w:rPr>
          <w:rFonts w:ascii="Calibri" w:hAnsi="Calibri" w:cs="Calibri"/>
          <w:b/>
          <w:bCs/>
          <w:sz w:val="22"/>
          <w:szCs w:val="22"/>
        </w:rPr>
      </w:pPr>
    </w:p>
    <w:p w14:paraId="4F52AC0C" w14:textId="77777777" w:rsidR="00402226" w:rsidRDefault="00402226" w:rsidP="00402226">
      <w:pPr>
        <w:jc w:val="center"/>
        <w:rPr>
          <w:rFonts w:ascii="Calibri" w:hAnsi="Calibri" w:cs="Calibri"/>
          <w:b/>
          <w:bCs/>
          <w:sz w:val="22"/>
          <w:szCs w:val="22"/>
        </w:rPr>
      </w:pPr>
      <w:r>
        <w:rPr>
          <w:rFonts w:ascii="Calibri" w:hAnsi="Calibri" w:cs="Calibri"/>
          <w:b/>
          <w:bCs/>
          <w:sz w:val="22"/>
          <w:szCs w:val="22"/>
        </w:rPr>
        <w:t>XI.</w:t>
      </w:r>
    </w:p>
    <w:p w14:paraId="319F214D" w14:textId="77777777" w:rsidR="00402226" w:rsidRDefault="00402226" w:rsidP="00402226">
      <w:pPr>
        <w:jc w:val="center"/>
        <w:rPr>
          <w:rFonts w:ascii="Calibri" w:hAnsi="Calibri" w:cs="Calibri"/>
          <w:b/>
          <w:bCs/>
          <w:sz w:val="22"/>
          <w:szCs w:val="22"/>
        </w:rPr>
      </w:pPr>
      <w:r>
        <w:rPr>
          <w:rFonts w:ascii="Calibri" w:hAnsi="Calibri" w:cs="Calibri"/>
          <w:b/>
          <w:bCs/>
          <w:sz w:val="22"/>
          <w:szCs w:val="22"/>
        </w:rPr>
        <w:t>Závěrečná ujednání</w:t>
      </w:r>
    </w:p>
    <w:p w14:paraId="40CD51C0" w14:textId="77777777" w:rsidR="00402226" w:rsidRDefault="00402226" w:rsidP="00402226">
      <w:pPr>
        <w:jc w:val="center"/>
        <w:rPr>
          <w:rFonts w:ascii="Calibri" w:hAnsi="Calibri" w:cs="Calibri"/>
          <w:b/>
          <w:bCs/>
          <w:sz w:val="22"/>
          <w:szCs w:val="22"/>
        </w:rPr>
      </w:pPr>
    </w:p>
    <w:p w14:paraId="1FC6173B" w14:textId="37E1B9C4" w:rsidR="00402226" w:rsidRDefault="00402226" w:rsidP="00402226">
      <w:pPr>
        <w:jc w:val="both"/>
        <w:rPr>
          <w:rFonts w:asciiTheme="minorHAnsi" w:hAnsiTheme="minorHAnsi" w:cstheme="minorHAnsi"/>
          <w:sz w:val="22"/>
          <w:szCs w:val="22"/>
        </w:rPr>
      </w:pPr>
      <w:r w:rsidRPr="00A57D40">
        <w:rPr>
          <w:rFonts w:asciiTheme="minorHAnsi" w:hAnsiTheme="minorHAnsi" w:cstheme="minorHAnsi"/>
          <w:sz w:val="22"/>
          <w:szCs w:val="22"/>
        </w:rPr>
        <w:t>1. Tato smlouva byla schválena usnesením ZM č. Z/</w:t>
      </w:r>
      <w:r w:rsidR="00726CC0">
        <w:rPr>
          <w:rFonts w:asciiTheme="minorHAnsi" w:hAnsiTheme="minorHAnsi" w:cstheme="minorHAnsi"/>
          <w:sz w:val="22"/>
          <w:szCs w:val="22"/>
        </w:rPr>
        <w:t>1923/3</w:t>
      </w:r>
      <w:r w:rsidRPr="00A57D40">
        <w:rPr>
          <w:rFonts w:asciiTheme="minorHAnsi" w:hAnsiTheme="minorHAnsi" w:cstheme="minorHAnsi"/>
          <w:sz w:val="22"/>
          <w:szCs w:val="22"/>
        </w:rPr>
        <w:t xml:space="preserve"> na jednání dne </w:t>
      </w:r>
      <w:r w:rsidR="008561DE">
        <w:rPr>
          <w:rFonts w:asciiTheme="minorHAnsi" w:hAnsiTheme="minorHAnsi" w:cstheme="minorHAnsi"/>
          <w:sz w:val="22"/>
          <w:szCs w:val="22"/>
        </w:rPr>
        <w:t>15.12.2022</w:t>
      </w:r>
      <w:r w:rsidRPr="00A57D40">
        <w:rPr>
          <w:rFonts w:asciiTheme="minorHAnsi" w:hAnsiTheme="minorHAnsi" w:cstheme="minorHAnsi"/>
          <w:sz w:val="22"/>
          <w:szCs w:val="22"/>
        </w:rPr>
        <w:t>.</w:t>
      </w:r>
      <w:r>
        <w:rPr>
          <w:rFonts w:asciiTheme="minorHAnsi" w:hAnsiTheme="minorHAnsi" w:cstheme="minorHAnsi"/>
          <w:sz w:val="22"/>
          <w:szCs w:val="22"/>
        </w:rPr>
        <w:t xml:space="preserve"> </w:t>
      </w:r>
    </w:p>
    <w:p w14:paraId="0D75FC2B" w14:textId="77777777" w:rsidR="00402226" w:rsidRDefault="00402226" w:rsidP="00402226">
      <w:pPr>
        <w:jc w:val="both"/>
        <w:rPr>
          <w:rFonts w:asciiTheme="minorHAnsi" w:hAnsiTheme="minorHAnsi" w:cstheme="minorHAnsi"/>
          <w:bCs/>
          <w:sz w:val="22"/>
          <w:szCs w:val="22"/>
        </w:rPr>
      </w:pPr>
    </w:p>
    <w:p w14:paraId="089FBBCE" w14:textId="77777777" w:rsidR="000F0946" w:rsidRDefault="000F0946" w:rsidP="000F0946">
      <w:pPr>
        <w:jc w:val="both"/>
        <w:rPr>
          <w:rFonts w:asciiTheme="minorHAnsi" w:hAnsiTheme="minorHAnsi" w:cstheme="minorHAnsi"/>
          <w:bCs/>
          <w:sz w:val="22"/>
          <w:szCs w:val="22"/>
        </w:rPr>
      </w:pPr>
      <w:bookmarkStart w:id="7" w:name="_Hlk116456170"/>
      <w:bookmarkStart w:id="8" w:name="_Hlk116476512"/>
      <w:r>
        <w:rPr>
          <w:rFonts w:asciiTheme="minorHAnsi" w:hAnsiTheme="minorHAnsi" w:cstheme="minorHAnsi"/>
          <w:bCs/>
          <w:sz w:val="22"/>
          <w:szCs w:val="22"/>
        </w:rPr>
        <w:t>2. Smlouva je vyhotovena ve 3 stejnopisech majících povahu originálu, z nichž příjemce obdrží 1 výtisk a 2 výtisky obdrží poskytovatel. Vztahy neupravené touto smlouvou se řídí příslušnými ustanoveními obecně závazných platných a účinných právních předpisů.</w:t>
      </w:r>
    </w:p>
    <w:bookmarkEnd w:id="7"/>
    <w:p w14:paraId="72F483B5" w14:textId="77777777" w:rsidR="000F0946" w:rsidRDefault="000F0946" w:rsidP="000F0946">
      <w:pPr>
        <w:jc w:val="both"/>
        <w:rPr>
          <w:rFonts w:asciiTheme="minorHAnsi" w:hAnsiTheme="minorHAnsi" w:cstheme="minorHAnsi"/>
          <w:bCs/>
          <w:sz w:val="22"/>
          <w:szCs w:val="22"/>
        </w:rPr>
      </w:pPr>
    </w:p>
    <w:p w14:paraId="296DA799" w14:textId="77777777" w:rsidR="000F0946" w:rsidRDefault="000F0946" w:rsidP="000F0946">
      <w:pPr>
        <w:jc w:val="both"/>
        <w:rPr>
          <w:rFonts w:asciiTheme="minorHAnsi" w:hAnsiTheme="minorHAnsi" w:cstheme="minorHAnsi"/>
          <w:bCs/>
          <w:sz w:val="22"/>
          <w:szCs w:val="22"/>
        </w:rPr>
      </w:pPr>
      <w:r>
        <w:rPr>
          <w:rFonts w:asciiTheme="minorHAnsi" w:hAnsiTheme="minorHAnsi" w:cstheme="minorHAnsi"/>
          <w:bCs/>
          <w:sz w:val="22"/>
          <w:szCs w:val="22"/>
        </w:rPr>
        <w:t>3. Změny a doplňky této smlouvy lze provádět pouze formou písemných číslovaných dodatků, podepsaných oběma smluvními stranami. Upřesnění či změny údajů (zejména adresa, číslo bankovního účtu, kontaktní osoba) stačí písemně sdělit poskytovateli dotace, pokud tento netrvá na uzavření dodatku ke smlouvě.</w:t>
      </w:r>
    </w:p>
    <w:p w14:paraId="6EC36156" w14:textId="77777777" w:rsidR="000F0946" w:rsidRDefault="000F0946" w:rsidP="000F0946">
      <w:pPr>
        <w:jc w:val="both"/>
        <w:rPr>
          <w:rFonts w:asciiTheme="minorHAnsi" w:hAnsiTheme="minorHAnsi" w:cstheme="minorHAnsi"/>
          <w:bCs/>
          <w:sz w:val="22"/>
          <w:szCs w:val="22"/>
        </w:rPr>
      </w:pPr>
    </w:p>
    <w:p w14:paraId="587A0864" w14:textId="77777777" w:rsidR="000F0946" w:rsidRDefault="000F0946" w:rsidP="000F0946">
      <w:pPr>
        <w:jc w:val="both"/>
        <w:rPr>
          <w:rFonts w:asciiTheme="minorHAnsi" w:hAnsiTheme="minorHAnsi" w:cstheme="minorHAnsi"/>
          <w:sz w:val="22"/>
          <w:szCs w:val="22"/>
        </w:rPr>
      </w:pPr>
      <w:r>
        <w:rPr>
          <w:rFonts w:asciiTheme="minorHAnsi" w:hAnsiTheme="minorHAnsi" w:cstheme="minorHAnsi"/>
          <w:sz w:val="22"/>
          <w:szCs w:val="22"/>
        </w:rPr>
        <w:t xml:space="preserve">4. Smluvní strany souhlasí s tím, aby tato </w:t>
      </w:r>
      <w:r w:rsidRPr="004E1A6C">
        <w:rPr>
          <w:rFonts w:asciiTheme="minorHAnsi" w:hAnsiTheme="minorHAnsi" w:cstheme="minorHAnsi"/>
          <w:sz w:val="22"/>
          <w:szCs w:val="22"/>
        </w:rPr>
        <w:t xml:space="preserve">smlouva </w:t>
      </w:r>
      <w:r>
        <w:rPr>
          <w:rFonts w:asciiTheme="minorHAnsi" w:hAnsiTheme="minorHAnsi" w:cstheme="minorHAnsi"/>
          <w:sz w:val="22"/>
          <w:szCs w:val="22"/>
        </w:rPr>
        <w:t xml:space="preserve">byla vedena v evidenci smluv vedené městem Litvínov, která bude přístupná dle zákona č. 106/1999 Sb., o svobodném přístupu k informacím ve znění pozdějších předpisů, a která obsahuje údaje o smluvních stranách, předmětu smlouvy, číselné označení a datum jejího uzavření. </w:t>
      </w:r>
    </w:p>
    <w:p w14:paraId="5CA0D0BF" w14:textId="77777777" w:rsidR="000F0946" w:rsidRDefault="000F0946" w:rsidP="000F0946">
      <w:pPr>
        <w:jc w:val="both"/>
        <w:rPr>
          <w:rFonts w:asciiTheme="minorHAnsi" w:hAnsiTheme="minorHAnsi" w:cstheme="minorHAnsi"/>
          <w:sz w:val="22"/>
          <w:szCs w:val="22"/>
        </w:rPr>
      </w:pPr>
    </w:p>
    <w:p w14:paraId="20752939" w14:textId="77777777" w:rsidR="000F0946" w:rsidRDefault="000F0946" w:rsidP="000F0946">
      <w:pPr>
        <w:jc w:val="both"/>
        <w:rPr>
          <w:rFonts w:asciiTheme="minorHAnsi" w:hAnsiTheme="minorHAnsi" w:cstheme="minorHAnsi"/>
          <w:sz w:val="22"/>
          <w:szCs w:val="22"/>
        </w:rPr>
      </w:pPr>
      <w:r>
        <w:rPr>
          <w:rFonts w:asciiTheme="minorHAnsi" w:hAnsiTheme="minorHAnsi" w:cstheme="minorHAnsi"/>
          <w:sz w:val="22"/>
          <w:szCs w:val="22"/>
        </w:rPr>
        <w:t>5. Smluvní strany prohlašují, že skutečnosti uvedené v této smlouvě nepovažují za obchodní tajemství a udělují svolení k jejich zpřístupnění ve smyslu zákona č. 106/1999 Sb., o svobodném přístupu k informacím ve znění pozdějších předpisů.</w:t>
      </w:r>
    </w:p>
    <w:bookmarkEnd w:id="8"/>
    <w:p w14:paraId="1E1C6E9F" w14:textId="77777777" w:rsidR="000F0946" w:rsidRDefault="000F0946" w:rsidP="00A8038C">
      <w:pPr>
        <w:jc w:val="both"/>
        <w:rPr>
          <w:rFonts w:asciiTheme="minorHAnsi" w:hAnsiTheme="minorHAnsi" w:cstheme="minorHAnsi"/>
          <w:sz w:val="22"/>
          <w:szCs w:val="22"/>
        </w:rPr>
      </w:pPr>
    </w:p>
    <w:p w14:paraId="37792F82" w14:textId="164621CC" w:rsidR="00A8038C" w:rsidRPr="00066059" w:rsidRDefault="00402226" w:rsidP="00A8038C">
      <w:pPr>
        <w:jc w:val="both"/>
        <w:rPr>
          <w:rFonts w:ascii="Calibri" w:hAnsi="Calibri" w:cs="Calibri"/>
          <w:bCs/>
          <w:sz w:val="22"/>
          <w:szCs w:val="22"/>
        </w:rPr>
      </w:pPr>
      <w:r>
        <w:rPr>
          <w:rFonts w:asciiTheme="minorHAnsi" w:hAnsiTheme="minorHAnsi" w:cstheme="minorHAnsi"/>
          <w:sz w:val="22"/>
          <w:szCs w:val="22"/>
        </w:rPr>
        <w:t xml:space="preserve">6. Příjemce bere na vědomí, že tato smlouva bude poskytovatelem zveřejněna v registru smluv dle podmínek ustanovení zákona č. 340/2015 Sb., o registru smluv, </w:t>
      </w:r>
      <w:r w:rsidR="003E3AD8">
        <w:rPr>
          <w:rFonts w:asciiTheme="minorHAnsi" w:hAnsiTheme="minorHAnsi" w:cstheme="minorHAnsi"/>
          <w:sz w:val="22"/>
          <w:szCs w:val="22"/>
        </w:rPr>
        <w:t>ve znění pozdějších předpisů</w:t>
      </w:r>
      <w:r>
        <w:rPr>
          <w:rFonts w:asciiTheme="minorHAnsi" w:hAnsiTheme="minorHAnsi" w:cstheme="minorHAnsi"/>
          <w:sz w:val="22"/>
          <w:szCs w:val="22"/>
        </w:rPr>
        <w:t>. Tato smlouva bude dle podmínek ustanovení § 10d zákona č. 250/2000 Sb., o rozpočtových pravidlech územních rozpočtů v</w:t>
      </w:r>
      <w:r w:rsidR="00966E4D">
        <w:rPr>
          <w:rFonts w:asciiTheme="minorHAnsi" w:hAnsiTheme="minorHAnsi" w:cstheme="minorHAnsi"/>
          <w:sz w:val="22"/>
          <w:szCs w:val="22"/>
        </w:rPr>
        <w:t>e</w:t>
      </w:r>
      <w:r>
        <w:rPr>
          <w:rFonts w:asciiTheme="minorHAnsi" w:hAnsiTheme="minorHAnsi" w:cstheme="minorHAnsi"/>
          <w:sz w:val="22"/>
          <w:szCs w:val="22"/>
        </w:rPr>
        <w:t xml:space="preserve"> znění</w:t>
      </w:r>
      <w:r w:rsidR="00966E4D">
        <w:rPr>
          <w:rFonts w:asciiTheme="minorHAnsi" w:hAnsiTheme="minorHAnsi" w:cstheme="minorHAnsi"/>
          <w:sz w:val="22"/>
          <w:szCs w:val="22"/>
        </w:rPr>
        <w:t xml:space="preserve"> pozdějších předpisů</w:t>
      </w:r>
      <w:r>
        <w:rPr>
          <w:rFonts w:asciiTheme="minorHAnsi" w:hAnsiTheme="minorHAnsi" w:cstheme="minorHAnsi"/>
          <w:sz w:val="22"/>
          <w:szCs w:val="22"/>
        </w:rPr>
        <w:t>, poskytovatelem zveřejněna na úřední desce po stanovenou dobu.</w:t>
      </w:r>
      <w:r w:rsidR="00A8038C">
        <w:rPr>
          <w:rFonts w:asciiTheme="minorHAnsi" w:hAnsiTheme="minorHAnsi" w:cstheme="minorHAnsi"/>
          <w:sz w:val="22"/>
          <w:szCs w:val="22"/>
        </w:rPr>
        <w:t xml:space="preserve"> </w:t>
      </w:r>
    </w:p>
    <w:p w14:paraId="27B42172" w14:textId="77777777" w:rsidR="00402226" w:rsidRDefault="00402226" w:rsidP="00402226">
      <w:pPr>
        <w:jc w:val="both"/>
        <w:rPr>
          <w:rFonts w:asciiTheme="minorHAnsi" w:hAnsiTheme="minorHAnsi" w:cstheme="minorHAnsi"/>
          <w:sz w:val="22"/>
          <w:szCs w:val="22"/>
        </w:rPr>
      </w:pPr>
    </w:p>
    <w:p w14:paraId="29FF9C0B" w14:textId="43CC7C1D" w:rsidR="00402226" w:rsidRDefault="00966E4D" w:rsidP="00402226">
      <w:pPr>
        <w:jc w:val="both"/>
        <w:rPr>
          <w:rFonts w:asciiTheme="minorHAnsi" w:hAnsiTheme="minorHAnsi" w:cstheme="minorHAnsi"/>
          <w:sz w:val="22"/>
          <w:szCs w:val="22"/>
        </w:rPr>
      </w:pPr>
      <w:r>
        <w:rPr>
          <w:rFonts w:asciiTheme="minorHAnsi" w:hAnsiTheme="minorHAnsi" w:cstheme="minorHAnsi"/>
          <w:sz w:val="22"/>
          <w:szCs w:val="22"/>
        </w:rPr>
        <w:t xml:space="preserve">7. Tato smlouva nabývá platnosti dnem podpisu smluvních stran a nabývá účinnosti dnem, kdy město Litvínov uveřejní smlouvu v informačním systému registru smluv dle podmínek ustanovení zákona č. 340/2015 Sb., o registru smluv </w:t>
      </w:r>
      <w:r w:rsidR="00620450">
        <w:rPr>
          <w:rFonts w:asciiTheme="minorHAnsi" w:hAnsiTheme="minorHAnsi" w:cstheme="minorHAnsi"/>
          <w:sz w:val="22"/>
          <w:szCs w:val="22"/>
        </w:rPr>
        <w:t>ve znění pozdějších předpisů.</w:t>
      </w:r>
    </w:p>
    <w:p w14:paraId="53BE3A95" w14:textId="77777777" w:rsidR="00620450" w:rsidRDefault="00620450" w:rsidP="00402226">
      <w:pPr>
        <w:jc w:val="both"/>
        <w:rPr>
          <w:rFonts w:asciiTheme="minorHAnsi" w:hAnsiTheme="minorHAnsi" w:cstheme="minorHAnsi"/>
          <w:sz w:val="22"/>
          <w:szCs w:val="22"/>
        </w:rPr>
      </w:pPr>
    </w:p>
    <w:p w14:paraId="4E121821" w14:textId="77777777" w:rsidR="00402226" w:rsidRDefault="00402226" w:rsidP="00402226">
      <w:pPr>
        <w:jc w:val="both"/>
        <w:rPr>
          <w:rFonts w:asciiTheme="minorHAnsi" w:hAnsiTheme="minorHAnsi" w:cstheme="minorHAnsi"/>
          <w:bCs/>
          <w:sz w:val="22"/>
          <w:szCs w:val="22"/>
        </w:rPr>
      </w:pPr>
      <w:r>
        <w:rPr>
          <w:rFonts w:asciiTheme="minorHAnsi" w:hAnsiTheme="minorHAnsi" w:cstheme="minorHAnsi"/>
          <w:bCs/>
          <w:sz w:val="22"/>
          <w:szCs w:val="22"/>
        </w:rPr>
        <w:t>8</w:t>
      </w:r>
      <w:r w:rsidRPr="00CC620E">
        <w:rPr>
          <w:rFonts w:asciiTheme="minorHAnsi" w:hAnsiTheme="minorHAnsi" w:cstheme="minorHAnsi"/>
          <w:bCs/>
          <w:sz w:val="22"/>
          <w:szCs w:val="22"/>
        </w:rPr>
        <w:t xml:space="preserve">. </w:t>
      </w:r>
      <w:r w:rsidRPr="00DF6B27">
        <w:rPr>
          <w:rFonts w:asciiTheme="minorHAnsi" w:hAnsiTheme="minorHAnsi" w:cstheme="minorHAnsi"/>
          <w:bCs/>
          <w:sz w:val="22"/>
          <w:szCs w:val="22"/>
        </w:rPr>
        <w:t>Podpisem této smlouvy příjemce stvrzuje, že byl seznámen s charakterem poskytované neinvestiční dotace, jakožto podpory poskytnuté v režimu Rozhodnutí služby obecného hospodářského zájmu dle Rozhodnutí Komise 2012/21/EU ze dne 20.12.2011 o použití čl. 106 odst. 2 Smlouvy o fungování EU a s následky vyplývajícími především z nedodržení závazků obsažených v ustanoveních této smlouvy, „SOHZ“ a s následky vyplývajícími z nedodržení obecně závazných, platných právních předpisů.</w:t>
      </w:r>
    </w:p>
    <w:p w14:paraId="2734846E" w14:textId="77777777" w:rsidR="00402226" w:rsidRDefault="00402226" w:rsidP="00402226">
      <w:pPr>
        <w:jc w:val="both"/>
        <w:rPr>
          <w:rFonts w:asciiTheme="minorHAnsi" w:hAnsiTheme="minorHAnsi" w:cstheme="minorHAnsi"/>
          <w:sz w:val="22"/>
          <w:szCs w:val="22"/>
        </w:rPr>
      </w:pPr>
    </w:p>
    <w:p w14:paraId="0BCE028E" w14:textId="5BF9A6D5" w:rsidR="000F0946" w:rsidRDefault="000F0946" w:rsidP="000F0946">
      <w:pPr>
        <w:jc w:val="both"/>
        <w:rPr>
          <w:rFonts w:asciiTheme="minorHAnsi" w:hAnsiTheme="minorHAnsi" w:cstheme="minorHAnsi"/>
          <w:sz w:val="22"/>
          <w:szCs w:val="22"/>
        </w:rPr>
      </w:pPr>
      <w:r>
        <w:rPr>
          <w:rFonts w:asciiTheme="minorHAnsi" w:hAnsiTheme="minorHAnsi" w:cstheme="minorHAnsi"/>
          <w:sz w:val="22"/>
          <w:szCs w:val="22"/>
        </w:rPr>
        <w:t>9. Pokud příjemce neinvestiční dotace nepředloží řádné vyúčtování poskytnutých finančních prostředků, neobdrží v následujících 5 letech v dalších dotačních řízeních žádné finanční prostředky z rozpočtu města.</w:t>
      </w:r>
    </w:p>
    <w:p w14:paraId="1B5E4D73" w14:textId="77777777" w:rsidR="000F0946" w:rsidRDefault="000F0946" w:rsidP="00402226">
      <w:pPr>
        <w:jc w:val="both"/>
        <w:rPr>
          <w:rFonts w:asciiTheme="minorHAnsi" w:hAnsiTheme="minorHAnsi" w:cstheme="minorHAnsi"/>
          <w:bCs/>
          <w:sz w:val="22"/>
          <w:szCs w:val="22"/>
        </w:rPr>
      </w:pPr>
    </w:p>
    <w:p w14:paraId="482578FE" w14:textId="31120197" w:rsidR="00402226" w:rsidRDefault="000F0946" w:rsidP="00402226">
      <w:pPr>
        <w:jc w:val="both"/>
        <w:rPr>
          <w:rFonts w:asciiTheme="minorHAnsi" w:hAnsiTheme="minorHAnsi" w:cstheme="minorHAnsi"/>
          <w:bCs/>
          <w:sz w:val="22"/>
          <w:szCs w:val="22"/>
        </w:rPr>
      </w:pPr>
      <w:r>
        <w:rPr>
          <w:rFonts w:asciiTheme="minorHAnsi" w:hAnsiTheme="minorHAnsi" w:cstheme="minorHAnsi"/>
          <w:bCs/>
          <w:sz w:val="22"/>
          <w:szCs w:val="22"/>
        </w:rPr>
        <w:t>10</w:t>
      </w:r>
      <w:r w:rsidR="00402226">
        <w:rPr>
          <w:rFonts w:asciiTheme="minorHAnsi" w:hAnsiTheme="minorHAnsi" w:cstheme="minorHAnsi"/>
          <w:bCs/>
          <w:sz w:val="22"/>
          <w:szCs w:val="22"/>
        </w:rPr>
        <w:t>. Na důkaz výslovného souhlasu s obsahem a všemi ustanoveními této smlouvy a své pravé, svobodné a vážné vůle, je tato smlouva po jejím přečtení smluvními stranami vlastnoručně podepsána.</w:t>
      </w:r>
    </w:p>
    <w:p w14:paraId="609F7F0A" w14:textId="77777777" w:rsidR="00402226" w:rsidRDefault="00402226" w:rsidP="00402226">
      <w:pPr>
        <w:jc w:val="both"/>
        <w:rPr>
          <w:rFonts w:ascii="Calibri" w:hAnsi="Calibri" w:cs="Calibri"/>
          <w:b/>
          <w:bCs/>
          <w:sz w:val="22"/>
          <w:szCs w:val="22"/>
        </w:rPr>
      </w:pPr>
    </w:p>
    <w:p w14:paraId="40DC5F25" w14:textId="77777777" w:rsidR="00A332B6" w:rsidRDefault="00A332B6" w:rsidP="00A332B6">
      <w:pPr>
        <w:rPr>
          <w:rFonts w:ascii="Calibri" w:hAnsi="Calibri" w:cs="Calibri"/>
          <w:sz w:val="22"/>
          <w:szCs w:val="22"/>
        </w:rPr>
      </w:pPr>
      <w:r>
        <w:rPr>
          <w:rFonts w:ascii="Calibri" w:hAnsi="Calibri" w:cs="Calibri"/>
          <w:sz w:val="22"/>
          <w:szCs w:val="22"/>
        </w:rPr>
        <w:t>Příloha: Pravidla pro poskytování dotací z rozpočtu města Litvínova</w:t>
      </w:r>
    </w:p>
    <w:p w14:paraId="61D98982" w14:textId="67BD44C0" w:rsidR="00402226" w:rsidRPr="00C326FF" w:rsidRDefault="00A332B6" w:rsidP="00402226">
      <w:pPr>
        <w:jc w:val="both"/>
        <w:rPr>
          <w:rFonts w:ascii="Calibri" w:hAnsi="Calibri" w:cs="Calibri"/>
          <w:b/>
          <w:bCs/>
          <w:sz w:val="22"/>
          <w:szCs w:val="22"/>
        </w:rPr>
      </w:pPr>
      <w:r>
        <w:rPr>
          <w:rFonts w:ascii="Calibri" w:hAnsi="Calibri" w:cs="Calibri"/>
          <w:b/>
          <w:bCs/>
          <w:sz w:val="22"/>
          <w:szCs w:val="22"/>
        </w:rPr>
        <w:tab/>
      </w:r>
    </w:p>
    <w:p w14:paraId="717D2920" w14:textId="77777777" w:rsidR="00402226" w:rsidRPr="009679B4" w:rsidRDefault="00402226" w:rsidP="00402226">
      <w:pPr>
        <w:rPr>
          <w:rFonts w:ascii="Calibri" w:hAnsi="Calibri" w:cs="Calibri"/>
          <w:sz w:val="22"/>
          <w:szCs w:val="22"/>
        </w:rPr>
      </w:pPr>
      <w:r w:rsidRPr="009679B4">
        <w:rPr>
          <w:rFonts w:ascii="Calibri" w:hAnsi="Calibri" w:cs="Calibri"/>
          <w:sz w:val="22"/>
          <w:szCs w:val="22"/>
        </w:rPr>
        <w:t>V Litvínově dne ……………</w:t>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V Litvínově dne ……………</w:t>
      </w:r>
    </w:p>
    <w:p w14:paraId="699F95DA" w14:textId="77777777" w:rsidR="00402226" w:rsidRPr="009679B4" w:rsidRDefault="00402226" w:rsidP="00402226">
      <w:pPr>
        <w:rPr>
          <w:rFonts w:ascii="Calibri" w:hAnsi="Calibri" w:cs="Calibri"/>
          <w:sz w:val="22"/>
          <w:szCs w:val="22"/>
        </w:rPr>
      </w:pPr>
    </w:p>
    <w:p w14:paraId="2A44B552" w14:textId="77777777" w:rsidR="00402226" w:rsidRDefault="00402226" w:rsidP="00402226">
      <w:pPr>
        <w:jc w:val="both"/>
        <w:rPr>
          <w:rFonts w:ascii="Calibri" w:hAnsi="Calibri" w:cs="Calibri"/>
          <w:sz w:val="22"/>
          <w:szCs w:val="22"/>
        </w:rPr>
      </w:pPr>
    </w:p>
    <w:p w14:paraId="28ECDE90" w14:textId="2C3C5B62" w:rsidR="00402226" w:rsidRDefault="00402226" w:rsidP="00402226">
      <w:pPr>
        <w:jc w:val="both"/>
        <w:rPr>
          <w:rFonts w:ascii="Calibri" w:hAnsi="Calibri" w:cs="Calibri"/>
          <w:sz w:val="22"/>
          <w:szCs w:val="22"/>
        </w:rPr>
      </w:pPr>
    </w:p>
    <w:p w14:paraId="228A8CD4" w14:textId="38496CC5" w:rsidR="0036665F" w:rsidRDefault="0036665F" w:rsidP="00402226">
      <w:pPr>
        <w:jc w:val="both"/>
        <w:rPr>
          <w:rFonts w:ascii="Calibri" w:hAnsi="Calibri" w:cs="Calibri"/>
          <w:sz w:val="22"/>
          <w:szCs w:val="22"/>
        </w:rPr>
      </w:pPr>
    </w:p>
    <w:p w14:paraId="73DE8D8A" w14:textId="77777777" w:rsidR="0036665F" w:rsidRDefault="0036665F" w:rsidP="00402226">
      <w:pPr>
        <w:jc w:val="both"/>
        <w:rPr>
          <w:rFonts w:ascii="Calibri" w:hAnsi="Calibri" w:cs="Calibri"/>
          <w:sz w:val="22"/>
          <w:szCs w:val="22"/>
        </w:rPr>
      </w:pPr>
    </w:p>
    <w:p w14:paraId="2222F0A3" w14:textId="77777777" w:rsidR="00402226" w:rsidRPr="009679B4" w:rsidRDefault="00402226" w:rsidP="00402226">
      <w:pPr>
        <w:jc w:val="both"/>
        <w:rPr>
          <w:rFonts w:ascii="Calibri" w:hAnsi="Calibri" w:cs="Calibri"/>
          <w:sz w:val="22"/>
          <w:szCs w:val="22"/>
        </w:rPr>
      </w:pPr>
    </w:p>
    <w:p w14:paraId="31766B24" w14:textId="77777777" w:rsidR="00402226" w:rsidRPr="009679B4" w:rsidRDefault="00402226" w:rsidP="00402226">
      <w:pPr>
        <w:jc w:val="both"/>
        <w:rPr>
          <w:rFonts w:ascii="Calibri" w:hAnsi="Calibri" w:cs="Calibri"/>
          <w:sz w:val="22"/>
          <w:szCs w:val="22"/>
        </w:rPr>
      </w:pPr>
    </w:p>
    <w:p w14:paraId="26F91A53" w14:textId="77777777" w:rsidR="00402226" w:rsidRPr="009679B4" w:rsidRDefault="00402226" w:rsidP="00402226">
      <w:pPr>
        <w:jc w:val="both"/>
        <w:rPr>
          <w:rFonts w:ascii="Calibri" w:hAnsi="Calibri" w:cs="Calibri"/>
          <w:sz w:val="22"/>
          <w:szCs w:val="22"/>
        </w:rPr>
      </w:pP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p>
    <w:p w14:paraId="3D739840" w14:textId="0C09706A" w:rsidR="00402226" w:rsidRPr="009679B4" w:rsidRDefault="00402226" w:rsidP="00402226">
      <w:pPr>
        <w:jc w:val="both"/>
        <w:rPr>
          <w:rFonts w:ascii="Calibri" w:hAnsi="Calibri" w:cs="Calibri"/>
          <w:sz w:val="22"/>
          <w:szCs w:val="22"/>
        </w:rPr>
      </w:pPr>
      <w:r w:rsidRPr="009679B4">
        <w:rPr>
          <w:rFonts w:ascii="Calibri" w:hAnsi="Calibri" w:cs="Calibri"/>
          <w:sz w:val="22"/>
          <w:szCs w:val="22"/>
        </w:rPr>
        <w:t xml:space="preserve">   Ing. </w:t>
      </w:r>
      <w:r w:rsidR="004A0926">
        <w:rPr>
          <w:rFonts w:ascii="Calibri" w:hAnsi="Calibri" w:cs="Calibri"/>
          <w:sz w:val="22"/>
          <w:szCs w:val="22"/>
        </w:rPr>
        <w:t>Petra Havlová</w:t>
      </w:r>
      <w:r>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w:t>
      </w:r>
      <w:r w:rsidR="00A332B6">
        <w:rPr>
          <w:rFonts w:ascii="Calibri" w:hAnsi="Calibri" w:cs="Calibri"/>
          <w:sz w:val="22"/>
          <w:szCs w:val="22"/>
        </w:rPr>
        <w:t>Mgr. Kamila Bláhová</w:t>
      </w:r>
    </w:p>
    <w:p w14:paraId="16A4AEA3" w14:textId="630371A2" w:rsidR="00402226" w:rsidRPr="009679B4" w:rsidRDefault="00402226" w:rsidP="00402226">
      <w:pPr>
        <w:jc w:val="both"/>
        <w:rPr>
          <w:rFonts w:ascii="Calibri" w:hAnsi="Calibri" w:cs="Calibri"/>
          <w:sz w:val="22"/>
          <w:szCs w:val="22"/>
        </w:rPr>
      </w:pPr>
      <w:r>
        <w:rPr>
          <w:rFonts w:ascii="Calibri" w:hAnsi="Calibri" w:cs="Calibri"/>
          <w:sz w:val="22"/>
          <w:szCs w:val="22"/>
        </w:rPr>
        <w:t xml:space="preserve">   jednatelka</w:t>
      </w:r>
      <w:r>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starost</w:t>
      </w:r>
      <w:r w:rsidR="00A332B6">
        <w:rPr>
          <w:rFonts w:ascii="Calibri" w:hAnsi="Calibri" w:cs="Calibri"/>
          <w:sz w:val="22"/>
          <w:szCs w:val="22"/>
        </w:rPr>
        <w:t>k</w:t>
      </w:r>
      <w:r w:rsidRPr="009679B4">
        <w:rPr>
          <w:rFonts w:ascii="Calibri" w:hAnsi="Calibri" w:cs="Calibri"/>
          <w:sz w:val="22"/>
          <w:szCs w:val="22"/>
        </w:rPr>
        <w:t xml:space="preserve">a města                 </w:t>
      </w:r>
    </w:p>
    <w:p w14:paraId="46CC5F75" w14:textId="77777777" w:rsidR="00402226" w:rsidRDefault="00402226" w:rsidP="00402226">
      <w:pPr>
        <w:jc w:val="both"/>
        <w:rPr>
          <w:rFonts w:ascii="Calibri" w:hAnsi="Calibri" w:cs="Calibri"/>
          <w:sz w:val="22"/>
          <w:szCs w:val="22"/>
        </w:rPr>
      </w:pPr>
    </w:p>
    <w:p w14:paraId="722ABA5F" w14:textId="1B5B896F" w:rsidR="00402226" w:rsidRDefault="00402226" w:rsidP="00402226">
      <w:pPr>
        <w:jc w:val="both"/>
        <w:rPr>
          <w:rFonts w:asciiTheme="minorHAnsi" w:hAnsiTheme="minorHAnsi" w:cs="Calibri"/>
          <w:sz w:val="22"/>
          <w:szCs w:val="22"/>
        </w:rPr>
      </w:pPr>
    </w:p>
    <w:p w14:paraId="21B41868" w14:textId="77777777" w:rsidR="00F46E7D" w:rsidRPr="0008506C" w:rsidRDefault="00F46E7D" w:rsidP="00402226">
      <w:pPr>
        <w:jc w:val="both"/>
        <w:rPr>
          <w:rFonts w:asciiTheme="minorHAnsi" w:hAnsiTheme="minorHAnsi" w:cs="Calibri"/>
          <w:sz w:val="22"/>
          <w:szCs w:val="22"/>
        </w:rPr>
      </w:pPr>
    </w:p>
    <w:p w14:paraId="6C3CC6EB" w14:textId="56A05D6F" w:rsidR="00402226" w:rsidRPr="0008506C" w:rsidRDefault="00402226" w:rsidP="00402226">
      <w:pPr>
        <w:rPr>
          <w:rFonts w:asciiTheme="minorHAnsi" w:hAnsiTheme="minorHAnsi" w:cs="Arial"/>
        </w:rPr>
      </w:pPr>
      <w:r w:rsidRPr="0008506C">
        <w:rPr>
          <w:rFonts w:asciiTheme="minorHAnsi" w:hAnsiTheme="minorHAnsi" w:cs="Arial"/>
        </w:rPr>
        <w:tab/>
      </w:r>
      <w:r w:rsidRPr="0008506C">
        <w:rPr>
          <w:rFonts w:asciiTheme="minorHAnsi" w:hAnsiTheme="minorHAnsi" w:cs="Arial"/>
        </w:rPr>
        <w:tab/>
      </w:r>
      <w:r w:rsidRPr="0008506C">
        <w:rPr>
          <w:rFonts w:asciiTheme="minorHAnsi" w:hAnsiTheme="minorHAnsi" w:cs="Arial"/>
        </w:rPr>
        <w:tab/>
      </w:r>
      <w:r w:rsidRPr="0008506C">
        <w:rPr>
          <w:rFonts w:asciiTheme="minorHAnsi" w:hAnsiTheme="minorHAnsi" w:cs="Arial"/>
        </w:rPr>
        <w:tab/>
      </w:r>
      <w:r w:rsidRPr="0008506C">
        <w:rPr>
          <w:rFonts w:asciiTheme="minorHAnsi" w:hAnsiTheme="minorHAnsi" w:cs="Arial"/>
        </w:rPr>
        <w:tab/>
      </w:r>
      <w:r w:rsidRPr="0008506C">
        <w:rPr>
          <w:rFonts w:asciiTheme="minorHAnsi" w:hAnsiTheme="minorHAnsi" w:cs="Arial"/>
        </w:rPr>
        <w:tab/>
        <w:t xml:space="preserve">                                       Smlouva číslo: KT/</w:t>
      </w:r>
      <w:r w:rsidR="008561DE">
        <w:rPr>
          <w:rFonts w:asciiTheme="minorHAnsi" w:hAnsiTheme="minorHAnsi" w:cs="Arial"/>
        </w:rPr>
        <w:t>12215/22</w:t>
      </w:r>
    </w:p>
    <w:p w14:paraId="72A821AD" w14:textId="77777777" w:rsidR="00402226" w:rsidRPr="0008506C" w:rsidRDefault="00402226" w:rsidP="00402226">
      <w:pPr>
        <w:rPr>
          <w:rFonts w:asciiTheme="minorHAnsi" w:hAnsiTheme="minorHAnsi" w:cs="Arial"/>
        </w:rPr>
      </w:pPr>
      <w:r w:rsidRPr="0008506C">
        <w:rPr>
          <w:rFonts w:asciiTheme="minorHAnsi" w:hAnsiTheme="minorHAnsi" w:cs="Arial"/>
        </w:rPr>
        <w:tab/>
      </w:r>
      <w:r w:rsidRPr="0008506C">
        <w:rPr>
          <w:rFonts w:asciiTheme="minorHAnsi" w:hAnsiTheme="minorHAnsi" w:cs="Arial"/>
        </w:rPr>
        <w:tab/>
      </w:r>
    </w:p>
    <w:tbl>
      <w:tblPr>
        <w:tblW w:w="5127" w:type="pct"/>
        <w:tblCellMar>
          <w:left w:w="10" w:type="dxa"/>
          <w:right w:w="10" w:type="dxa"/>
        </w:tblCellMar>
        <w:tblLook w:val="0000" w:firstRow="0" w:lastRow="0" w:firstColumn="0" w:lastColumn="0" w:noHBand="0" w:noVBand="0"/>
      </w:tblPr>
      <w:tblGrid>
        <w:gridCol w:w="2000"/>
        <w:gridCol w:w="1301"/>
        <w:gridCol w:w="2068"/>
        <w:gridCol w:w="1730"/>
        <w:gridCol w:w="2173"/>
      </w:tblGrid>
      <w:tr w:rsidR="00402226" w:rsidRPr="0008506C" w14:paraId="76AE71F4" w14:textId="77777777" w:rsidTr="000F0946">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720D0E0" w14:textId="77777777" w:rsidR="00402226" w:rsidRPr="0008506C" w:rsidRDefault="00402226" w:rsidP="00F438C9">
            <w:pPr>
              <w:rPr>
                <w:rFonts w:asciiTheme="minorHAnsi" w:hAnsiTheme="minorHAnsi" w:cs="Arial"/>
              </w:rPr>
            </w:pPr>
            <w:r w:rsidRPr="0008506C">
              <w:rPr>
                <w:rFonts w:asciiTheme="minorHAnsi" w:hAnsiTheme="minorHAnsi" w:cs="Arial"/>
              </w:rPr>
              <w:t xml:space="preserve"> </w:t>
            </w:r>
          </w:p>
        </w:tc>
        <w:tc>
          <w:tcPr>
            <w:tcW w:w="1301"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0F9F1ED" w14:textId="77777777" w:rsidR="00402226" w:rsidRPr="0008506C" w:rsidRDefault="00402226" w:rsidP="00F438C9">
            <w:pPr>
              <w:jc w:val="center"/>
              <w:rPr>
                <w:rFonts w:asciiTheme="minorHAnsi" w:hAnsiTheme="minorHAnsi" w:cs="Arial"/>
                <w:b/>
              </w:rPr>
            </w:pPr>
            <w:r w:rsidRPr="0008506C">
              <w:rPr>
                <w:rFonts w:asciiTheme="minorHAnsi" w:hAnsiTheme="minorHAnsi" w:cs="Arial"/>
                <w:b/>
              </w:rPr>
              <w:t>Datum</w:t>
            </w:r>
          </w:p>
        </w:tc>
        <w:tc>
          <w:tcPr>
            <w:tcW w:w="20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FC2CEB1" w14:textId="77777777" w:rsidR="00402226" w:rsidRPr="0008506C" w:rsidRDefault="00402226" w:rsidP="00F438C9">
            <w:pPr>
              <w:jc w:val="center"/>
              <w:rPr>
                <w:rFonts w:asciiTheme="minorHAnsi" w:hAnsiTheme="minorHAnsi" w:cs="Arial"/>
                <w:b/>
              </w:rPr>
            </w:pPr>
            <w:r w:rsidRPr="0008506C">
              <w:rPr>
                <w:rFonts w:asciiTheme="minorHAnsi" w:hAnsiTheme="minorHAnsi" w:cs="Arial"/>
                <w:b/>
              </w:rPr>
              <w:t>Jméno</w:t>
            </w:r>
          </w:p>
        </w:tc>
        <w:tc>
          <w:tcPr>
            <w:tcW w:w="173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F801B9E" w14:textId="77777777" w:rsidR="00402226" w:rsidRPr="0008506C" w:rsidRDefault="00402226" w:rsidP="00F438C9">
            <w:pPr>
              <w:jc w:val="center"/>
              <w:rPr>
                <w:rFonts w:asciiTheme="minorHAnsi" w:hAnsiTheme="minorHAnsi" w:cs="Arial"/>
                <w:b/>
              </w:rPr>
            </w:pPr>
            <w:r w:rsidRPr="0008506C">
              <w:rPr>
                <w:rFonts w:asciiTheme="minorHAnsi" w:hAnsiTheme="minorHAnsi" w:cs="Arial"/>
                <w:b/>
              </w:rPr>
              <w:t>Funkce</w:t>
            </w:r>
          </w:p>
        </w:tc>
        <w:tc>
          <w:tcPr>
            <w:tcW w:w="217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0B04E09" w14:textId="77777777" w:rsidR="00402226" w:rsidRPr="0008506C" w:rsidRDefault="00402226" w:rsidP="00F438C9">
            <w:pPr>
              <w:jc w:val="center"/>
              <w:rPr>
                <w:rFonts w:asciiTheme="minorHAnsi" w:hAnsiTheme="minorHAnsi" w:cs="Arial"/>
                <w:b/>
              </w:rPr>
            </w:pPr>
            <w:r w:rsidRPr="0008506C">
              <w:rPr>
                <w:rFonts w:asciiTheme="minorHAnsi" w:hAnsiTheme="minorHAnsi" w:cs="Arial"/>
                <w:b/>
              </w:rPr>
              <w:t>Podpis</w:t>
            </w:r>
          </w:p>
        </w:tc>
      </w:tr>
      <w:tr w:rsidR="00402226" w:rsidRPr="0008506C" w14:paraId="146613C6" w14:textId="77777777" w:rsidTr="000F0946">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D5690CF" w14:textId="77777777" w:rsidR="00402226" w:rsidRPr="0008506C" w:rsidRDefault="00402226" w:rsidP="00F438C9">
            <w:pPr>
              <w:rPr>
                <w:rFonts w:asciiTheme="minorHAnsi" w:hAnsiTheme="minorHAnsi" w:cs="Arial"/>
                <w:b/>
              </w:rPr>
            </w:pPr>
            <w:r w:rsidRPr="0008506C">
              <w:rPr>
                <w:rFonts w:asciiTheme="minorHAnsi" w:hAnsiTheme="minorHAnsi" w:cs="Arial"/>
                <w:b/>
              </w:rPr>
              <w:t xml:space="preserve">Zpracoval:  </w:t>
            </w:r>
          </w:p>
        </w:tc>
        <w:tc>
          <w:tcPr>
            <w:tcW w:w="1301" w:type="dxa"/>
            <w:tcBorders>
              <w:top w:val="single" w:sz="1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1CFE0FB8" w14:textId="59921E68" w:rsidR="00402226" w:rsidRPr="0008506C" w:rsidRDefault="001A21FC" w:rsidP="00F438C9">
            <w:pPr>
              <w:rPr>
                <w:rFonts w:asciiTheme="minorHAnsi" w:hAnsiTheme="minorHAnsi" w:cs="Arial"/>
              </w:rPr>
            </w:pPr>
            <w:r>
              <w:rPr>
                <w:rFonts w:asciiTheme="minorHAnsi" w:hAnsiTheme="minorHAnsi" w:cs="Arial"/>
              </w:rPr>
              <w:t>08.11.2022</w:t>
            </w:r>
          </w:p>
        </w:tc>
        <w:tc>
          <w:tcPr>
            <w:tcW w:w="2068"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9ADDA5D" w14:textId="77777777" w:rsidR="00402226" w:rsidRPr="0008506C" w:rsidRDefault="00402226" w:rsidP="00F438C9">
            <w:pPr>
              <w:rPr>
                <w:rFonts w:asciiTheme="minorHAnsi" w:hAnsiTheme="minorHAnsi" w:cs="Arial"/>
              </w:rPr>
            </w:pPr>
            <w:r w:rsidRPr="0008506C">
              <w:rPr>
                <w:rFonts w:asciiTheme="minorHAnsi" w:hAnsiTheme="minorHAnsi" w:cs="Arial"/>
              </w:rPr>
              <w:t>Kateřina Malčeková</w:t>
            </w:r>
          </w:p>
        </w:tc>
        <w:tc>
          <w:tcPr>
            <w:tcW w:w="1730"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7D9EF76D" w14:textId="77777777" w:rsidR="00402226" w:rsidRPr="0008506C" w:rsidRDefault="00402226" w:rsidP="00F438C9">
            <w:pPr>
              <w:rPr>
                <w:rFonts w:asciiTheme="minorHAnsi" w:hAnsiTheme="minorHAnsi" w:cs="Arial"/>
                <w:sz w:val="16"/>
                <w:szCs w:val="16"/>
              </w:rPr>
            </w:pPr>
            <w:r w:rsidRPr="0008506C">
              <w:rPr>
                <w:rFonts w:asciiTheme="minorHAnsi" w:hAnsiTheme="minorHAnsi" w:cs="Arial"/>
                <w:sz w:val="16"/>
                <w:szCs w:val="16"/>
              </w:rPr>
              <w:t>referentka odboru sociálních věcí a školství</w:t>
            </w:r>
          </w:p>
        </w:tc>
        <w:tc>
          <w:tcPr>
            <w:tcW w:w="2173" w:type="dxa"/>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5687020A" w14:textId="77777777" w:rsidR="00402226" w:rsidRPr="0008506C" w:rsidRDefault="00402226" w:rsidP="00F438C9">
            <w:pPr>
              <w:rPr>
                <w:rFonts w:asciiTheme="minorHAnsi" w:hAnsiTheme="minorHAnsi" w:cs="Arial"/>
              </w:rPr>
            </w:pPr>
          </w:p>
        </w:tc>
      </w:tr>
      <w:tr w:rsidR="00402226" w:rsidRPr="0008506C" w14:paraId="0FCD3FD5" w14:textId="77777777" w:rsidTr="000F0946">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B115A1D" w14:textId="77777777" w:rsidR="00402226" w:rsidRPr="0008506C" w:rsidRDefault="00402226" w:rsidP="00F438C9">
            <w:pPr>
              <w:rPr>
                <w:rFonts w:asciiTheme="minorHAnsi" w:hAnsiTheme="minorHAnsi" w:cs="Arial"/>
                <w:b/>
              </w:rPr>
            </w:pPr>
            <w:r w:rsidRPr="0008506C">
              <w:rPr>
                <w:rFonts w:asciiTheme="minorHAnsi" w:hAnsiTheme="minorHAnsi" w:cs="Arial"/>
                <w:b/>
              </w:rPr>
              <w:t>Schválil:</w:t>
            </w:r>
          </w:p>
        </w:tc>
        <w:tc>
          <w:tcPr>
            <w:tcW w:w="1301"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3BAD371" w14:textId="77777777" w:rsidR="00402226" w:rsidRPr="0008506C" w:rsidRDefault="00402226" w:rsidP="00F438C9">
            <w:pPr>
              <w:rPr>
                <w:rFonts w:asciiTheme="minorHAnsi" w:hAnsiTheme="minorHAnsi" w:cs="Arial"/>
              </w:rPr>
            </w:pPr>
          </w:p>
        </w:tc>
        <w:tc>
          <w:tcPr>
            <w:tcW w:w="20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14E65C6" w14:textId="77777777" w:rsidR="00402226" w:rsidRPr="0008506C" w:rsidRDefault="00402226" w:rsidP="00F438C9">
            <w:pPr>
              <w:rPr>
                <w:rFonts w:asciiTheme="minorHAnsi" w:hAnsiTheme="minorHAnsi" w:cs="Arial"/>
              </w:rPr>
            </w:pPr>
            <w:r w:rsidRPr="0008506C">
              <w:rPr>
                <w:rFonts w:asciiTheme="minorHAnsi" w:hAnsiTheme="minorHAnsi" w:cs="Arial"/>
              </w:rPr>
              <w:t>Mgr. Veronika Knoblochová</w:t>
            </w:r>
          </w:p>
        </w:tc>
        <w:tc>
          <w:tcPr>
            <w:tcW w:w="173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77A340F5" w14:textId="77777777" w:rsidR="00402226" w:rsidRPr="0008506C" w:rsidRDefault="00402226" w:rsidP="00F438C9">
            <w:pPr>
              <w:rPr>
                <w:rFonts w:asciiTheme="minorHAnsi" w:hAnsiTheme="minorHAnsi"/>
              </w:rPr>
            </w:pPr>
            <w:r w:rsidRPr="0008506C">
              <w:rPr>
                <w:rFonts w:asciiTheme="minorHAnsi" w:hAnsiTheme="minorHAnsi" w:cs="Arial"/>
                <w:sz w:val="16"/>
                <w:szCs w:val="16"/>
              </w:rPr>
              <w:t>vedoucí odboru sociálních věcí a školství</w:t>
            </w:r>
          </w:p>
        </w:tc>
        <w:tc>
          <w:tcPr>
            <w:tcW w:w="2173"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4CFFE3A6" w14:textId="77777777" w:rsidR="00402226" w:rsidRPr="0008506C" w:rsidRDefault="00402226" w:rsidP="00F438C9">
            <w:pPr>
              <w:rPr>
                <w:rFonts w:asciiTheme="minorHAnsi" w:hAnsiTheme="minorHAnsi" w:cs="Arial"/>
              </w:rPr>
            </w:pPr>
          </w:p>
        </w:tc>
      </w:tr>
      <w:tr w:rsidR="00402226" w:rsidRPr="0008506C" w14:paraId="2EE70322" w14:textId="77777777" w:rsidTr="000F0946">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01690C4" w14:textId="77777777" w:rsidR="00402226" w:rsidRPr="0008506C" w:rsidRDefault="00402226" w:rsidP="00F438C9">
            <w:pPr>
              <w:rPr>
                <w:rFonts w:asciiTheme="minorHAnsi" w:hAnsiTheme="minorHAnsi" w:cs="Arial"/>
                <w:b/>
              </w:rPr>
            </w:pPr>
            <w:r w:rsidRPr="0008506C">
              <w:rPr>
                <w:rFonts w:asciiTheme="minorHAnsi" w:hAnsiTheme="minorHAnsi" w:cs="Arial"/>
                <w:b/>
              </w:rPr>
              <w:t>Správce rozpočtu:</w:t>
            </w:r>
          </w:p>
        </w:tc>
        <w:tc>
          <w:tcPr>
            <w:tcW w:w="1301"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CBC867F" w14:textId="77777777" w:rsidR="00402226" w:rsidRPr="0008506C" w:rsidRDefault="00402226" w:rsidP="00F438C9">
            <w:pPr>
              <w:rPr>
                <w:rFonts w:asciiTheme="minorHAnsi" w:hAnsiTheme="minorHAnsi" w:cs="Arial"/>
              </w:rPr>
            </w:pPr>
          </w:p>
        </w:tc>
        <w:tc>
          <w:tcPr>
            <w:tcW w:w="20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37808111" w14:textId="77777777" w:rsidR="00402226" w:rsidRPr="0008506C" w:rsidRDefault="00402226" w:rsidP="00F438C9">
            <w:pPr>
              <w:rPr>
                <w:rFonts w:asciiTheme="minorHAnsi" w:hAnsiTheme="minorHAnsi" w:cs="Arial"/>
              </w:rPr>
            </w:pPr>
            <w:r w:rsidRPr="0008506C">
              <w:rPr>
                <w:rFonts w:asciiTheme="minorHAnsi" w:hAnsiTheme="minorHAnsi" w:cs="Arial"/>
              </w:rPr>
              <w:t>Libuše Eichlerová</w:t>
            </w:r>
          </w:p>
        </w:tc>
        <w:tc>
          <w:tcPr>
            <w:tcW w:w="173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7E4353A" w14:textId="77777777" w:rsidR="00402226" w:rsidRPr="0008506C" w:rsidRDefault="00402226" w:rsidP="00F438C9">
            <w:pPr>
              <w:rPr>
                <w:rFonts w:asciiTheme="minorHAnsi" w:hAnsiTheme="minorHAnsi"/>
              </w:rPr>
            </w:pPr>
            <w:r w:rsidRPr="0008506C">
              <w:rPr>
                <w:rFonts w:asciiTheme="minorHAnsi" w:hAnsiTheme="minorHAnsi" w:cs="Arial"/>
                <w:sz w:val="16"/>
                <w:szCs w:val="16"/>
              </w:rPr>
              <w:t>ekonomka odboru sociálních věcí a školství</w:t>
            </w:r>
          </w:p>
        </w:tc>
        <w:tc>
          <w:tcPr>
            <w:tcW w:w="2173"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68DAD9EB" w14:textId="77777777" w:rsidR="00402226" w:rsidRPr="0008506C" w:rsidRDefault="00402226" w:rsidP="00F438C9">
            <w:pPr>
              <w:rPr>
                <w:rFonts w:asciiTheme="minorHAnsi" w:hAnsiTheme="minorHAnsi" w:cs="Arial"/>
              </w:rPr>
            </w:pPr>
          </w:p>
        </w:tc>
      </w:tr>
      <w:tr w:rsidR="000F0946" w:rsidRPr="0008506C" w14:paraId="160F6F58" w14:textId="77777777" w:rsidTr="000F0946">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F70055E" w14:textId="77777777" w:rsidR="000F0946" w:rsidRPr="0008506C" w:rsidRDefault="000F0946" w:rsidP="000F0946">
            <w:pPr>
              <w:rPr>
                <w:rFonts w:asciiTheme="minorHAnsi" w:hAnsiTheme="minorHAnsi" w:cs="Arial"/>
                <w:b/>
              </w:rPr>
            </w:pPr>
            <w:r w:rsidRPr="0008506C">
              <w:rPr>
                <w:rFonts w:asciiTheme="minorHAnsi" w:hAnsiTheme="minorHAnsi" w:cs="Arial"/>
                <w:b/>
              </w:rPr>
              <w:t>Právní oddělení:</w:t>
            </w:r>
          </w:p>
        </w:tc>
        <w:tc>
          <w:tcPr>
            <w:tcW w:w="1301"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378AD512" w14:textId="4533EB04" w:rsidR="000F0946" w:rsidRPr="0008506C" w:rsidRDefault="000F0946" w:rsidP="000F0946">
            <w:pPr>
              <w:rPr>
                <w:rFonts w:asciiTheme="minorHAnsi" w:hAnsiTheme="minorHAnsi" w:cs="Arial"/>
              </w:rPr>
            </w:pPr>
            <w:r>
              <w:rPr>
                <w:rFonts w:ascii="Arial" w:hAnsi="Arial" w:cs="Arial"/>
                <w:sz w:val="18"/>
                <w:szCs w:val="18"/>
                <w:lang w:eastAsia="en-US"/>
              </w:rPr>
              <w:t>07.1</w:t>
            </w:r>
            <w:r w:rsidR="001A21FC">
              <w:rPr>
                <w:rFonts w:ascii="Arial" w:hAnsi="Arial" w:cs="Arial"/>
                <w:sz w:val="18"/>
                <w:szCs w:val="18"/>
                <w:lang w:eastAsia="en-US"/>
              </w:rPr>
              <w:t>1</w:t>
            </w:r>
            <w:r>
              <w:rPr>
                <w:rFonts w:ascii="Arial" w:hAnsi="Arial" w:cs="Arial"/>
                <w:sz w:val="18"/>
                <w:szCs w:val="18"/>
                <w:lang w:eastAsia="en-US"/>
              </w:rPr>
              <w:t>.2022</w:t>
            </w:r>
          </w:p>
        </w:tc>
        <w:tc>
          <w:tcPr>
            <w:tcW w:w="20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641CD8FF" w14:textId="33EF3A92" w:rsidR="000F0946" w:rsidRPr="0008506C" w:rsidRDefault="000F0946" w:rsidP="000F0946">
            <w:pPr>
              <w:rPr>
                <w:rFonts w:asciiTheme="minorHAnsi" w:hAnsiTheme="minorHAnsi" w:cs="Arial"/>
              </w:rPr>
            </w:pPr>
            <w:r>
              <w:rPr>
                <w:rFonts w:ascii="Arial" w:hAnsi="Arial" w:cs="Arial"/>
                <w:sz w:val="18"/>
                <w:szCs w:val="18"/>
                <w:lang w:eastAsia="en-US"/>
              </w:rPr>
              <w:t xml:space="preserve">FFK </w:t>
            </w:r>
            <w:proofErr w:type="spellStart"/>
            <w:r>
              <w:rPr>
                <w:rFonts w:ascii="Arial" w:hAnsi="Arial" w:cs="Arial"/>
                <w:sz w:val="18"/>
                <w:szCs w:val="18"/>
                <w:lang w:eastAsia="en-US"/>
              </w:rPr>
              <w:t>Legal</w:t>
            </w:r>
            <w:proofErr w:type="spellEnd"/>
            <w:r>
              <w:rPr>
                <w:rFonts w:ascii="Arial" w:hAnsi="Arial" w:cs="Arial"/>
                <w:sz w:val="18"/>
                <w:szCs w:val="18"/>
                <w:lang w:eastAsia="en-US"/>
              </w:rPr>
              <w:t>, advokátní kancelář, s.r.o.</w:t>
            </w:r>
          </w:p>
        </w:tc>
        <w:tc>
          <w:tcPr>
            <w:tcW w:w="1730"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1BD9716" w14:textId="462BE6A6" w:rsidR="000F0946" w:rsidRPr="0008506C" w:rsidRDefault="000F0946" w:rsidP="000F0946">
            <w:pPr>
              <w:rPr>
                <w:rFonts w:asciiTheme="minorHAnsi" w:hAnsiTheme="minorHAnsi" w:cs="Arial"/>
              </w:rPr>
            </w:pPr>
            <w:r>
              <w:rPr>
                <w:rFonts w:ascii="Arial" w:hAnsi="Arial" w:cs="Arial"/>
                <w:sz w:val="18"/>
                <w:szCs w:val="18"/>
                <w:lang w:eastAsia="en-US"/>
              </w:rPr>
              <w:t>právník</w:t>
            </w:r>
          </w:p>
        </w:tc>
        <w:tc>
          <w:tcPr>
            <w:tcW w:w="2173"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15A08C7" w14:textId="07BACF47" w:rsidR="000F0946" w:rsidRPr="0008506C" w:rsidRDefault="00726CC0" w:rsidP="000F0946">
            <w:pPr>
              <w:rPr>
                <w:rFonts w:asciiTheme="minorHAnsi" w:hAnsiTheme="minorHAnsi" w:cs="Arial"/>
              </w:rPr>
            </w:pPr>
            <w:r>
              <w:rPr>
                <w:rFonts w:asciiTheme="minorHAnsi" w:hAnsiTheme="minorHAnsi" w:cs="Arial"/>
              </w:rPr>
              <w:t>1C-14536</w:t>
            </w:r>
          </w:p>
        </w:tc>
      </w:tr>
      <w:tr w:rsidR="00402226" w:rsidRPr="0008506C" w14:paraId="789193CD" w14:textId="77777777" w:rsidTr="000F0946">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92F4D85" w14:textId="77777777" w:rsidR="00402226" w:rsidRPr="0008506C" w:rsidRDefault="00402226" w:rsidP="00F438C9">
            <w:pPr>
              <w:rPr>
                <w:rFonts w:asciiTheme="minorHAnsi" w:hAnsiTheme="minorHAnsi" w:cs="Arial"/>
                <w:b/>
              </w:rPr>
            </w:pPr>
            <w:proofErr w:type="gramStart"/>
            <w:r w:rsidRPr="0008506C">
              <w:rPr>
                <w:rFonts w:asciiTheme="minorHAnsi" w:hAnsiTheme="minorHAnsi" w:cs="Arial"/>
                <w:b/>
              </w:rPr>
              <w:t>Schváleno - RM</w:t>
            </w:r>
            <w:proofErr w:type="gramEnd"/>
            <w:r w:rsidRPr="0008506C">
              <w:rPr>
                <w:rFonts w:asciiTheme="minorHAnsi" w:hAnsiTheme="minorHAnsi" w:cs="Arial"/>
                <w:b/>
              </w:rPr>
              <w:t>:</w:t>
            </w:r>
          </w:p>
        </w:tc>
        <w:tc>
          <w:tcPr>
            <w:tcW w:w="1301"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6BDDD41" w14:textId="4AA63ECD" w:rsidR="00402226" w:rsidRPr="0008506C" w:rsidRDefault="008561DE" w:rsidP="00F438C9">
            <w:pPr>
              <w:rPr>
                <w:rFonts w:asciiTheme="minorHAnsi" w:hAnsiTheme="minorHAnsi" w:cs="Arial"/>
              </w:rPr>
            </w:pPr>
            <w:r>
              <w:rPr>
                <w:rFonts w:asciiTheme="minorHAnsi" w:hAnsiTheme="minorHAnsi" w:cs="Arial"/>
              </w:rPr>
              <w:t>07.12.2022</w:t>
            </w:r>
          </w:p>
        </w:tc>
        <w:tc>
          <w:tcPr>
            <w:tcW w:w="20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CDDDCB5" w14:textId="77777777" w:rsidR="00402226" w:rsidRPr="0008506C" w:rsidRDefault="00402226" w:rsidP="00F438C9">
            <w:pPr>
              <w:rPr>
                <w:rFonts w:asciiTheme="minorHAnsi" w:hAnsiTheme="minorHAnsi" w:cs="Arial"/>
                <w:b/>
                <w:sz w:val="18"/>
                <w:szCs w:val="18"/>
              </w:rPr>
            </w:pPr>
            <w:r w:rsidRPr="0008506C">
              <w:rPr>
                <w:rFonts w:asciiTheme="minorHAnsi" w:hAnsiTheme="minorHAnsi" w:cs="Arial"/>
                <w:b/>
                <w:sz w:val="18"/>
                <w:szCs w:val="18"/>
              </w:rPr>
              <w:t xml:space="preserve">Číslo </w:t>
            </w:r>
            <w:proofErr w:type="gramStart"/>
            <w:r w:rsidRPr="0008506C">
              <w:rPr>
                <w:rFonts w:asciiTheme="minorHAnsi" w:hAnsiTheme="minorHAnsi" w:cs="Arial"/>
                <w:b/>
                <w:sz w:val="18"/>
                <w:szCs w:val="18"/>
              </w:rPr>
              <w:t xml:space="preserve">usnesení:   </w:t>
            </w:r>
            <w:proofErr w:type="gramEnd"/>
          </w:p>
        </w:tc>
        <w:tc>
          <w:tcPr>
            <w:tcW w:w="1730"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1DF365B0" w14:textId="0EE7CBC7" w:rsidR="00402226" w:rsidRDefault="006E31AD" w:rsidP="00F438C9">
            <w:pPr>
              <w:rPr>
                <w:rFonts w:asciiTheme="minorHAnsi" w:hAnsiTheme="minorHAnsi" w:cs="Arial"/>
                <w:b/>
                <w:sz w:val="18"/>
                <w:szCs w:val="18"/>
                <w:lang w:eastAsia="en-US"/>
              </w:rPr>
            </w:pPr>
            <w:r>
              <w:rPr>
                <w:rFonts w:asciiTheme="minorHAnsi" w:hAnsiTheme="minorHAnsi" w:cs="Arial"/>
                <w:b/>
                <w:sz w:val="18"/>
                <w:szCs w:val="18"/>
                <w:lang w:eastAsia="en-US"/>
              </w:rPr>
              <w:t>R/</w:t>
            </w:r>
            <w:r w:rsidR="00726CC0">
              <w:rPr>
                <w:rFonts w:asciiTheme="minorHAnsi" w:hAnsiTheme="minorHAnsi" w:cs="Arial"/>
                <w:b/>
                <w:sz w:val="18"/>
                <w:szCs w:val="18"/>
                <w:lang w:eastAsia="en-US"/>
              </w:rPr>
              <w:t>5512/4</w:t>
            </w:r>
          </w:p>
          <w:p w14:paraId="7668DA47" w14:textId="0CD9E358" w:rsidR="00514BEA" w:rsidRPr="0008506C" w:rsidRDefault="00514BEA" w:rsidP="00F438C9">
            <w:pPr>
              <w:rPr>
                <w:rFonts w:asciiTheme="minorHAnsi" w:hAnsiTheme="minorHAnsi" w:cs="Arial"/>
                <w:b/>
                <w:sz w:val="18"/>
                <w:szCs w:val="18"/>
              </w:rPr>
            </w:pPr>
          </w:p>
        </w:tc>
        <w:tc>
          <w:tcPr>
            <w:tcW w:w="2173" w:type="dxa"/>
            <w:shd w:val="clear" w:color="auto" w:fill="auto"/>
            <w:tcMar>
              <w:top w:w="0" w:type="dxa"/>
              <w:left w:w="10" w:type="dxa"/>
              <w:bottom w:w="0" w:type="dxa"/>
              <w:right w:w="10" w:type="dxa"/>
            </w:tcMar>
          </w:tcPr>
          <w:p w14:paraId="2F8ABD6C" w14:textId="77777777" w:rsidR="00402226" w:rsidRPr="0008506C" w:rsidRDefault="00402226" w:rsidP="00F438C9">
            <w:pPr>
              <w:rPr>
                <w:rFonts w:asciiTheme="minorHAnsi" w:hAnsiTheme="minorHAnsi" w:cs="Arial"/>
                <w:b/>
                <w:sz w:val="18"/>
                <w:szCs w:val="18"/>
              </w:rPr>
            </w:pPr>
          </w:p>
        </w:tc>
      </w:tr>
      <w:tr w:rsidR="00402226" w:rsidRPr="0008506C" w14:paraId="4B212C4F" w14:textId="77777777" w:rsidTr="000F0946">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3E008D3" w14:textId="77777777" w:rsidR="00402226" w:rsidRPr="0008506C" w:rsidRDefault="00402226" w:rsidP="00F438C9">
            <w:pPr>
              <w:rPr>
                <w:rFonts w:asciiTheme="minorHAnsi" w:hAnsiTheme="minorHAnsi" w:cs="Arial"/>
                <w:b/>
              </w:rPr>
            </w:pPr>
            <w:r w:rsidRPr="0008506C">
              <w:rPr>
                <w:rFonts w:asciiTheme="minorHAnsi" w:hAnsiTheme="minorHAnsi" w:cs="Arial"/>
                <w:b/>
              </w:rPr>
              <w:t xml:space="preserve">                    ZM:</w:t>
            </w:r>
          </w:p>
        </w:tc>
        <w:tc>
          <w:tcPr>
            <w:tcW w:w="1301"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4BF491D" w14:textId="24CB421B" w:rsidR="00402226" w:rsidRPr="0008506C" w:rsidRDefault="008561DE" w:rsidP="00F438C9">
            <w:pPr>
              <w:rPr>
                <w:rFonts w:asciiTheme="minorHAnsi" w:hAnsiTheme="minorHAnsi" w:cs="Arial"/>
              </w:rPr>
            </w:pPr>
            <w:r>
              <w:rPr>
                <w:rFonts w:asciiTheme="minorHAnsi" w:hAnsiTheme="minorHAnsi" w:cs="Arial"/>
              </w:rPr>
              <w:t>15.12.2022</w:t>
            </w:r>
          </w:p>
        </w:tc>
        <w:tc>
          <w:tcPr>
            <w:tcW w:w="206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7964BBCB" w14:textId="77777777" w:rsidR="00402226" w:rsidRPr="0008506C" w:rsidRDefault="00402226" w:rsidP="00F438C9">
            <w:pPr>
              <w:rPr>
                <w:rFonts w:asciiTheme="minorHAnsi" w:hAnsiTheme="minorHAnsi" w:cs="Arial"/>
                <w:b/>
                <w:sz w:val="18"/>
                <w:szCs w:val="18"/>
              </w:rPr>
            </w:pPr>
            <w:r w:rsidRPr="0008506C">
              <w:rPr>
                <w:rFonts w:asciiTheme="minorHAnsi" w:hAnsiTheme="minorHAnsi" w:cs="Arial"/>
                <w:b/>
                <w:sz w:val="18"/>
                <w:szCs w:val="18"/>
              </w:rPr>
              <w:t>Číslo usnesení:</w:t>
            </w:r>
          </w:p>
        </w:tc>
        <w:tc>
          <w:tcPr>
            <w:tcW w:w="1730"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88547EB" w14:textId="52D07CCB" w:rsidR="00402226" w:rsidRPr="0008506C" w:rsidRDefault="00402226" w:rsidP="00F438C9">
            <w:pPr>
              <w:rPr>
                <w:rFonts w:asciiTheme="minorHAnsi" w:hAnsiTheme="minorHAnsi" w:cs="Arial"/>
                <w:b/>
                <w:sz w:val="18"/>
                <w:szCs w:val="18"/>
              </w:rPr>
            </w:pPr>
            <w:r w:rsidRPr="0008506C">
              <w:rPr>
                <w:rFonts w:asciiTheme="minorHAnsi" w:hAnsiTheme="minorHAnsi" w:cs="Arial"/>
                <w:b/>
                <w:sz w:val="18"/>
                <w:szCs w:val="18"/>
              </w:rPr>
              <w:t>Z/</w:t>
            </w:r>
            <w:r w:rsidR="00726CC0">
              <w:rPr>
                <w:rFonts w:asciiTheme="minorHAnsi" w:hAnsiTheme="minorHAnsi" w:cs="Arial"/>
                <w:b/>
                <w:sz w:val="18"/>
                <w:szCs w:val="18"/>
              </w:rPr>
              <w:t>1923/3</w:t>
            </w:r>
          </w:p>
        </w:tc>
        <w:tc>
          <w:tcPr>
            <w:tcW w:w="2173" w:type="dxa"/>
            <w:shd w:val="clear" w:color="auto" w:fill="auto"/>
            <w:tcMar>
              <w:top w:w="0" w:type="dxa"/>
              <w:left w:w="10" w:type="dxa"/>
              <w:bottom w:w="0" w:type="dxa"/>
              <w:right w:w="10" w:type="dxa"/>
            </w:tcMar>
          </w:tcPr>
          <w:p w14:paraId="1C24CEE0" w14:textId="77777777" w:rsidR="00402226" w:rsidRPr="0008506C" w:rsidRDefault="00402226" w:rsidP="00F438C9">
            <w:pPr>
              <w:rPr>
                <w:rFonts w:asciiTheme="minorHAnsi" w:hAnsiTheme="minorHAnsi" w:cs="Arial"/>
                <w:b/>
                <w:sz w:val="18"/>
                <w:szCs w:val="18"/>
              </w:rPr>
            </w:pPr>
          </w:p>
        </w:tc>
      </w:tr>
      <w:tr w:rsidR="00402226" w:rsidRPr="0008506C" w14:paraId="074B156B" w14:textId="77777777" w:rsidTr="000F0946">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2ADB0BC" w14:textId="77777777" w:rsidR="00402226" w:rsidRPr="0008506C" w:rsidRDefault="00402226" w:rsidP="00F438C9">
            <w:pPr>
              <w:rPr>
                <w:rFonts w:asciiTheme="minorHAnsi" w:hAnsiTheme="minorHAnsi" w:cs="Arial"/>
                <w:b/>
              </w:rPr>
            </w:pPr>
            <w:r w:rsidRPr="0008506C">
              <w:rPr>
                <w:rFonts w:asciiTheme="minorHAnsi" w:hAnsiTheme="minorHAnsi" w:cs="Arial"/>
                <w:b/>
              </w:rPr>
              <w:t>Zveřejněno:</w:t>
            </w:r>
          </w:p>
        </w:tc>
        <w:tc>
          <w:tcPr>
            <w:tcW w:w="1301"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6C61F48F" w14:textId="77777777" w:rsidR="00402226" w:rsidRPr="0008506C" w:rsidRDefault="00402226" w:rsidP="00F438C9">
            <w:pPr>
              <w:rPr>
                <w:rFonts w:asciiTheme="minorHAnsi" w:hAnsiTheme="minorHAnsi" w:cs="Arial"/>
                <w:b/>
                <w:sz w:val="18"/>
                <w:szCs w:val="18"/>
              </w:rPr>
            </w:pPr>
            <w:r w:rsidRPr="0008506C">
              <w:rPr>
                <w:rFonts w:asciiTheme="minorHAnsi" w:hAnsiTheme="minorHAnsi" w:cs="Arial"/>
                <w:b/>
                <w:sz w:val="18"/>
                <w:szCs w:val="18"/>
              </w:rPr>
              <w:t>Od:</w:t>
            </w:r>
          </w:p>
        </w:tc>
        <w:tc>
          <w:tcPr>
            <w:tcW w:w="2068"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04F0111B" w14:textId="77777777" w:rsidR="00402226" w:rsidRPr="0008506C" w:rsidRDefault="00402226" w:rsidP="00F438C9">
            <w:pPr>
              <w:rPr>
                <w:rFonts w:asciiTheme="minorHAnsi" w:hAnsiTheme="minorHAnsi" w:cs="Arial"/>
                <w:b/>
                <w:sz w:val="18"/>
                <w:szCs w:val="18"/>
              </w:rPr>
            </w:pPr>
            <w:r w:rsidRPr="0008506C">
              <w:rPr>
                <w:rFonts w:asciiTheme="minorHAnsi" w:hAnsiTheme="minorHAnsi" w:cs="Arial"/>
                <w:b/>
                <w:sz w:val="18"/>
                <w:szCs w:val="18"/>
              </w:rPr>
              <w:t>Do:</w:t>
            </w:r>
          </w:p>
        </w:tc>
        <w:tc>
          <w:tcPr>
            <w:tcW w:w="1730" w:type="dxa"/>
            <w:shd w:val="clear" w:color="auto" w:fill="auto"/>
            <w:tcMar>
              <w:top w:w="0" w:type="dxa"/>
              <w:left w:w="10" w:type="dxa"/>
              <w:bottom w:w="0" w:type="dxa"/>
              <w:right w:w="10" w:type="dxa"/>
            </w:tcMar>
          </w:tcPr>
          <w:p w14:paraId="08CCF5BB" w14:textId="77777777" w:rsidR="00402226" w:rsidRPr="0008506C" w:rsidRDefault="00402226" w:rsidP="00F438C9">
            <w:pPr>
              <w:rPr>
                <w:rFonts w:asciiTheme="minorHAnsi" w:hAnsiTheme="minorHAnsi" w:cs="Arial"/>
                <w:b/>
                <w:sz w:val="18"/>
                <w:szCs w:val="18"/>
              </w:rPr>
            </w:pPr>
          </w:p>
        </w:tc>
        <w:tc>
          <w:tcPr>
            <w:tcW w:w="2173" w:type="dxa"/>
            <w:shd w:val="clear" w:color="auto" w:fill="auto"/>
            <w:tcMar>
              <w:top w:w="0" w:type="dxa"/>
              <w:left w:w="10" w:type="dxa"/>
              <w:bottom w:w="0" w:type="dxa"/>
              <w:right w:w="10" w:type="dxa"/>
            </w:tcMar>
          </w:tcPr>
          <w:p w14:paraId="39FBADE6" w14:textId="77777777" w:rsidR="00402226" w:rsidRPr="0008506C" w:rsidRDefault="00402226" w:rsidP="00F438C9">
            <w:pPr>
              <w:rPr>
                <w:rFonts w:asciiTheme="minorHAnsi" w:hAnsiTheme="minorHAnsi" w:cs="Arial"/>
                <w:b/>
                <w:sz w:val="18"/>
                <w:szCs w:val="18"/>
              </w:rPr>
            </w:pPr>
          </w:p>
        </w:tc>
      </w:tr>
      <w:tr w:rsidR="00402226" w:rsidRPr="0008506C" w14:paraId="586310DC" w14:textId="77777777" w:rsidTr="000F0946">
        <w:trPr>
          <w:trHeight w:val="454"/>
        </w:trPr>
        <w:tc>
          <w:tcPr>
            <w:tcW w:w="20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6815A93" w14:textId="77777777" w:rsidR="00402226" w:rsidRPr="0008506C" w:rsidRDefault="00402226" w:rsidP="00F438C9">
            <w:pPr>
              <w:rPr>
                <w:rFonts w:asciiTheme="minorHAnsi" w:hAnsiTheme="minorHAnsi" w:cs="Arial"/>
                <w:b/>
              </w:rPr>
            </w:pPr>
            <w:r w:rsidRPr="0008506C">
              <w:rPr>
                <w:rFonts w:asciiTheme="minorHAnsi" w:hAnsiTheme="minorHAnsi" w:cs="Arial"/>
                <w:b/>
              </w:rPr>
              <w:t>Vedení města:</w:t>
            </w:r>
          </w:p>
        </w:tc>
        <w:tc>
          <w:tcPr>
            <w:tcW w:w="1301" w:type="dxa"/>
            <w:tcBorders>
              <w:top w:val="single" w:sz="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0B7C95CB" w14:textId="77777777" w:rsidR="00402226" w:rsidRPr="0008506C" w:rsidRDefault="00402226" w:rsidP="00F438C9">
            <w:pPr>
              <w:rPr>
                <w:rFonts w:asciiTheme="minorHAnsi" w:hAnsiTheme="minorHAnsi" w:cs="Arial"/>
              </w:rPr>
            </w:pPr>
          </w:p>
        </w:tc>
        <w:tc>
          <w:tcPr>
            <w:tcW w:w="2068"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458B3ECC" w14:textId="2D0F867F" w:rsidR="00402226" w:rsidRPr="0008506C" w:rsidRDefault="00A332B6" w:rsidP="00F438C9">
            <w:pPr>
              <w:rPr>
                <w:rFonts w:asciiTheme="minorHAnsi" w:hAnsiTheme="minorHAnsi" w:cs="Arial"/>
              </w:rPr>
            </w:pPr>
            <w:r>
              <w:rPr>
                <w:rFonts w:asciiTheme="minorHAnsi" w:hAnsiTheme="minorHAnsi" w:cs="Arial"/>
              </w:rPr>
              <w:t xml:space="preserve">Květuše </w:t>
            </w:r>
            <w:proofErr w:type="spellStart"/>
            <w:r>
              <w:rPr>
                <w:rFonts w:asciiTheme="minorHAnsi" w:hAnsiTheme="minorHAnsi" w:cs="Arial"/>
              </w:rPr>
              <w:t>Hellmichová</w:t>
            </w:r>
            <w:proofErr w:type="spellEnd"/>
          </w:p>
        </w:tc>
        <w:tc>
          <w:tcPr>
            <w:tcW w:w="1730"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09F4FED7" w14:textId="1B8B3AB8" w:rsidR="00402226" w:rsidRPr="0008506C" w:rsidRDefault="00A332B6" w:rsidP="00F438C9">
            <w:pPr>
              <w:rPr>
                <w:rFonts w:asciiTheme="minorHAnsi" w:hAnsiTheme="minorHAnsi" w:cs="Arial"/>
              </w:rPr>
            </w:pPr>
            <w:r>
              <w:rPr>
                <w:rFonts w:asciiTheme="minorHAnsi" w:hAnsiTheme="minorHAnsi" w:cs="Arial"/>
              </w:rPr>
              <w:t>2</w:t>
            </w:r>
            <w:r w:rsidR="00402226" w:rsidRPr="0008506C">
              <w:rPr>
                <w:rFonts w:asciiTheme="minorHAnsi" w:hAnsiTheme="minorHAnsi" w:cs="Arial"/>
              </w:rPr>
              <w:t>. místostarost</w:t>
            </w:r>
            <w:r w:rsidR="007B0048">
              <w:rPr>
                <w:rFonts w:asciiTheme="minorHAnsi" w:hAnsiTheme="minorHAnsi" w:cs="Arial"/>
              </w:rPr>
              <w:t>k</w:t>
            </w:r>
            <w:r w:rsidR="00402226" w:rsidRPr="0008506C">
              <w:rPr>
                <w:rFonts w:asciiTheme="minorHAnsi" w:hAnsiTheme="minorHAnsi" w:cs="Arial"/>
              </w:rPr>
              <w:t>a</w:t>
            </w:r>
          </w:p>
        </w:tc>
        <w:tc>
          <w:tcPr>
            <w:tcW w:w="2173" w:type="dxa"/>
            <w:tcBorders>
              <w:top w:val="single" w:sz="1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6E132B5" w14:textId="77777777" w:rsidR="00402226" w:rsidRPr="0008506C" w:rsidRDefault="00402226" w:rsidP="00F438C9">
            <w:pPr>
              <w:rPr>
                <w:rFonts w:asciiTheme="minorHAnsi" w:hAnsiTheme="minorHAnsi" w:cs="Arial"/>
              </w:rPr>
            </w:pPr>
          </w:p>
        </w:tc>
      </w:tr>
    </w:tbl>
    <w:p w14:paraId="6B8AB038" w14:textId="77777777" w:rsidR="00402226" w:rsidRPr="0008506C" w:rsidRDefault="00402226" w:rsidP="00402226">
      <w:pPr>
        <w:jc w:val="both"/>
        <w:rPr>
          <w:rFonts w:asciiTheme="minorHAnsi" w:hAnsiTheme="minorHAnsi" w:cs="Arial"/>
          <w:sz w:val="22"/>
          <w:szCs w:val="22"/>
        </w:rPr>
      </w:pPr>
    </w:p>
    <w:p w14:paraId="42974E8D" w14:textId="77777777" w:rsidR="00426475" w:rsidRDefault="00426475"/>
    <w:sectPr w:rsidR="00426475">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82C98" w14:textId="77777777" w:rsidR="00414BEC" w:rsidRDefault="00414BEC" w:rsidP="00402226">
      <w:r>
        <w:separator/>
      </w:r>
    </w:p>
  </w:endnote>
  <w:endnote w:type="continuationSeparator" w:id="0">
    <w:p w14:paraId="13FFD4A3" w14:textId="77777777" w:rsidR="00414BEC" w:rsidRDefault="00414BEC" w:rsidP="00402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17F6" w14:textId="68A33AF5" w:rsidR="00D17529" w:rsidRDefault="00D13674">
    <w:pPr>
      <w:pStyle w:val="Zpat"/>
      <w:jc w:val="right"/>
    </w:pPr>
    <w:r>
      <w:t>KPL, s.r.o. v souladu s </w:t>
    </w:r>
    <w:proofErr w:type="gramStart"/>
    <w:r>
      <w:t>SOHZ - neinvestiční</w:t>
    </w:r>
    <w:proofErr w:type="gramEnd"/>
    <w:r>
      <w:t xml:space="preserve"> dotace na rok 20</w:t>
    </w:r>
    <w:r w:rsidR="00402226">
      <w:t>2</w:t>
    </w:r>
    <w:r w:rsidR="008561DE">
      <w:t>3</w:t>
    </w:r>
  </w:p>
  <w:p w14:paraId="50F01235" w14:textId="77777777" w:rsidR="00D17529" w:rsidRDefault="00D13674">
    <w:pPr>
      <w:pStyle w:val="Zpat"/>
      <w:jc w:val="right"/>
    </w:pPr>
    <w:r>
      <w:fldChar w:fldCharType="begin"/>
    </w:r>
    <w:r>
      <w:instrText xml:space="preserve"> PAGE </w:instrText>
    </w:r>
    <w:r>
      <w:fldChar w:fldCharType="separate"/>
    </w:r>
    <w:r>
      <w:rPr>
        <w:noProof/>
      </w:rPr>
      <w:t>8</w:t>
    </w:r>
    <w:r>
      <w:fldChar w:fldCharType="end"/>
    </w:r>
  </w:p>
  <w:p w14:paraId="24F74CED" w14:textId="77777777" w:rsidR="00D17529" w:rsidRDefault="00000000">
    <w:pPr>
      <w:pStyle w:val="Zpat"/>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DDBB9" w14:textId="77777777" w:rsidR="00414BEC" w:rsidRDefault="00414BEC" w:rsidP="00402226">
      <w:r>
        <w:separator/>
      </w:r>
    </w:p>
  </w:footnote>
  <w:footnote w:type="continuationSeparator" w:id="0">
    <w:p w14:paraId="71627CDF" w14:textId="77777777" w:rsidR="00414BEC" w:rsidRDefault="00414BEC" w:rsidP="00402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EB0D" w14:textId="53690068" w:rsidR="00D17529" w:rsidRDefault="00D13674">
    <w:pPr>
      <w:pStyle w:val="Zhlav"/>
    </w:pPr>
    <w:r>
      <w:tab/>
    </w:r>
    <w:r w:rsidR="008561DE">
      <w:t xml:space="preserve">                                                                                                                                                       KT/12215/22</w:t>
    </w:r>
  </w:p>
  <w:p w14:paraId="6FC81E86" w14:textId="77777777" w:rsidR="007772A6" w:rsidRDefault="0000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0488D"/>
    <w:multiLevelType w:val="hybridMultilevel"/>
    <w:tmpl w:val="063EF5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98556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226"/>
    <w:rsid w:val="00077CC4"/>
    <w:rsid w:val="000A32BC"/>
    <w:rsid w:val="000B1B5A"/>
    <w:rsid w:val="000F0946"/>
    <w:rsid w:val="00104640"/>
    <w:rsid w:val="00112B93"/>
    <w:rsid w:val="00115BA2"/>
    <w:rsid w:val="001200E8"/>
    <w:rsid w:val="001A21FC"/>
    <w:rsid w:val="001B16BE"/>
    <w:rsid w:val="001D3AF1"/>
    <w:rsid w:val="00202626"/>
    <w:rsid w:val="002143E6"/>
    <w:rsid w:val="00234E0A"/>
    <w:rsid w:val="0029463B"/>
    <w:rsid w:val="002B0E9F"/>
    <w:rsid w:val="002C46E3"/>
    <w:rsid w:val="00356013"/>
    <w:rsid w:val="0036665F"/>
    <w:rsid w:val="003B5AE9"/>
    <w:rsid w:val="003E3AD8"/>
    <w:rsid w:val="00401F6F"/>
    <w:rsid w:val="00402226"/>
    <w:rsid w:val="00414BEC"/>
    <w:rsid w:val="00426475"/>
    <w:rsid w:val="00456E68"/>
    <w:rsid w:val="00473F64"/>
    <w:rsid w:val="004A0926"/>
    <w:rsid w:val="00514BEA"/>
    <w:rsid w:val="00594AF8"/>
    <w:rsid w:val="005B69FF"/>
    <w:rsid w:val="005D39C3"/>
    <w:rsid w:val="005E38D7"/>
    <w:rsid w:val="00620450"/>
    <w:rsid w:val="00677617"/>
    <w:rsid w:val="006E31AD"/>
    <w:rsid w:val="006E3F57"/>
    <w:rsid w:val="00706723"/>
    <w:rsid w:val="00712B37"/>
    <w:rsid w:val="00726CC0"/>
    <w:rsid w:val="00743649"/>
    <w:rsid w:val="007845EE"/>
    <w:rsid w:val="00794575"/>
    <w:rsid w:val="007B0048"/>
    <w:rsid w:val="007D788D"/>
    <w:rsid w:val="008561DE"/>
    <w:rsid w:val="00865A02"/>
    <w:rsid w:val="00870F23"/>
    <w:rsid w:val="008848DD"/>
    <w:rsid w:val="00966E4D"/>
    <w:rsid w:val="009A2C72"/>
    <w:rsid w:val="009B24B5"/>
    <w:rsid w:val="009B3DF6"/>
    <w:rsid w:val="009E450D"/>
    <w:rsid w:val="00A332B6"/>
    <w:rsid w:val="00A54EF8"/>
    <w:rsid w:val="00A8038C"/>
    <w:rsid w:val="00A9676C"/>
    <w:rsid w:val="00AE15B8"/>
    <w:rsid w:val="00B619E0"/>
    <w:rsid w:val="00B74D9D"/>
    <w:rsid w:val="00BA72A6"/>
    <w:rsid w:val="00BD5531"/>
    <w:rsid w:val="00C05FDF"/>
    <w:rsid w:val="00C57635"/>
    <w:rsid w:val="00C84CBD"/>
    <w:rsid w:val="00CB32E0"/>
    <w:rsid w:val="00CC4778"/>
    <w:rsid w:val="00CD4480"/>
    <w:rsid w:val="00D13674"/>
    <w:rsid w:val="00D525BB"/>
    <w:rsid w:val="00D93E70"/>
    <w:rsid w:val="00DC5938"/>
    <w:rsid w:val="00DC6EB6"/>
    <w:rsid w:val="00DD40F3"/>
    <w:rsid w:val="00DE66D8"/>
    <w:rsid w:val="00E5441D"/>
    <w:rsid w:val="00E72070"/>
    <w:rsid w:val="00E9045E"/>
    <w:rsid w:val="00EC7F3C"/>
    <w:rsid w:val="00F279A0"/>
    <w:rsid w:val="00F46E7D"/>
    <w:rsid w:val="00F767D7"/>
    <w:rsid w:val="00FA5D2D"/>
    <w:rsid w:val="00FB34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1BC25"/>
  <w15:chartTrackingRefBased/>
  <w15:docId w15:val="{93D508BE-0089-4672-83A5-40898A9D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402226"/>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402226"/>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402226"/>
    <w:rPr>
      <w:rFonts w:ascii="Times New Roman" w:eastAsia="Times New Roman" w:hAnsi="Times New Roman" w:cs="Times New Roman"/>
      <w:szCs w:val="24"/>
      <w:lang w:eastAsia="cs-CZ"/>
    </w:rPr>
  </w:style>
  <w:style w:type="paragraph" w:styleId="Odstavecseseznamem">
    <w:name w:val="List Paragraph"/>
    <w:basedOn w:val="Normln"/>
    <w:link w:val="OdstavecseseznamemChar"/>
    <w:uiPriority w:val="34"/>
    <w:qFormat/>
    <w:rsid w:val="00402226"/>
    <w:pPr>
      <w:ind w:left="720"/>
      <w:contextualSpacing/>
    </w:pPr>
  </w:style>
  <w:style w:type="character" w:customStyle="1" w:styleId="OdstavecseseznamemChar">
    <w:name w:val="Odstavec se seznamem Char"/>
    <w:basedOn w:val="Standardnpsmoodstavce"/>
    <w:link w:val="Odstavecseseznamem"/>
    <w:uiPriority w:val="34"/>
    <w:rsid w:val="00402226"/>
    <w:rPr>
      <w:rFonts w:ascii="Times New Roman" w:eastAsia="Times New Roman" w:hAnsi="Times New Roman" w:cs="Times New Roman"/>
      <w:sz w:val="20"/>
      <w:szCs w:val="20"/>
      <w:lang w:eastAsia="cs-CZ"/>
    </w:rPr>
  </w:style>
  <w:style w:type="paragraph" w:styleId="Zpat">
    <w:name w:val="footer"/>
    <w:basedOn w:val="Normln"/>
    <w:link w:val="ZpatChar"/>
    <w:rsid w:val="00402226"/>
    <w:pPr>
      <w:tabs>
        <w:tab w:val="center" w:pos="4536"/>
        <w:tab w:val="right" w:pos="9072"/>
      </w:tabs>
    </w:pPr>
  </w:style>
  <w:style w:type="character" w:customStyle="1" w:styleId="ZpatChar">
    <w:name w:val="Zápatí Char"/>
    <w:basedOn w:val="Standardnpsmoodstavce"/>
    <w:link w:val="Zpat"/>
    <w:rsid w:val="00402226"/>
    <w:rPr>
      <w:rFonts w:ascii="Times New Roman" w:eastAsia="Times New Roman" w:hAnsi="Times New Roman" w:cs="Times New Roman"/>
      <w:sz w:val="20"/>
      <w:szCs w:val="20"/>
      <w:lang w:eastAsia="cs-CZ"/>
    </w:rPr>
  </w:style>
  <w:style w:type="paragraph" w:styleId="Zhlav">
    <w:name w:val="header"/>
    <w:basedOn w:val="Normln"/>
    <w:link w:val="ZhlavChar"/>
    <w:rsid w:val="00402226"/>
    <w:pPr>
      <w:tabs>
        <w:tab w:val="center" w:pos="4536"/>
        <w:tab w:val="right" w:pos="9072"/>
      </w:tabs>
    </w:pPr>
  </w:style>
  <w:style w:type="character" w:customStyle="1" w:styleId="ZhlavChar">
    <w:name w:val="Záhlaví Char"/>
    <w:basedOn w:val="Standardnpsmoodstavce"/>
    <w:link w:val="Zhlav"/>
    <w:rsid w:val="00402226"/>
    <w:rPr>
      <w:rFonts w:ascii="Times New Roman" w:eastAsia="Times New Roman" w:hAnsi="Times New Roman" w:cs="Times New Roman"/>
      <w:sz w:val="20"/>
      <w:szCs w:val="20"/>
      <w:lang w:eastAsia="cs-CZ"/>
    </w:rPr>
  </w:style>
  <w:style w:type="paragraph" w:styleId="Zkladntext">
    <w:name w:val="Body Text"/>
    <w:basedOn w:val="Normln"/>
    <w:link w:val="ZkladntextChar"/>
    <w:semiHidden/>
    <w:rsid w:val="00402226"/>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402226"/>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402226"/>
    <w:pPr>
      <w:spacing w:after="120"/>
    </w:pPr>
    <w:rPr>
      <w:sz w:val="16"/>
      <w:szCs w:val="16"/>
    </w:rPr>
  </w:style>
  <w:style w:type="character" w:customStyle="1" w:styleId="Zkladntext3Char">
    <w:name w:val="Základní text 3 Char"/>
    <w:basedOn w:val="Standardnpsmoodstavce"/>
    <w:link w:val="Zkladntext3"/>
    <w:uiPriority w:val="99"/>
    <w:semiHidden/>
    <w:rsid w:val="00402226"/>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9341">
      <w:bodyDiv w:val="1"/>
      <w:marLeft w:val="0"/>
      <w:marRight w:val="0"/>
      <w:marTop w:val="0"/>
      <w:marBottom w:val="0"/>
      <w:divBdr>
        <w:top w:val="none" w:sz="0" w:space="0" w:color="auto"/>
        <w:left w:val="none" w:sz="0" w:space="0" w:color="auto"/>
        <w:bottom w:val="none" w:sz="0" w:space="0" w:color="auto"/>
        <w:right w:val="none" w:sz="0" w:space="0" w:color="auto"/>
      </w:divBdr>
    </w:div>
    <w:div w:id="295529949">
      <w:bodyDiv w:val="1"/>
      <w:marLeft w:val="0"/>
      <w:marRight w:val="0"/>
      <w:marTop w:val="0"/>
      <w:marBottom w:val="0"/>
      <w:divBdr>
        <w:top w:val="none" w:sz="0" w:space="0" w:color="auto"/>
        <w:left w:val="none" w:sz="0" w:space="0" w:color="auto"/>
        <w:bottom w:val="none" w:sz="0" w:space="0" w:color="auto"/>
        <w:right w:val="none" w:sz="0" w:space="0" w:color="auto"/>
      </w:divBdr>
    </w:div>
    <w:div w:id="1495612508">
      <w:bodyDiv w:val="1"/>
      <w:marLeft w:val="0"/>
      <w:marRight w:val="0"/>
      <w:marTop w:val="0"/>
      <w:marBottom w:val="0"/>
      <w:divBdr>
        <w:top w:val="none" w:sz="0" w:space="0" w:color="auto"/>
        <w:left w:val="none" w:sz="0" w:space="0" w:color="auto"/>
        <w:bottom w:val="none" w:sz="0" w:space="0" w:color="auto"/>
        <w:right w:val="none" w:sz="0" w:space="0" w:color="auto"/>
      </w:divBdr>
    </w:div>
    <w:div w:id="1755781658">
      <w:bodyDiv w:val="1"/>
      <w:marLeft w:val="0"/>
      <w:marRight w:val="0"/>
      <w:marTop w:val="0"/>
      <w:marBottom w:val="0"/>
      <w:divBdr>
        <w:top w:val="none" w:sz="0" w:space="0" w:color="auto"/>
        <w:left w:val="none" w:sz="0" w:space="0" w:color="auto"/>
        <w:bottom w:val="none" w:sz="0" w:space="0" w:color="auto"/>
        <w:right w:val="none" w:sz="0" w:space="0" w:color="auto"/>
      </w:divBdr>
    </w:div>
    <w:div w:id="1813402232">
      <w:bodyDiv w:val="1"/>
      <w:marLeft w:val="0"/>
      <w:marRight w:val="0"/>
      <w:marTop w:val="0"/>
      <w:marBottom w:val="0"/>
      <w:divBdr>
        <w:top w:val="none" w:sz="0" w:space="0" w:color="auto"/>
        <w:left w:val="none" w:sz="0" w:space="0" w:color="auto"/>
        <w:bottom w:val="none" w:sz="0" w:space="0" w:color="auto"/>
        <w:right w:val="none" w:sz="0" w:space="0" w:color="auto"/>
      </w:divBdr>
    </w:div>
    <w:div w:id="1964533901">
      <w:bodyDiv w:val="1"/>
      <w:marLeft w:val="0"/>
      <w:marRight w:val="0"/>
      <w:marTop w:val="0"/>
      <w:marBottom w:val="0"/>
      <w:divBdr>
        <w:top w:val="none" w:sz="0" w:space="0" w:color="auto"/>
        <w:left w:val="none" w:sz="0" w:space="0" w:color="auto"/>
        <w:bottom w:val="none" w:sz="0" w:space="0" w:color="auto"/>
        <w:right w:val="none" w:sz="0" w:space="0" w:color="auto"/>
      </w:divBdr>
    </w:div>
    <w:div w:id="211605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3428</Words>
  <Characters>20230</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Malcekova Katerina</dc:creator>
  <cp:keywords/>
  <dc:description/>
  <cp:lastModifiedBy>Malcekova Katerina</cp:lastModifiedBy>
  <cp:revision>24</cp:revision>
  <dcterms:created xsi:type="dcterms:W3CDTF">2021-11-09T09:57:00Z</dcterms:created>
  <dcterms:modified xsi:type="dcterms:W3CDTF">2022-12-23T07:15:00Z</dcterms:modified>
</cp:coreProperties>
</file>