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1190700517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24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1.</w:t>
      </w:r>
      <w:r>
        <w:rPr>
          <w:spacing w:val="-5"/>
        </w:rPr>
        <w:t> </w:t>
      </w:r>
      <w:r>
        <w:rPr/>
        <w:t>základní</w:t>
      </w:r>
      <w:r>
        <w:rPr>
          <w:spacing w:val="-3"/>
        </w:rPr>
        <w:t> </w:t>
      </w:r>
      <w:r>
        <w:rPr/>
        <w:t>škola</w:t>
      </w:r>
      <w:r>
        <w:rPr>
          <w:spacing w:val="-3"/>
        </w:rPr>
        <w:t> </w:t>
      </w:r>
      <w:r>
        <w:rPr/>
        <w:t>Hořovice</w:t>
      </w:r>
    </w:p>
    <w:p>
      <w:pPr>
        <w:pStyle w:val="BodyText"/>
        <w:spacing w:line="265" w:lineRule="exact" w:before="1"/>
        <w:ind w:left="242"/>
        <w:jc w:val="left"/>
      </w:pPr>
      <w:r>
        <w:rPr/>
        <w:t>příspěvková</w:t>
      </w:r>
      <w:r>
        <w:rPr>
          <w:spacing w:val="-5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Komenského</w:t>
      </w:r>
      <w:r>
        <w:rPr>
          <w:spacing w:val="-2"/>
        </w:rPr>
        <w:t> </w:t>
      </w:r>
      <w:r>
        <w:rPr/>
        <w:t>1245/7,</w:t>
      </w:r>
      <w:r>
        <w:rPr>
          <w:spacing w:val="-5"/>
        </w:rPr>
        <w:t> </w:t>
      </w:r>
      <w:r>
        <w:rPr/>
        <w:t>268 01</w:t>
      </w:r>
      <w:r>
        <w:rPr>
          <w:spacing w:val="-2"/>
        </w:rPr>
        <w:t> </w:t>
      </w:r>
      <w:r>
        <w:rPr/>
        <w:t>Hořovice,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IČO:</w:t>
        <w:tab/>
        <w:t>47515601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zastoupená:</w:t>
        <w:tab/>
        <w:t>Mgr.</w:t>
      </w:r>
      <w:r>
        <w:rPr>
          <w:spacing w:val="-2"/>
        </w:rPr>
        <w:t> </w:t>
      </w:r>
      <w:r>
        <w:rPr/>
        <w:t>Radkem</w:t>
      </w:r>
      <w:r>
        <w:rPr>
          <w:spacing w:val="-2"/>
        </w:rPr>
        <w:t> </w:t>
      </w:r>
      <w:r>
        <w:rPr/>
        <w:t>Š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m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 o u,</w:t>
      </w:r>
      <w:r>
        <w:rPr>
          <w:spacing w:val="1"/>
        </w:rPr>
        <w:t> </w:t>
      </w:r>
      <w:r>
        <w:rPr/>
        <w:t>ředitelem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3"/>
        </w:rPr>
        <w:t> </w:t>
      </w:r>
      <w:r>
        <w:rPr/>
        <w:t>spořitelna,</w:t>
      </w:r>
      <w:r>
        <w:rPr>
          <w:spacing w:val="-5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ind w:left="242" w:right="5154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362992369/0800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spacing w:before="1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272" w:right="314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1190700517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1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4157"/>
        <w:jc w:val="left"/>
      </w:pPr>
      <w:r>
        <w:rPr/>
        <w:t>„Školní</w:t>
      </w:r>
      <w:r>
        <w:rPr>
          <w:spacing w:val="-5"/>
        </w:rPr>
        <w:t> </w:t>
      </w:r>
      <w:r>
        <w:rPr/>
        <w:t>zahrada“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kombinovaná.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 w:right="314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10" w:hanging="284"/>
        <w:jc w:val="both"/>
        <w:rPr>
          <w:b/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467 584,36 Kč </w:t>
      </w:r>
      <w:r>
        <w:rPr>
          <w:sz w:val="20"/>
        </w:rPr>
        <w:t>(čtyři sta</w:t>
      </w:r>
      <w:r>
        <w:rPr>
          <w:spacing w:val="-52"/>
          <w:sz w:val="20"/>
        </w:rPr>
        <w:t> </w:t>
      </w:r>
      <w:r>
        <w:rPr>
          <w:sz w:val="20"/>
        </w:rPr>
        <w:t>šedesát</w:t>
      </w:r>
      <w:r>
        <w:rPr>
          <w:spacing w:val="-2"/>
          <w:sz w:val="20"/>
        </w:rPr>
        <w:t> </w:t>
      </w:r>
      <w:r>
        <w:rPr>
          <w:sz w:val="20"/>
        </w:rPr>
        <w:t>sedm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pět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osmdesát</w:t>
      </w:r>
      <w:r>
        <w:rPr>
          <w:spacing w:val="-2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2"/>
          <w:sz w:val="20"/>
        </w:rPr>
        <w:t> </w:t>
      </w:r>
      <w:r>
        <w:rPr>
          <w:sz w:val="20"/>
        </w:rPr>
        <w:t>českých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třicet</w:t>
      </w:r>
      <w:r>
        <w:rPr>
          <w:spacing w:val="-1"/>
          <w:sz w:val="20"/>
        </w:rPr>
        <w:t> </w:t>
      </w:r>
      <w:r>
        <w:rPr>
          <w:sz w:val="20"/>
        </w:rPr>
        <w:t>šest</w:t>
      </w:r>
      <w:r>
        <w:rPr>
          <w:spacing w:val="-2"/>
          <w:sz w:val="20"/>
        </w:rPr>
        <w:t> </w:t>
      </w:r>
      <w:r>
        <w:rPr>
          <w:sz w:val="20"/>
        </w:rPr>
        <w:t>haléřů)</w:t>
      </w:r>
      <w:r>
        <w:rPr>
          <w:b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činí</w:t>
      </w:r>
      <w:r>
        <w:rPr>
          <w:spacing w:val="-9"/>
          <w:sz w:val="20"/>
        </w:rPr>
        <w:t> </w:t>
      </w:r>
      <w:r>
        <w:rPr>
          <w:sz w:val="20"/>
        </w:rPr>
        <w:t>550</w:t>
      </w:r>
      <w:r>
        <w:rPr>
          <w:spacing w:val="-1"/>
          <w:sz w:val="20"/>
        </w:rPr>
        <w:t> </w:t>
      </w:r>
      <w:r>
        <w:rPr>
          <w:sz w:val="20"/>
        </w:rPr>
        <w:t>099,25</w:t>
      </w:r>
      <w:r>
        <w:rPr>
          <w:spacing w:val="-7"/>
          <w:sz w:val="20"/>
        </w:rPr>
        <w:t> </w:t>
      </w:r>
      <w:r>
        <w:rPr>
          <w:sz w:val="20"/>
        </w:rPr>
        <w:t>Kč</w:t>
      </w:r>
      <w:r>
        <w:rPr>
          <w:spacing w:val="-9"/>
          <w:sz w:val="20"/>
        </w:rPr>
        <w:t> </w:t>
      </w:r>
      <w:r>
        <w:rPr>
          <w:sz w:val="20"/>
        </w:rPr>
        <w:t>(z</w:t>
      </w:r>
      <w:r>
        <w:rPr>
          <w:spacing w:val="-8"/>
          <w:sz w:val="20"/>
        </w:rPr>
        <w:t> </w:t>
      </w:r>
      <w:r>
        <w:rPr>
          <w:sz w:val="20"/>
        </w:rPr>
        <w:t>toho</w:t>
      </w:r>
      <w:r>
        <w:rPr>
          <w:spacing w:val="-7"/>
          <w:sz w:val="20"/>
        </w:rPr>
        <w:t> </w:t>
      </w:r>
      <w:r>
        <w:rPr>
          <w:sz w:val="20"/>
        </w:rPr>
        <w:t>48</w:t>
      </w:r>
      <w:r>
        <w:rPr>
          <w:spacing w:val="-1"/>
          <w:sz w:val="20"/>
        </w:rPr>
        <w:t> </w:t>
      </w:r>
      <w:r>
        <w:rPr>
          <w:sz w:val="20"/>
        </w:rPr>
        <w:t>400,00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-10"/>
          <w:sz w:val="20"/>
        </w:rPr>
        <w:t> </w:t>
      </w:r>
      <w:r>
        <w:rPr>
          <w:sz w:val="20"/>
        </w:rPr>
        <w:t>odpovídá</w:t>
      </w:r>
      <w:r>
        <w:rPr>
          <w:spacing w:val="-10"/>
          <w:sz w:val="20"/>
        </w:rPr>
        <w:t> </w:t>
      </w:r>
      <w:r>
        <w:rPr>
          <w:sz w:val="20"/>
        </w:rPr>
        <w:t>investičním</w:t>
      </w:r>
      <w:r>
        <w:rPr>
          <w:spacing w:val="-10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501 699,25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-10"/>
          <w:sz w:val="20"/>
        </w:rPr>
        <w:t> </w:t>
      </w:r>
      <w:r>
        <w:rPr>
          <w:sz w:val="20"/>
        </w:rPr>
        <w:t>odpovídá</w:t>
      </w:r>
      <w:r>
        <w:rPr>
          <w:spacing w:val="-52"/>
          <w:sz w:val="20"/>
        </w:rPr>
        <w:t> </w:t>
      </w:r>
      <w:r>
        <w:rPr>
          <w:sz w:val="20"/>
        </w:rPr>
        <w:t>neinvestičním</w:t>
      </w:r>
      <w:r>
        <w:rPr>
          <w:spacing w:val="-3"/>
          <w:sz w:val="20"/>
        </w:rPr>
        <w:t> </w:t>
      </w:r>
      <w:r>
        <w:rPr>
          <w:sz w:val="20"/>
        </w:rPr>
        <w:t>výdajům).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67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2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275"/>
      </w:pPr>
      <w:r>
        <w:rPr/>
        <w:t>III.</w:t>
      </w:r>
    </w:p>
    <w:p>
      <w:pPr>
        <w:pStyle w:val="Heading2"/>
        <w:ind w:left="3272" w:right="314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21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5007"/>
      </w:tblGrid>
      <w:tr>
        <w:trPr>
          <w:trHeight w:val="506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7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467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584,36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7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3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7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povinen</w:t>
      </w:r>
      <w:r>
        <w:rPr>
          <w:spacing w:val="17"/>
          <w:sz w:val="20"/>
        </w:rPr>
        <w:t> </w:t>
      </w:r>
      <w:r>
        <w:rPr>
          <w:sz w:val="20"/>
        </w:rPr>
        <w:t>takové</w:t>
      </w:r>
      <w:r>
        <w:rPr>
          <w:spacing w:val="16"/>
          <w:sz w:val="20"/>
        </w:rPr>
        <w:t> </w:t>
      </w:r>
      <w:r>
        <w:rPr>
          <w:sz w:val="20"/>
        </w:rPr>
        <w:t>pokyny</w:t>
      </w:r>
      <w:r>
        <w:rPr>
          <w:spacing w:val="15"/>
          <w:sz w:val="20"/>
        </w:rPr>
        <w:t> </w:t>
      </w:r>
      <w:r>
        <w:rPr>
          <w:sz w:val="20"/>
        </w:rPr>
        <w:t>vydané</w:t>
      </w:r>
      <w:r>
        <w:rPr>
          <w:spacing w:val="18"/>
          <w:sz w:val="20"/>
        </w:rPr>
        <w:t> </w:t>
      </w:r>
      <w:r>
        <w:rPr>
          <w:sz w:val="20"/>
        </w:rPr>
        <w:t>Fondem</w:t>
      </w:r>
      <w:r>
        <w:rPr>
          <w:spacing w:val="16"/>
          <w:sz w:val="20"/>
        </w:rPr>
        <w:t> </w:t>
      </w:r>
      <w:r>
        <w:rPr>
          <w:sz w:val="20"/>
        </w:rPr>
        <w:t>splnit.</w:t>
      </w:r>
      <w:r>
        <w:rPr>
          <w:spacing w:val="18"/>
          <w:sz w:val="20"/>
        </w:rPr>
        <w:t> </w:t>
      </w:r>
      <w:r>
        <w:rPr>
          <w:sz w:val="20"/>
        </w:rPr>
        <w:t>Tyto</w:t>
      </w:r>
      <w:r>
        <w:rPr>
          <w:spacing w:val="17"/>
          <w:sz w:val="20"/>
        </w:rPr>
        <w:t> </w:t>
      </w:r>
      <w:r>
        <w:rPr>
          <w:sz w:val="20"/>
        </w:rPr>
        <w:t>pokyny</w:t>
      </w:r>
      <w:r>
        <w:rPr>
          <w:spacing w:val="16"/>
          <w:sz w:val="20"/>
        </w:rPr>
        <w:t> </w:t>
      </w:r>
      <w:r>
        <w:rPr>
          <w:sz w:val="20"/>
        </w:rPr>
        <w:t>mohou</w:t>
      </w:r>
      <w:r>
        <w:rPr>
          <w:spacing w:val="16"/>
          <w:sz w:val="20"/>
        </w:rPr>
        <w:t> </w:t>
      </w:r>
      <w:r>
        <w:rPr>
          <w:sz w:val="20"/>
        </w:rPr>
        <w:t>být</w:t>
      </w:r>
      <w:r>
        <w:rPr>
          <w:spacing w:val="17"/>
          <w:sz w:val="20"/>
        </w:rPr>
        <w:t> </w:t>
      </w:r>
      <w:r>
        <w:rPr>
          <w:sz w:val="20"/>
        </w:rPr>
        <w:t>uvedeny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1" w:top="1060" w:bottom="1660" w:left="1460" w:right="1020"/>
          <w:cols w:num="2" w:equalWidth="0">
            <w:col w:w="2127" w:space="62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2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byla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odsouhlasené</w:t>
      </w:r>
      <w:r>
        <w:rPr>
          <w:spacing w:val="1"/>
          <w:sz w:val="20"/>
        </w:rPr>
        <w:t> </w:t>
      </w:r>
      <w:r>
        <w:rPr>
          <w:sz w:val="20"/>
        </w:rPr>
        <w:t>projektové</w:t>
      </w:r>
      <w:r>
        <w:rPr>
          <w:spacing w:val="1"/>
          <w:sz w:val="20"/>
        </w:rPr>
        <w:t> </w:t>
      </w:r>
      <w:r>
        <w:rPr>
          <w:sz w:val="20"/>
        </w:rPr>
        <w:t>dokumentace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„Školní</w:t>
      </w:r>
      <w:r>
        <w:rPr>
          <w:spacing w:val="1"/>
          <w:sz w:val="20"/>
        </w:rPr>
        <w:t> </w:t>
      </w:r>
      <w:r>
        <w:rPr>
          <w:sz w:val="20"/>
        </w:rPr>
        <w:t>zahrada“ ze dne 21. 4. 2020, včetně případných změn a doplňků těchto dokumentů, pokud je Fond</w:t>
      </w:r>
      <w:r>
        <w:rPr>
          <w:spacing w:val="-52"/>
          <w:sz w:val="20"/>
        </w:rPr>
        <w:t> </w:t>
      </w:r>
      <w:r>
        <w:rPr>
          <w:sz w:val="20"/>
        </w:rPr>
        <w:t>odsouhlasil,</w:t>
      </w:r>
    </w:p>
    <w:p>
      <w:pPr>
        <w:pStyle w:val="BodyText"/>
        <w:ind w:left="923" w:right="120"/>
      </w:pPr>
      <w:r>
        <w:rPr/>
        <w:t>v</w:t>
      </w:r>
      <w:r>
        <w:rPr>
          <w:spacing w:val="1"/>
        </w:rPr>
        <w:t> </w:t>
      </w:r>
      <w:r>
        <w:rPr/>
        <w:t>období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3/2021</w:t>
      </w:r>
      <w:r>
        <w:rPr>
          <w:spacing w:val="54"/>
        </w:rPr>
        <w:t> </w:t>
      </w:r>
      <w:r>
        <w:rPr/>
        <w:t>do</w:t>
      </w:r>
      <w:r>
        <w:rPr>
          <w:spacing w:val="55"/>
        </w:rPr>
        <w:t> </w:t>
      </w:r>
      <w:r>
        <w:rPr/>
        <w:t>7/2022</w:t>
      </w:r>
      <w:r>
        <w:rPr>
          <w:spacing w:val="55"/>
        </w:rPr>
        <w:t> </w:t>
      </w:r>
      <w:r>
        <w:rPr/>
        <w:t>pořídil</w:t>
      </w:r>
      <w:r>
        <w:rPr>
          <w:spacing w:val="55"/>
        </w:rPr>
        <w:t> </w:t>
      </w:r>
      <w:r>
        <w:rPr/>
        <w:t>předměty uvedené v</w:t>
      </w:r>
      <w:r>
        <w:rPr>
          <w:spacing w:val="54"/>
        </w:rPr>
        <w:t> </w:t>
      </w:r>
      <w:r>
        <w:rPr/>
        <w:t>aktualizovaném rozpočtu projektu</w:t>
      </w:r>
      <w:r>
        <w:rPr>
          <w:spacing w:val="-52"/>
        </w:rPr>
        <w:t> </w:t>
      </w:r>
      <w:r>
        <w:rPr/>
        <w:t>ze dne 1. 12. 2022 a vysadil minimálně jeden stanovištně vhodný strom, přičemž se zavazuje zajistit</w:t>
      </w:r>
      <w:r>
        <w:rPr>
          <w:spacing w:val="-52"/>
        </w:rPr>
        <w:t> </w:t>
      </w:r>
      <w:r>
        <w:rPr/>
        <w:t>následnou</w:t>
      </w:r>
      <w:r>
        <w:rPr>
          <w:spacing w:val="-1"/>
        </w:rPr>
        <w:t> </w:t>
      </w:r>
      <w:r>
        <w:rPr/>
        <w:t>péči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3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12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1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9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24"/>
          <w:sz w:val="20"/>
        </w:rPr>
        <w:t> </w:t>
      </w:r>
      <w:r>
        <w:rPr>
          <w:sz w:val="20"/>
        </w:rPr>
        <w:t>osobám</w:t>
      </w:r>
      <w:r>
        <w:rPr>
          <w:spacing w:val="76"/>
          <w:sz w:val="20"/>
        </w:rPr>
        <w:t> </w:t>
      </w:r>
      <w:r>
        <w:rPr>
          <w:sz w:val="20"/>
        </w:rPr>
        <w:t>pověřeným</w:t>
      </w:r>
      <w:r>
        <w:rPr>
          <w:spacing w:val="77"/>
          <w:sz w:val="20"/>
        </w:rPr>
        <w:t> </w:t>
      </w:r>
      <w:r>
        <w:rPr>
          <w:sz w:val="20"/>
        </w:rPr>
        <w:t>Fondem</w:t>
      </w:r>
      <w:r>
        <w:rPr>
          <w:spacing w:val="77"/>
          <w:sz w:val="20"/>
        </w:rPr>
        <w:t> </w:t>
      </w:r>
      <w:r>
        <w:rPr>
          <w:sz w:val="20"/>
        </w:rPr>
        <w:t>případně</w:t>
      </w:r>
      <w:r>
        <w:rPr>
          <w:spacing w:val="79"/>
          <w:sz w:val="20"/>
        </w:rPr>
        <w:t> </w:t>
      </w:r>
      <w:r>
        <w:rPr>
          <w:sz w:val="20"/>
        </w:rPr>
        <w:t>jiným</w:t>
      </w:r>
      <w:r>
        <w:rPr>
          <w:spacing w:val="77"/>
          <w:sz w:val="20"/>
        </w:rPr>
        <w:t> </w:t>
      </w:r>
      <w:r>
        <w:rPr>
          <w:sz w:val="20"/>
        </w:rPr>
        <w:t>oprávněným</w:t>
      </w:r>
      <w:r>
        <w:rPr>
          <w:spacing w:val="76"/>
          <w:sz w:val="20"/>
        </w:rPr>
        <w:t> </w:t>
      </w:r>
      <w:r>
        <w:rPr>
          <w:sz w:val="20"/>
        </w:rPr>
        <w:t>kontrolním</w:t>
      </w:r>
      <w:r>
        <w:rPr>
          <w:spacing w:val="77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po dobu 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 konce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9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 nejpozději do 30 dnů ode dne jejich odepsání z bankovního účtu Fondu vrátit na bankovní účet</w:t>
      </w:r>
      <w:r>
        <w:rPr>
          <w:spacing w:val="1"/>
          <w:sz w:val="20"/>
        </w:rPr>
        <w:t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1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7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6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5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6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0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2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informace,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aktuálních</w:t>
      </w:r>
      <w:r>
        <w:rPr>
          <w:spacing w:val="18"/>
          <w:sz w:val="20"/>
        </w:rPr>
        <w:t> </w:t>
      </w:r>
      <w:r>
        <w:rPr>
          <w:sz w:val="20"/>
        </w:rPr>
        <w:t>Pokynech</w:t>
      </w:r>
      <w:r>
        <w:rPr>
          <w:spacing w:val="19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zadávání</w:t>
      </w:r>
      <w:r>
        <w:rPr>
          <w:spacing w:val="19"/>
          <w:sz w:val="20"/>
        </w:rPr>
        <w:t> </w:t>
      </w:r>
      <w:r>
        <w:rPr>
          <w:sz w:val="20"/>
        </w:rPr>
        <w:t>veřejných</w:t>
      </w:r>
      <w:r>
        <w:rPr>
          <w:spacing w:val="18"/>
          <w:sz w:val="20"/>
        </w:rPr>
        <w:t> </w:t>
      </w:r>
      <w:r>
        <w:rPr>
          <w:sz w:val="20"/>
        </w:rPr>
        <w:t>zakázek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OPŽP</w:t>
      </w:r>
      <w:r>
        <w:rPr>
          <w:spacing w:val="18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8"/>
          <w:sz w:val="20"/>
        </w:rPr>
        <w:t> </w:t>
      </w:r>
      <w:r>
        <w:rPr>
          <w:sz w:val="20"/>
        </w:rPr>
        <w:t>jsou</w:t>
      </w:r>
      <w:r>
        <w:rPr>
          <w:spacing w:val="18"/>
          <w:sz w:val="20"/>
        </w:rPr>
        <w:t> </w:t>
      </w:r>
      <w:r>
        <w:rPr>
          <w:sz w:val="20"/>
        </w:rPr>
        <w:t>zveřejněny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1"/>
          <w:sz w:val="20"/>
        </w:rPr>
        <w:t> </w:t>
      </w:r>
      <w:r>
        <w:rPr>
          <w:sz w:val="20"/>
        </w:rPr>
        <w:t>program</w:t>
      </w:r>
      <w:r>
        <w:rPr>
          <w:spacing w:val="-13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spacing w:before="1"/>
        <w:ind w:left="808" w:right="111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1"/>
        </w:rPr>
        <w:t> </w:t>
      </w:r>
      <w:r>
        <w:rPr/>
        <w:t>povinnosti</w:t>
      </w:r>
      <w:r>
        <w:rPr>
          <w:spacing w:val="54"/>
        </w:rPr>
        <w:t> </w:t>
      </w:r>
      <w:r>
        <w:rPr/>
        <w:t>relevantní</w:t>
      </w:r>
      <w:r>
        <w:rPr>
          <w:spacing w:val="55"/>
        </w:rPr>
        <w:t> </w:t>
      </w:r>
      <w:r>
        <w:rPr/>
        <w:t>pouze pro</w:t>
      </w:r>
      <w:r>
        <w:rPr>
          <w:spacing w:val="55"/>
        </w:rPr>
        <w:t> </w:t>
      </w:r>
      <w:r>
        <w:rPr/>
        <w:t>OPŽP 2014-2020</w:t>
      </w:r>
      <w:r>
        <w:rPr>
          <w:spacing w:val="55"/>
        </w:rPr>
        <w:t> </w:t>
      </w:r>
      <w:r>
        <w:rPr/>
        <w:t>se na</w:t>
      </w:r>
      <w:r>
        <w:rPr>
          <w:spacing w:val="54"/>
        </w:rPr>
        <w:t> </w:t>
      </w:r>
      <w:r>
        <w:rPr/>
        <w:t>příjemce podpory</w:t>
      </w:r>
      <w:r>
        <w:rPr>
          <w:spacing w:val="55"/>
        </w:rPr>
        <w:t> </w:t>
      </w:r>
      <w:r>
        <w:rPr/>
        <w:t>nevztahují.</w:t>
      </w:r>
      <w:r>
        <w:rPr>
          <w:spacing w:val="-52"/>
        </w:rPr>
        <w:t> </w:t>
      </w:r>
      <w:r>
        <w:rPr/>
        <w:t>V této</w:t>
      </w:r>
      <w:r>
        <w:rPr>
          <w:spacing w:val="-1"/>
        </w:rPr>
        <w:t> </w:t>
      </w:r>
      <w:r>
        <w:rPr/>
        <w:t>souvislosti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</w:t>
      </w:r>
      <w:r>
        <w:rPr>
          <w:spacing w:val="2"/>
        </w:rPr>
        <w:t> </w:t>
      </w:r>
      <w:r>
        <w:rPr/>
        <w:t>uvedená</w:t>
      </w:r>
      <w:r>
        <w:rPr>
          <w:spacing w:val="-2"/>
        </w:rPr>
        <w:t> </w:t>
      </w:r>
      <w:r>
        <w:rPr/>
        <w:t>pravidla</w:t>
      </w:r>
      <w:r>
        <w:rPr>
          <w:spacing w:val="-1"/>
        </w:rPr>
        <w:t> </w:t>
      </w:r>
      <w:r>
        <w:rPr/>
        <w:t>byla</w:t>
      </w:r>
      <w:r>
        <w:rPr>
          <w:spacing w:val="-2"/>
        </w:rPr>
        <w:t> </w:t>
      </w:r>
      <w:r>
        <w:rPr/>
        <w:t>dodržena.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46"/>
          <w:sz w:val="20"/>
        </w:rPr>
        <w:t> </w:t>
      </w:r>
      <w:r>
        <w:rPr>
          <w:sz w:val="20"/>
        </w:rPr>
        <w:t>postiženo</w:t>
      </w:r>
      <w:r>
        <w:rPr>
          <w:spacing w:val="49"/>
          <w:sz w:val="20"/>
        </w:rPr>
        <w:t> </w:t>
      </w:r>
      <w:r>
        <w:rPr>
          <w:sz w:val="20"/>
        </w:rPr>
        <w:t>odvodem</w:t>
      </w:r>
      <w:r>
        <w:rPr>
          <w:spacing w:val="49"/>
          <w:sz w:val="20"/>
        </w:rPr>
        <w:t> </w:t>
      </w:r>
      <w:r>
        <w:rPr>
          <w:sz w:val="20"/>
        </w:rPr>
        <w:t>ve</w:t>
      </w:r>
      <w:r>
        <w:rPr>
          <w:spacing w:val="47"/>
          <w:sz w:val="20"/>
        </w:rPr>
        <w:t> </w:t>
      </w:r>
      <w:r>
        <w:rPr>
          <w:sz w:val="20"/>
        </w:rPr>
        <w:t>výši</w:t>
      </w:r>
      <w:r>
        <w:rPr>
          <w:spacing w:val="48"/>
          <w:sz w:val="20"/>
        </w:rPr>
        <w:t> </w:t>
      </w:r>
      <w:r>
        <w:rPr>
          <w:sz w:val="20"/>
        </w:rPr>
        <w:t>100</w:t>
      </w:r>
      <w:r>
        <w:rPr>
          <w:spacing w:val="49"/>
          <w:sz w:val="20"/>
        </w:rPr>
        <w:t> </w:t>
      </w:r>
      <w:r>
        <w:rPr>
          <w:sz w:val="20"/>
        </w:rPr>
        <w:t>%</w:t>
      </w:r>
      <w:r>
        <w:rPr>
          <w:spacing w:val="48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poskytnuté</w:t>
      </w:r>
      <w:r>
        <w:rPr>
          <w:spacing w:val="46"/>
          <w:sz w:val="20"/>
        </w:rPr>
        <w:t> </w:t>
      </w:r>
      <w:r>
        <w:rPr>
          <w:sz w:val="20"/>
        </w:rPr>
        <w:t>podpory.</w:t>
      </w:r>
      <w:r>
        <w:rPr>
          <w:spacing w:val="51"/>
          <w:sz w:val="20"/>
        </w:rPr>
        <w:t> </w:t>
      </w:r>
      <w:r>
        <w:rPr>
          <w:sz w:val="20"/>
        </w:rPr>
        <w:t>Porušení</w:t>
      </w:r>
      <w:r>
        <w:rPr>
          <w:spacing w:val="48"/>
          <w:sz w:val="20"/>
        </w:rPr>
        <w:t> </w:t>
      </w:r>
      <w:r>
        <w:rPr>
          <w:sz w:val="20"/>
        </w:rPr>
        <w:t>povinností</w:t>
      </w:r>
      <w:r>
        <w:rPr>
          <w:spacing w:val="47"/>
          <w:sz w:val="20"/>
        </w:rPr>
        <w:t> </w:t>
      </w:r>
      <w:r>
        <w:rPr>
          <w:sz w:val="20"/>
        </w:rPr>
        <w:t>podle</w:t>
      </w:r>
      <w:r>
        <w:rPr>
          <w:spacing w:val="47"/>
          <w:sz w:val="20"/>
        </w:rPr>
        <w:t> </w:t>
      </w:r>
      <w:r>
        <w:rPr>
          <w:sz w:val="20"/>
        </w:rPr>
        <w:t>článku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460" w:right="1020"/>
        </w:sectPr>
      </w:pPr>
    </w:p>
    <w:p>
      <w:pPr>
        <w:pStyle w:val="BodyText"/>
        <w:spacing w:before="73"/>
        <w:ind w:right="112"/>
      </w:pPr>
      <w:r>
        <w:rPr/>
        <w:t>IV</w:t>
      </w:r>
      <w:r>
        <w:rPr>
          <w:spacing w:val="-1"/>
        </w:rPr>
        <w:t> </w:t>
      </w:r>
      <w:r>
        <w:rPr/>
        <w:t>bodu</w:t>
      </w:r>
      <w:r>
        <w:rPr>
          <w:spacing w:val="-1"/>
        </w:rPr>
        <w:t> </w:t>
      </w:r>
      <w:r>
        <w:rPr/>
        <w:t>1</w:t>
      </w:r>
      <w:r>
        <w:rPr>
          <w:spacing w:val="46"/>
        </w:rPr>
        <w:t> </w:t>
      </w:r>
      <w:r>
        <w:rPr/>
        <w:t>písm.</w:t>
      </w:r>
      <w:r>
        <w:rPr>
          <w:spacing w:val="-1"/>
        </w:rPr>
        <w:t> </w:t>
      </w:r>
      <w:r>
        <w:rPr/>
        <w:t>b)</w:t>
      </w:r>
      <w:r>
        <w:rPr>
          <w:spacing w:val="45"/>
        </w:rPr>
        <w:t> </w:t>
      </w:r>
      <w:r>
        <w:rPr/>
        <w:t>za</w:t>
      </w:r>
      <w:r>
        <w:rPr>
          <w:spacing w:val="45"/>
        </w:rPr>
        <w:t> </w:t>
      </w:r>
      <w:r>
        <w:rPr/>
        <w:t>první,</w:t>
      </w:r>
      <w:r>
        <w:rPr>
          <w:spacing w:val="47"/>
        </w:rPr>
        <w:t> </w:t>
      </w:r>
      <w:r>
        <w:rPr/>
        <w:t>druhou</w:t>
      </w:r>
      <w:r>
        <w:rPr>
          <w:spacing w:val="46"/>
        </w:rPr>
        <w:t> </w:t>
      </w:r>
      <w:r>
        <w:rPr/>
        <w:t>nebo</w:t>
      </w:r>
      <w:r>
        <w:rPr>
          <w:spacing w:val="47"/>
        </w:rPr>
        <w:t> </w:t>
      </w:r>
      <w:r>
        <w:rPr/>
        <w:t>třetí</w:t>
      </w:r>
      <w:r>
        <w:rPr>
          <w:spacing w:val="45"/>
        </w:rPr>
        <w:t> </w:t>
      </w:r>
      <w:r>
        <w:rPr/>
        <w:t>odrážkou</w:t>
      </w:r>
      <w:r>
        <w:rPr>
          <w:spacing w:val="46"/>
        </w:rPr>
        <w:t> </w:t>
      </w:r>
      <w:r>
        <w:rPr/>
        <w:t>bude</w:t>
      </w:r>
      <w:r>
        <w:rPr>
          <w:spacing w:val="45"/>
        </w:rPr>
        <w:t> </w:t>
      </w:r>
      <w:r>
        <w:rPr/>
        <w:t>postiženo</w:t>
      </w:r>
      <w:r>
        <w:rPr>
          <w:spacing w:val="46"/>
        </w:rPr>
        <w:t> </w:t>
      </w:r>
      <w:r>
        <w:rPr/>
        <w:t>odvodem</w:t>
      </w:r>
      <w:r>
        <w:rPr>
          <w:spacing w:val="45"/>
        </w:rPr>
        <w:t> </w:t>
      </w:r>
      <w:r>
        <w:rPr/>
        <w:t>ve</w:t>
      </w:r>
      <w:r>
        <w:rPr>
          <w:spacing w:val="46"/>
        </w:rPr>
        <w:t> </w:t>
      </w:r>
      <w:r>
        <w:rPr/>
        <w:t>výši</w:t>
      </w:r>
      <w:r>
        <w:rPr>
          <w:spacing w:val="44"/>
        </w:rPr>
        <w:t> </w:t>
      </w:r>
      <w:r>
        <w:rPr/>
        <w:t>100</w:t>
      </w:r>
      <w:r>
        <w:rPr>
          <w:spacing w:val="46"/>
        </w:rPr>
        <w:t> </w:t>
      </w:r>
      <w:r>
        <w:rPr/>
        <w:t>%</w:t>
      </w:r>
      <w:r>
        <w:rPr>
          <w:spacing w:val="-52"/>
        </w:rPr>
        <w:t> </w:t>
      </w:r>
      <w:r>
        <w:rPr/>
        <w:t>z poskytnuté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5"/>
          <w:sz w:val="20"/>
        </w:rPr>
        <w:t> </w:t>
      </w:r>
      <w:r>
        <w:rPr>
          <w:sz w:val="20"/>
        </w:rPr>
        <w:t>odvodem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7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spacing w:before="1"/>
        <w:ind w:left="3277"/>
      </w:pPr>
      <w:r>
        <w:rPr/>
        <w:t>VI.</w:t>
      </w:r>
    </w:p>
    <w:p>
      <w:pPr>
        <w:pStyle w:val="Heading2"/>
        <w:ind w:left="3274" w:right="31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7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1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10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9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7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64" w:lineRule="auto" w:before="1"/>
        <w:ind w:left="242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3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1" w:top="1060" w:bottom="1660" w:left="1460" w:right="1020"/>
        </w:sectPr>
      </w:pPr>
    </w:p>
    <w:p>
      <w:pPr>
        <w:pStyle w:val="BodyText"/>
        <w:spacing w:before="73"/>
        <w:ind w:left="242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4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použijí</w:t>
      </w:r>
      <w:r>
        <w:rPr>
          <w:spacing w:val="26"/>
        </w:rPr>
        <w:t> </w:t>
      </w:r>
      <w:r>
        <w:rPr/>
        <w:t>v</w:t>
      </w:r>
      <w:r>
        <w:rPr>
          <w:spacing w:val="25"/>
        </w:rPr>
        <w:t> </w:t>
      </w:r>
      <w:r>
        <w:rPr/>
        <w:t>případě</w:t>
      </w:r>
      <w:r>
        <w:rPr>
          <w:spacing w:val="28"/>
        </w:rPr>
        <w:t> </w:t>
      </w:r>
      <w:r>
        <w:rPr/>
        <w:t>porušení</w:t>
      </w:r>
      <w:r>
        <w:rPr>
          <w:spacing w:val="28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3"/>
          <w:sz w:val="20"/>
        </w:rPr>
        <w:t> </w:t>
      </w:r>
      <w:r>
        <w:rPr>
          <w:sz w:val="20"/>
        </w:rPr>
        <w:t>v OPŽP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2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5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5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8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 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7"/>
          <w:sz w:val="20"/>
        </w:rPr>
        <w:t> </w:t>
      </w:r>
      <w:r>
        <w:rPr>
          <w:sz w:val="20"/>
        </w:rPr>
        <w:t>typ</w:t>
      </w:r>
      <w:r>
        <w:rPr>
          <w:spacing w:val="15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 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1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1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49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1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 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1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1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1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1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74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3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2023-01-16T08:46:57Z</dcterms:created>
  <dcterms:modified xsi:type="dcterms:W3CDTF">2023-01-16T08:46:57Z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