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3E943" w14:textId="74F841D3" w:rsidR="00F625B9" w:rsidRPr="00F62567" w:rsidRDefault="00F625B9" w:rsidP="00F62567">
      <w:pPr>
        <w:spacing w:before="60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567">
        <w:rPr>
          <w:rFonts w:ascii="Times New Roman" w:hAnsi="Times New Roman" w:cs="Times New Roman"/>
          <w:b/>
          <w:sz w:val="32"/>
          <w:szCs w:val="32"/>
        </w:rPr>
        <w:t xml:space="preserve">SMLOUVA O DÍLO NA </w:t>
      </w:r>
      <w:r w:rsidR="00CE042D">
        <w:rPr>
          <w:rFonts w:ascii="Times New Roman" w:hAnsi="Times New Roman" w:cs="Times New Roman"/>
          <w:b/>
          <w:sz w:val="32"/>
          <w:szCs w:val="32"/>
        </w:rPr>
        <w:t>PROVEDENÍ MENŠÍCH</w:t>
      </w:r>
      <w:r w:rsidR="00CE042D" w:rsidRPr="00F625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2567">
        <w:rPr>
          <w:rFonts w:ascii="Times New Roman" w:hAnsi="Times New Roman" w:cs="Times New Roman"/>
          <w:b/>
          <w:sz w:val="32"/>
          <w:szCs w:val="32"/>
        </w:rPr>
        <w:t>STAVEBNÍCH PRACÍ</w:t>
      </w:r>
    </w:p>
    <w:p w14:paraId="12489685" w14:textId="54AB2D77" w:rsidR="00A30544" w:rsidRPr="00F62567" w:rsidRDefault="00CE042D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30544" w:rsidRPr="00F62567">
        <w:rPr>
          <w:rFonts w:ascii="Times New Roman" w:hAnsi="Times New Roman" w:cs="Times New Roman"/>
          <w:sz w:val="24"/>
          <w:szCs w:val="24"/>
        </w:rPr>
        <w:t xml:space="preserve">íslo smlouvy: </w:t>
      </w:r>
      <w:r w:rsidR="00CA68F2">
        <w:rPr>
          <w:rFonts w:ascii="Times New Roman" w:hAnsi="Times New Roman" w:cs="Times New Roman"/>
          <w:sz w:val="24"/>
          <w:szCs w:val="24"/>
        </w:rPr>
        <w:t>07PU-002287</w:t>
      </w:r>
      <w:r w:rsidR="00DF6B8D">
        <w:rPr>
          <w:rFonts w:ascii="Times New Roman" w:hAnsi="Times New Roman" w:cs="Times New Roman"/>
          <w:sz w:val="24"/>
          <w:szCs w:val="24"/>
        </w:rPr>
        <w:t>, 34-00102/17</w:t>
      </w:r>
    </w:p>
    <w:p w14:paraId="05C32471" w14:textId="5A6A1F80" w:rsidR="00A30544" w:rsidRDefault="00A30544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CA68F2">
        <w:rPr>
          <w:rFonts w:ascii="Times New Roman" w:hAnsi="Times New Roman" w:cs="Times New Roman"/>
          <w:sz w:val="24"/>
          <w:szCs w:val="24"/>
        </w:rPr>
        <w:t>500 111 0007</w:t>
      </w:r>
    </w:p>
    <w:p w14:paraId="2A59B867" w14:textId="2E80F603" w:rsidR="00CE042D" w:rsidRPr="00F62567" w:rsidRDefault="00CE042D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CA68F2" w:rsidRPr="00DF6B8D">
        <w:rPr>
          <w:rFonts w:ascii="Times New Roman" w:hAnsi="Times New Roman" w:cs="Times New Roman"/>
          <w:b/>
          <w:sz w:val="24"/>
          <w:szCs w:val="24"/>
        </w:rPr>
        <w:t>102/17 Zajištění přechodné úpravy provozu na dálnici II. třídy D6 a silnicích I. třídy v Karlovarském kraji</w:t>
      </w:r>
    </w:p>
    <w:p w14:paraId="4F04077B" w14:textId="77777777" w:rsidR="00A30544" w:rsidRDefault="00A30544" w:rsidP="00F6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9FDF22" w14:textId="77777777" w:rsidR="00A30544" w:rsidRDefault="00A30544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F62567">
        <w:rPr>
          <w:rFonts w:ascii="Times New Roman" w:hAnsi="Times New Roman" w:cs="Times New Roman"/>
          <w:sz w:val="24"/>
          <w:szCs w:val="24"/>
        </w:rPr>
        <w:t>“):</w:t>
      </w:r>
    </w:p>
    <w:p w14:paraId="5840194E" w14:textId="77777777" w:rsidR="00A30544" w:rsidRPr="00F62567" w:rsidRDefault="00A30544" w:rsidP="00F6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17AC24" w14:textId="77777777" w:rsidR="00A30544" w:rsidRPr="00A30544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14:paraId="5D339CA5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F62567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14:paraId="200D4F4B" w14:textId="77777777" w:rsidR="00A30544" w:rsidRPr="00F62567" w:rsidRDefault="008E17E0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="00A30544" w:rsidRPr="00F62567">
        <w:rPr>
          <w:rFonts w:ascii="Times New Roman" w:hAnsi="Times New Roman" w:cs="Times New Roman"/>
          <w:sz w:val="24"/>
          <w:szCs w:val="24"/>
        </w:rPr>
        <w:t>390</w:t>
      </w:r>
    </w:p>
    <w:p w14:paraId="39A7B28F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DIČ: </w:t>
      </w:r>
      <w:r w:rsidRPr="00F62567">
        <w:rPr>
          <w:rFonts w:ascii="Times New Roman" w:hAnsi="Times New Roman" w:cs="Times New Roman"/>
          <w:sz w:val="24"/>
          <w:szCs w:val="24"/>
        </w:rPr>
        <w:tab/>
        <w:t>CZ65993390</w:t>
      </w:r>
    </w:p>
    <w:p w14:paraId="7179E845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F62567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14:paraId="6CD0947A" w14:textId="2A022E3B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bankovní spojení: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6910E1">
        <w:rPr>
          <w:rFonts w:ascii="Times New Roman" w:hAnsi="Times New Roman" w:cs="Times New Roman"/>
          <w:sz w:val="24"/>
          <w:szCs w:val="24"/>
        </w:rPr>
        <w:t>ČNB</w:t>
      </w:r>
      <w:r w:rsidRPr="00F62567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F6256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035FA1" w:rsidRPr="00035FA1">
        <w:rPr>
          <w:rFonts w:ascii="Times New Roman" w:hAnsi="Times New Roman" w:cs="Times New Roman"/>
          <w:sz w:val="24"/>
          <w:szCs w:val="24"/>
        </w:rPr>
        <w:t>20001-15937031/0710</w:t>
      </w:r>
    </w:p>
    <w:p w14:paraId="18DCFE70" w14:textId="27F902FE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zastoupeno: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CA68F2">
        <w:rPr>
          <w:rFonts w:ascii="Times New Roman" w:hAnsi="Times New Roman" w:cs="Times New Roman"/>
          <w:sz w:val="24"/>
          <w:szCs w:val="24"/>
        </w:rPr>
        <w:t>Ing. Jan Kroupa</w:t>
      </w:r>
      <w:r w:rsidRPr="00F62567">
        <w:rPr>
          <w:rFonts w:ascii="Times New Roman" w:hAnsi="Times New Roman" w:cs="Times New Roman"/>
          <w:sz w:val="24"/>
          <w:szCs w:val="24"/>
        </w:rPr>
        <w:t xml:space="preserve">, generální ředitel </w:t>
      </w:r>
    </w:p>
    <w:p w14:paraId="7119DABD" w14:textId="07C939C8" w:rsidR="00A30544" w:rsidRPr="00DF6B8D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DF6B8D">
        <w:rPr>
          <w:rFonts w:ascii="Times New Roman" w:hAnsi="Times New Roman" w:cs="Times New Roman"/>
          <w:sz w:val="24"/>
          <w:szCs w:val="24"/>
        </w:rPr>
        <w:t>osoba ve věcech smluvních:</w:t>
      </w:r>
      <w:r w:rsidRPr="00DF6B8D">
        <w:rPr>
          <w:rFonts w:ascii="Times New Roman" w:hAnsi="Times New Roman" w:cs="Times New Roman"/>
          <w:sz w:val="24"/>
          <w:szCs w:val="24"/>
        </w:rPr>
        <w:tab/>
      </w:r>
      <w:r w:rsidR="00DF6B8D">
        <w:rPr>
          <w:rFonts w:ascii="Times New Roman" w:hAnsi="Times New Roman" w:cs="Times New Roman"/>
          <w:sz w:val="24"/>
          <w:szCs w:val="24"/>
        </w:rPr>
        <w:t>Bc. Lukáš Hnízdil, ředitel Správy Karlovy Vary</w:t>
      </w:r>
    </w:p>
    <w:p w14:paraId="07E96C84" w14:textId="3886F757" w:rsidR="00A30544" w:rsidRPr="00DF6B8D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e-mail:</w:t>
      </w:r>
      <w:r w:rsidRPr="00DF6B8D">
        <w:rPr>
          <w:rFonts w:ascii="Times New Roman" w:hAnsi="Times New Roman" w:cs="Times New Roman"/>
          <w:sz w:val="24"/>
          <w:szCs w:val="24"/>
        </w:rPr>
        <w:tab/>
      </w:r>
      <w:r w:rsidR="00DF6B8D">
        <w:rPr>
          <w:rFonts w:ascii="Times New Roman" w:hAnsi="Times New Roman" w:cs="Times New Roman"/>
          <w:sz w:val="24"/>
          <w:szCs w:val="24"/>
        </w:rPr>
        <w:t>lukas.hnizdil@rsd.cz</w:t>
      </w:r>
    </w:p>
    <w:p w14:paraId="20F4AE24" w14:textId="1803E36B" w:rsidR="00A30544" w:rsidRPr="00DF6B8D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tel:</w:t>
      </w:r>
      <w:r w:rsidRPr="00DF6B8D">
        <w:rPr>
          <w:rFonts w:ascii="Times New Roman" w:hAnsi="Times New Roman" w:cs="Times New Roman"/>
          <w:sz w:val="24"/>
          <w:szCs w:val="24"/>
        </w:rPr>
        <w:tab/>
      </w:r>
      <w:r w:rsidR="00DF6B8D">
        <w:rPr>
          <w:rFonts w:ascii="Times New Roman" w:hAnsi="Times New Roman" w:cs="Times New Roman"/>
          <w:sz w:val="24"/>
          <w:szCs w:val="24"/>
        </w:rPr>
        <w:t>+420 353 240 210</w:t>
      </w:r>
    </w:p>
    <w:p w14:paraId="65C958AB" w14:textId="0F7864A4" w:rsidR="00A30544" w:rsidRPr="00DF6B8D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kontaktní osoba ve věc</w:t>
      </w:r>
      <w:r w:rsidR="00DF6B8D">
        <w:rPr>
          <w:rFonts w:ascii="Times New Roman" w:hAnsi="Times New Roman" w:cs="Times New Roman"/>
          <w:sz w:val="24"/>
          <w:szCs w:val="24"/>
        </w:rPr>
        <w:t>ech technických:</w:t>
      </w:r>
      <w:r w:rsidR="00DF6B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14:paraId="785B7DCC" w14:textId="1F19164D" w:rsidR="00A30544" w:rsidRPr="00DF6B8D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e-mail:</w:t>
      </w:r>
      <w:r w:rsidRPr="00DF6B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14:paraId="68F5E79A" w14:textId="248C64D9" w:rsidR="00A30544" w:rsidRPr="00DF6B8D" w:rsidRDefault="00DF6B8D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14:paraId="3CC2FFBF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(dále jen „</w:t>
      </w:r>
      <w:r w:rsidRPr="00DF6B8D">
        <w:rPr>
          <w:rFonts w:ascii="Times New Roman" w:hAnsi="Times New Roman" w:cs="Times New Roman"/>
          <w:b/>
          <w:sz w:val="24"/>
          <w:szCs w:val="24"/>
        </w:rPr>
        <w:t>Objednatel</w:t>
      </w:r>
      <w:r w:rsidRPr="00DF6B8D">
        <w:rPr>
          <w:rFonts w:ascii="Times New Roman" w:hAnsi="Times New Roman" w:cs="Times New Roman"/>
          <w:sz w:val="24"/>
          <w:szCs w:val="24"/>
        </w:rPr>
        <w:t>”)</w:t>
      </w:r>
    </w:p>
    <w:p w14:paraId="0EDB3ED7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a </w:t>
      </w:r>
      <w:r w:rsidRPr="00F62567">
        <w:rPr>
          <w:rFonts w:ascii="Times New Roman" w:hAnsi="Times New Roman" w:cs="Times New Roman"/>
          <w:sz w:val="24"/>
          <w:szCs w:val="24"/>
        </w:rPr>
        <w:tab/>
      </w:r>
    </w:p>
    <w:p w14:paraId="6CF5A1AC" w14:textId="2C8A6615" w:rsidR="00A30544" w:rsidRPr="00A30544" w:rsidRDefault="001C0E36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0E36">
        <w:rPr>
          <w:rFonts w:ascii="Times New Roman" w:hAnsi="Times New Roman" w:cs="Times New Roman"/>
          <w:b/>
          <w:sz w:val="24"/>
          <w:szCs w:val="24"/>
        </w:rPr>
        <w:t>Údržba silnic Karlovarského kraje, a.s.</w:t>
      </w:r>
    </w:p>
    <w:p w14:paraId="26482A70" w14:textId="7F3F1D0F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se sídlem</w:t>
      </w:r>
      <w:r w:rsidR="001C0E36">
        <w:rPr>
          <w:rFonts w:ascii="Times New Roman" w:hAnsi="Times New Roman" w:cs="Times New Roman"/>
          <w:sz w:val="24"/>
          <w:szCs w:val="24"/>
        </w:rPr>
        <w:t>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>Na Vlečce 177, 360 01 Otovice</w:t>
      </w:r>
    </w:p>
    <w:p w14:paraId="3990D458" w14:textId="0C5181F2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IČO: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>26402608</w:t>
      </w:r>
    </w:p>
    <w:p w14:paraId="042EFCA7" w14:textId="348B93FC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DIČ: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>CZ26402068</w:t>
      </w:r>
    </w:p>
    <w:p w14:paraId="199F4D7D" w14:textId="639A359A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>KS v Plzni oddíl B, vložka 1197</w:t>
      </w:r>
    </w:p>
    <w:p w14:paraId="0F6C7E71" w14:textId="73B913BA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právní forma: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>akciová společnosti</w:t>
      </w:r>
    </w:p>
    <w:p w14:paraId="503B7A35" w14:textId="74491954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bankovní spojení: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 xml:space="preserve">Komerční banka, a.s., </w:t>
      </w:r>
      <w:proofErr w:type="spellStart"/>
      <w:proofErr w:type="gramStart"/>
      <w:r w:rsidR="001C0E36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1C0E36">
        <w:rPr>
          <w:rFonts w:ascii="Times New Roman" w:hAnsi="Times New Roman" w:cs="Times New Roman"/>
          <w:sz w:val="24"/>
          <w:szCs w:val="24"/>
        </w:rPr>
        <w:t>: 35</w:t>
      </w:r>
      <w:proofErr w:type="gramEnd"/>
      <w:r w:rsidR="001C0E36">
        <w:rPr>
          <w:rFonts w:ascii="Times New Roman" w:hAnsi="Times New Roman" w:cs="Times New Roman"/>
          <w:sz w:val="24"/>
          <w:szCs w:val="24"/>
        </w:rPr>
        <w:t>-6289030207/0100</w:t>
      </w:r>
    </w:p>
    <w:p w14:paraId="5DDFE120" w14:textId="77777777" w:rsidR="001C0E36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zastoupen: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1C0E36">
        <w:rPr>
          <w:rFonts w:ascii="Times New Roman" w:hAnsi="Times New Roman" w:cs="Times New Roman"/>
          <w:sz w:val="24"/>
          <w:szCs w:val="24"/>
        </w:rPr>
        <w:t xml:space="preserve">Ing. Martinem </w:t>
      </w:r>
      <w:proofErr w:type="spellStart"/>
      <w:r w:rsidR="001C0E36">
        <w:rPr>
          <w:rFonts w:ascii="Times New Roman" w:hAnsi="Times New Roman" w:cs="Times New Roman"/>
          <w:sz w:val="24"/>
          <w:szCs w:val="24"/>
        </w:rPr>
        <w:t>Leichterem</w:t>
      </w:r>
      <w:proofErr w:type="spellEnd"/>
      <w:r w:rsidR="001C0E36">
        <w:rPr>
          <w:rFonts w:ascii="Times New Roman" w:hAnsi="Times New Roman" w:cs="Times New Roman"/>
          <w:sz w:val="24"/>
          <w:szCs w:val="24"/>
        </w:rPr>
        <w:t xml:space="preserve">, MBA, </w:t>
      </w:r>
    </w:p>
    <w:p w14:paraId="6673BE4D" w14:textId="5F1960CF" w:rsidR="001C0E36" w:rsidRDefault="001C0E36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předsedou představenstva</w:t>
      </w:r>
    </w:p>
    <w:p w14:paraId="6BA3CF4C" w14:textId="77777777" w:rsidR="001C0E36" w:rsidRDefault="001C0E36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Ing. Janem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Lichtnegerem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5BD44F9" w14:textId="7AE97A70" w:rsidR="001C0E36" w:rsidRDefault="001C0E36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místopředsedou představenstva  </w:t>
      </w:r>
    </w:p>
    <w:p w14:paraId="33855FFE" w14:textId="1690A2AB" w:rsidR="001C0E36" w:rsidRDefault="001C0E36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947E810" w14:textId="74FC3D51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DF6B8D">
        <w:rPr>
          <w:rFonts w:ascii="Times New Roman" w:hAnsi="Times New Roman" w:cs="Times New Roman"/>
          <w:sz w:val="24"/>
          <w:szCs w:val="24"/>
        </w:rPr>
        <w:t>osoba ve věcech smluvních: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1C0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AE17" w14:textId="58B4D654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e-mail: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208980FF" w14:textId="263C74A2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tel: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56268BE7" w14:textId="785423FC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1FD211E2" w14:textId="7A8688DE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e-mail: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5904D355" w14:textId="49A59449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B8D">
        <w:rPr>
          <w:rFonts w:ascii="Times New Roman" w:hAnsi="Times New Roman" w:cs="Times New Roman"/>
          <w:sz w:val="24"/>
          <w:szCs w:val="24"/>
        </w:rPr>
        <w:t>tel: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6BF1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366BF701" w14:textId="432D088A" w:rsidR="00A30544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(dále jen „</w:t>
      </w:r>
      <w:r w:rsidRPr="00F62567">
        <w:rPr>
          <w:rFonts w:ascii="Times New Roman" w:hAnsi="Times New Roman" w:cs="Times New Roman"/>
          <w:b/>
          <w:sz w:val="24"/>
          <w:szCs w:val="24"/>
        </w:rPr>
        <w:t>Zhotovitel</w:t>
      </w:r>
      <w:r w:rsidRPr="00F62567">
        <w:rPr>
          <w:rFonts w:ascii="Times New Roman" w:hAnsi="Times New Roman" w:cs="Times New Roman"/>
          <w:sz w:val="24"/>
          <w:szCs w:val="24"/>
        </w:rPr>
        <w:t>“)</w:t>
      </w:r>
      <w:r w:rsidRPr="00F62567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FB1AF" w14:textId="77777777" w:rsidR="00EE03F1" w:rsidRPr="00782411" w:rsidRDefault="00EE03F1" w:rsidP="00F6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 w:rsidR="00FA68B0" w:rsidRPr="00A30544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30544">
        <w:rPr>
          <w:rFonts w:ascii="Times New Roman" w:hAnsi="Times New Roman" w:cs="Times New Roman"/>
          <w:sz w:val="24"/>
          <w:szCs w:val="24"/>
        </w:rPr>
        <w:t xml:space="preserve">dále </w:t>
      </w:r>
      <w:r w:rsidR="009E152C"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F62567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  <w:r w:rsidR="00F625B9" w:rsidRPr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34307" w14:textId="537BBECC" w:rsidR="00FA68B0" w:rsidRPr="00782411" w:rsidRDefault="00FA68B0" w:rsidP="00F62567"/>
    <w:p w14:paraId="240F3CB6" w14:textId="77777777" w:rsidR="00A603F6" w:rsidRDefault="00A603F6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798CB6F" w14:textId="77777777" w:rsidR="00A603F6" w:rsidRDefault="00A603F6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BC15FCE" w14:textId="50A86128" w:rsidR="00A603F6" w:rsidRDefault="00D37FAD" w:rsidP="00F62567">
      <w:pPr>
        <w:pStyle w:val="Odstavecseseznamem"/>
        <w:keepNext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je uzavřena podle ustanovení § 2586 a násl. z</w:t>
      </w:r>
      <w:r w:rsidR="00A603F6">
        <w:rPr>
          <w:rFonts w:ascii="Times New Roman" w:hAnsi="Times New Roman" w:cs="Times New Roman"/>
          <w:sz w:val="24"/>
          <w:szCs w:val="24"/>
        </w:rPr>
        <w:t>ákona č. 89/2012 Sb., občanský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zákoní</w:t>
      </w:r>
      <w:r w:rsidR="00A603F6">
        <w:rPr>
          <w:rFonts w:ascii="Times New Roman" w:hAnsi="Times New Roman" w:cs="Times New Roman"/>
          <w:sz w:val="24"/>
          <w:szCs w:val="24"/>
        </w:rPr>
        <w:t>k</w:t>
      </w:r>
      <w:r w:rsidR="00A603F6" w:rsidRPr="00F62567">
        <w:rPr>
          <w:rFonts w:ascii="Times New Roman" w:hAnsi="Times New Roman" w:cs="Times New Roman"/>
          <w:sz w:val="24"/>
          <w:szCs w:val="24"/>
        </w:rPr>
        <w:t>, v platném znění (dále jen „</w:t>
      </w:r>
      <w:r w:rsidR="00A603F6"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“) na základě výsledků </w:t>
      </w:r>
      <w:r w:rsidR="00700F9F">
        <w:rPr>
          <w:rFonts w:ascii="Times New Roman" w:hAnsi="Times New Roman" w:cs="Times New Roman"/>
          <w:sz w:val="24"/>
          <w:szCs w:val="24"/>
        </w:rPr>
        <w:t>veřejné zakázky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malého rozsahu na stavební práce </w:t>
      </w:r>
      <w:r w:rsidR="00A603F6">
        <w:rPr>
          <w:rFonts w:ascii="Times New Roman" w:hAnsi="Times New Roman" w:cs="Times New Roman"/>
          <w:sz w:val="24"/>
          <w:szCs w:val="24"/>
        </w:rPr>
        <w:t>veden</w:t>
      </w:r>
      <w:r w:rsidR="00700F9F">
        <w:rPr>
          <w:rFonts w:ascii="Times New Roman" w:hAnsi="Times New Roman" w:cs="Times New Roman"/>
          <w:sz w:val="24"/>
          <w:szCs w:val="24"/>
        </w:rPr>
        <w:t>é</w:t>
      </w:r>
      <w:r w:rsidR="00A603F6">
        <w:rPr>
          <w:rFonts w:ascii="Times New Roman" w:hAnsi="Times New Roman" w:cs="Times New Roman"/>
          <w:sz w:val="24"/>
          <w:szCs w:val="24"/>
        </w:rPr>
        <w:t xml:space="preserve"> pod </w:t>
      </w:r>
      <w:r w:rsidR="00685D4F">
        <w:rPr>
          <w:rFonts w:ascii="Times New Roman" w:hAnsi="Times New Roman" w:cs="Times New Roman"/>
          <w:sz w:val="24"/>
          <w:szCs w:val="24"/>
        </w:rPr>
        <w:t xml:space="preserve">výše uvedeným </w:t>
      </w:r>
      <w:r w:rsidR="00A603F6">
        <w:rPr>
          <w:rFonts w:ascii="Times New Roman" w:hAnsi="Times New Roman" w:cs="Times New Roman"/>
          <w:sz w:val="24"/>
          <w:szCs w:val="24"/>
        </w:rPr>
        <w:t>názvem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5A5BB4">
        <w:rPr>
          <w:rFonts w:ascii="Times New Roman" w:hAnsi="Times New Roman" w:cs="Times New Roman"/>
          <w:sz w:val="24"/>
          <w:szCs w:val="24"/>
        </w:rPr>
        <w:t>zadávanou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="00A603F6" w:rsidRPr="00F62567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="00A603F6"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="00A603F6" w:rsidRPr="00F62567">
        <w:rPr>
          <w:rFonts w:ascii="Times New Roman" w:hAnsi="Times New Roman" w:cs="Times New Roman"/>
          <w:sz w:val="24"/>
          <w:szCs w:val="24"/>
        </w:rPr>
        <w:t>“).</w:t>
      </w:r>
    </w:p>
    <w:p w14:paraId="04852CB1" w14:textId="77777777" w:rsidR="007208F9" w:rsidRPr="007208F9" w:rsidRDefault="007208F9" w:rsidP="007208F9">
      <w:pPr>
        <w:pStyle w:val="Odstavecseseznamem"/>
        <w:keepNext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>Pro vyloučení j</w:t>
      </w:r>
      <w:bookmarkStart w:id="0" w:name="_GoBack"/>
      <w:bookmarkEnd w:id="0"/>
      <w:r w:rsidRPr="007208F9">
        <w:rPr>
          <w:rFonts w:ascii="Times New Roman" w:hAnsi="Times New Roman" w:cs="Times New Roman"/>
          <w:sz w:val="24"/>
          <w:szCs w:val="24"/>
        </w:rPr>
        <w:t xml:space="preserve">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14:paraId="04104763" w14:textId="77777777" w:rsidR="007208F9" w:rsidRPr="00F62567" w:rsidRDefault="007208F9" w:rsidP="00F62567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F62567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F62567">
        <w:rPr>
          <w:rFonts w:ascii="Times New Roman" w:hAnsi="Times New Roman" w:cs="Times New Roman"/>
          <w:sz w:val="24"/>
          <w:szCs w:val="24"/>
        </w:rPr>
        <w:t>;</w:t>
      </w:r>
    </w:p>
    <w:p w14:paraId="7F8F6692" w14:textId="77777777" w:rsidR="007208F9" w:rsidRPr="00F62567" w:rsidRDefault="007208F9" w:rsidP="00F62567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 w:rsidR="001D6A53"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F62567">
        <w:rPr>
          <w:rFonts w:ascii="Times New Roman" w:hAnsi="Times New Roman" w:cs="Times New Roman"/>
          <w:sz w:val="24"/>
          <w:szCs w:val="24"/>
        </w:rPr>
        <w:t>adávací dokumentace</w:t>
      </w:r>
      <w:r w:rsidR="001D6A53"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F62567">
        <w:rPr>
          <w:rFonts w:ascii="Times New Roman" w:hAnsi="Times New Roman" w:cs="Times New Roman"/>
          <w:sz w:val="24"/>
          <w:szCs w:val="24"/>
        </w:rPr>
        <w:t>;</w:t>
      </w:r>
    </w:p>
    <w:p w14:paraId="3B5EE56D" w14:textId="77777777" w:rsidR="007208F9" w:rsidRDefault="007208F9" w:rsidP="00F62567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v případě rozpo</w:t>
      </w:r>
      <w:r w:rsidR="001D6A53"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F62567">
        <w:rPr>
          <w:rFonts w:ascii="Times New Roman" w:hAnsi="Times New Roman" w:cs="Times New Roman"/>
          <w:sz w:val="24"/>
          <w:szCs w:val="24"/>
        </w:rPr>
        <w:t>adávací dokumentace</w:t>
      </w:r>
      <w:r w:rsidR="001D6A53"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F62567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14:paraId="31AC3FB4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8FAE0" w14:textId="3653E6E0" w:rsidR="00A603F6" w:rsidRDefault="00AF23A9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</w:t>
      </w:r>
      <w:r w:rsidR="00A603F6">
        <w:rPr>
          <w:rFonts w:ascii="Times New Roman" w:hAnsi="Times New Roman" w:cs="Times New Roman"/>
          <w:b/>
          <w:sz w:val="24"/>
          <w:szCs w:val="24"/>
        </w:rPr>
        <w:t>I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11FD4D40" w14:textId="1145275F" w:rsidR="00F625B9" w:rsidRPr="00782411" w:rsidRDefault="00F625B9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D895CFA" w14:textId="51C1E68C" w:rsidR="00AF23A9" w:rsidRPr="00782411" w:rsidRDefault="00AF23A9" w:rsidP="00F62567">
      <w:pPr>
        <w:pStyle w:val="Odstavecseseznamem"/>
        <w:keepNext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Zhotovitel se </w:t>
      </w:r>
      <w:r w:rsidR="00100DE9" w:rsidRPr="00782411">
        <w:rPr>
          <w:rFonts w:ascii="Times New Roman" w:hAnsi="Times New Roman" w:cs="Times New Roman"/>
          <w:sz w:val="24"/>
          <w:szCs w:val="24"/>
        </w:rPr>
        <w:t>zavazuje provést na svůj náklad</w:t>
      </w:r>
      <w:r w:rsidRPr="00782411">
        <w:rPr>
          <w:rFonts w:ascii="Times New Roman" w:hAnsi="Times New Roman" w:cs="Times New Roman"/>
          <w:sz w:val="24"/>
          <w:szCs w:val="24"/>
        </w:rPr>
        <w:t xml:space="preserve"> a nebezpečí pro Objednatele dílo</w:t>
      </w:r>
      <w:r w:rsidR="00D7664A">
        <w:rPr>
          <w:rFonts w:ascii="Times New Roman" w:hAnsi="Times New Roman" w:cs="Times New Roman"/>
          <w:sz w:val="24"/>
          <w:szCs w:val="24"/>
        </w:rPr>
        <w:t>, jehož podrobn</w:t>
      </w:r>
      <w:r w:rsidR="0071175F">
        <w:rPr>
          <w:rFonts w:ascii="Times New Roman" w:hAnsi="Times New Roman" w:cs="Times New Roman"/>
          <w:sz w:val="24"/>
          <w:szCs w:val="24"/>
        </w:rPr>
        <w:t>á specifikace</w:t>
      </w:r>
      <w:r w:rsidR="00D7664A">
        <w:rPr>
          <w:rFonts w:ascii="Times New Roman" w:hAnsi="Times New Roman" w:cs="Times New Roman"/>
          <w:sz w:val="24"/>
          <w:szCs w:val="24"/>
        </w:rPr>
        <w:t xml:space="preserve"> je uveden</w:t>
      </w:r>
      <w:r w:rsidR="0071175F">
        <w:rPr>
          <w:rFonts w:ascii="Times New Roman" w:hAnsi="Times New Roman" w:cs="Times New Roman"/>
          <w:sz w:val="24"/>
          <w:szCs w:val="24"/>
        </w:rPr>
        <w:t>a</w:t>
      </w:r>
      <w:r w:rsidR="00D7664A">
        <w:rPr>
          <w:rFonts w:ascii="Times New Roman" w:hAnsi="Times New Roman" w:cs="Times New Roman"/>
          <w:sz w:val="24"/>
          <w:szCs w:val="24"/>
        </w:rPr>
        <w:t xml:space="preserve"> v příloze č. 1 Smlouvy </w:t>
      </w:r>
      <w:r w:rsidRPr="00782411">
        <w:rPr>
          <w:rFonts w:ascii="Times New Roman" w:hAnsi="Times New Roman" w:cs="Times New Roman"/>
          <w:sz w:val="24"/>
          <w:szCs w:val="24"/>
        </w:rPr>
        <w:t>(dále jako „</w:t>
      </w:r>
      <w:r w:rsidRPr="00782411">
        <w:rPr>
          <w:rFonts w:ascii="Times New Roman" w:hAnsi="Times New Roman" w:cs="Times New Roman"/>
          <w:b/>
          <w:i/>
          <w:sz w:val="24"/>
          <w:szCs w:val="24"/>
        </w:rPr>
        <w:t>Dílo</w:t>
      </w:r>
      <w:r w:rsidRPr="00782411">
        <w:rPr>
          <w:rFonts w:ascii="Times New Roman" w:hAnsi="Times New Roman" w:cs="Times New Roman"/>
          <w:sz w:val="24"/>
          <w:szCs w:val="24"/>
        </w:rPr>
        <w:t>“).</w:t>
      </w:r>
    </w:p>
    <w:p w14:paraId="52127111" w14:textId="1337FE72" w:rsidR="00F625B9" w:rsidRPr="00F62567" w:rsidRDefault="00F625B9" w:rsidP="00F62567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Místem </w:t>
      </w:r>
      <w:r w:rsidR="008B30F2" w:rsidRPr="00782411">
        <w:rPr>
          <w:rFonts w:ascii="Times New Roman" w:hAnsi="Times New Roman" w:cs="Times New Roman"/>
          <w:sz w:val="24"/>
          <w:szCs w:val="24"/>
        </w:rPr>
        <w:t xml:space="preserve">provádění Díla </w:t>
      </w:r>
      <w:r w:rsidR="00A603F6">
        <w:rPr>
          <w:rFonts w:ascii="Times New Roman" w:hAnsi="Times New Roman" w:cs="Times New Roman"/>
          <w:sz w:val="24"/>
          <w:szCs w:val="24"/>
        </w:rPr>
        <w:t>(</w:t>
      </w:r>
      <w:r w:rsidRPr="00782411">
        <w:rPr>
          <w:rFonts w:ascii="Times New Roman" w:hAnsi="Times New Roman" w:cs="Times New Roman"/>
          <w:sz w:val="24"/>
          <w:szCs w:val="24"/>
        </w:rPr>
        <w:t>stavebních prací</w:t>
      </w:r>
      <w:r w:rsidR="00A603F6">
        <w:rPr>
          <w:rFonts w:ascii="Times New Roman" w:hAnsi="Times New Roman" w:cs="Times New Roman"/>
          <w:sz w:val="24"/>
          <w:szCs w:val="24"/>
        </w:rPr>
        <w:t>)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</w:t>
      </w:r>
      <w:r w:rsidR="002924C8">
        <w:rPr>
          <w:rFonts w:ascii="Times New Roman" w:hAnsi="Times New Roman" w:cs="Times New Roman"/>
          <w:sz w:val="24"/>
          <w:szCs w:val="24"/>
        </w:rPr>
        <w:t>dálnice D6 a silnice I. třídy v Karlovarském kraji</w:t>
      </w:r>
      <w:r w:rsidR="008B30F2" w:rsidRPr="00782411">
        <w:rPr>
          <w:rFonts w:ascii="Times New Roman" w:hAnsi="Times New Roman" w:cs="Times New Roman"/>
          <w:sz w:val="24"/>
          <w:szCs w:val="24"/>
        </w:rPr>
        <w:t>.</w:t>
      </w:r>
      <w:r w:rsidR="00300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FF2E7" w14:textId="77777777" w:rsidR="008C4B3E" w:rsidRPr="00782411" w:rsidRDefault="008C4B3E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Zhotovitel je povinen</w:t>
      </w:r>
      <w:r w:rsidR="0006758F" w:rsidRPr="00782411">
        <w:rPr>
          <w:rFonts w:ascii="Times New Roman" w:hAnsi="Times New Roman" w:cs="Times New Roman"/>
          <w:sz w:val="24"/>
          <w:szCs w:val="24"/>
        </w:rPr>
        <w:t xml:space="preserve"> předat spolu s Dílem Objednateli také veškerou dokumentaci vztahující se k Dílu, která je obvykle s Dílem </w:t>
      </w:r>
      <w:r w:rsidR="00C01A30" w:rsidRPr="00782411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06758F" w:rsidRPr="00782411">
        <w:rPr>
          <w:rFonts w:ascii="Times New Roman" w:hAnsi="Times New Roman" w:cs="Times New Roman"/>
          <w:sz w:val="24"/>
          <w:szCs w:val="24"/>
        </w:rPr>
        <w:t>předávána.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C4C0" w14:textId="58D19E11" w:rsidR="00F625B9" w:rsidRPr="002768E5" w:rsidRDefault="00F625B9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8E5">
        <w:rPr>
          <w:rFonts w:ascii="Times New Roman" w:hAnsi="Times New Roman" w:cs="Times New Roman"/>
          <w:sz w:val="24"/>
          <w:szCs w:val="24"/>
        </w:rPr>
        <w:t xml:space="preserve">Objednatel se zavazuje zaplatit za </w:t>
      </w:r>
      <w:r w:rsidR="007B3371" w:rsidRPr="002768E5">
        <w:rPr>
          <w:rFonts w:ascii="Times New Roman" w:hAnsi="Times New Roman" w:cs="Times New Roman"/>
          <w:sz w:val="24"/>
          <w:szCs w:val="24"/>
        </w:rPr>
        <w:t>Dílo provedené v souladu s touto S</w:t>
      </w:r>
      <w:r w:rsidRPr="002768E5">
        <w:rPr>
          <w:rFonts w:ascii="Times New Roman" w:hAnsi="Times New Roman" w:cs="Times New Roman"/>
          <w:sz w:val="24"/>
          <w:szCs w:val="24"/>
        </w:rPr>
        <w:t>mlouvou cenu</w:t>
      </w:r>
      <w:r w:rsidR="007B3371" w:rsidRPr="002768E5">
        <w:rPr>
          <w:rFonts w:ascii="Times New Roman" w:hAnsi="Times New Roman" w:cs="Times New Roman"/>
          <w:sz w:val="24"/>
          <w:szCs w:val="24"/>
        </w:rPr>
        <w:t xml:space="preserve"> Díla uvedenou ve čl. IV. této Smlouvy</w:t>
      </w:r>
      <w:r w:rsidRPr="002768E5">
        <w:rPr>
          <w:rFonts w:ascii="Times New Roman" w:hAnsi="Times New Roman" w:cs="Times New Roman"/>
          <w:sz w:val="24"/>
          <w:szCs w:val="24"/>
        </w:rPr>
        <w:t>.</w:t>
      </w:r>
    </w:p>
    <w:p w14:paraId="1677CE46" w14:textId="77777777" w:rsidR="00FC1387" w:rsidRPr="00D7105C" w:rsidRDefault="00FC1387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F9F">
        <w:rPr>
          <w:rFonts w:ascii="Times New Roman" w:hAnsi="Times New Roman" w:cs="Times New Roman"/>
          <w:sz w:val="24"/>
          <w:szCs w:val="24"/>
        </w:rPr>
        <w:t>Veškeré materiály, stavební díly, technologická zařízení a pracovní postupy na Dílu musí odpovídat Technickým kvalitativním podmínkám staveb pozemních komunikací (TKP), pokynům správce stavby</w:t>
      </w:r>
      <w:r w:rsidRPr="00D7105C">
        <w:rPr>
          <w:rFonts w:ascii="Times New Roman" w:hAnsi="Times New Roman" w:cs="Times New Roman"/>
          <w:sz w:val="24"/>
          <w:szCs w:val="24"/>
        </w:rPr>
        <w:t xml:space="preserve"> a Zvláštním technickým kvalitativním podmínkám stavby (ZTKP), pokud jsou vypracovány, jsou podrobovány zkouškám uvedeným v TKP a ZTKP </w:t>
      </w:r>
      <w:r w:rsidRPr="00D7105C">
        <w:rPr>
          <w:rFonts w:ascii="Times New Roman" w:hAnsi="Times New Roman" w:cs="Times New Roman"/>
          <w:sz w:val="24"/>
          <w:szCs w:val="24"/>
        </w:rPr>
        <w:lastRenderedPageBreak/>
        <w:t>nebo požadovaným správcem stavby</w:t>
      </w:r>
      <w:r w:rsidR="004D469A" w:rsidRPr="00D7105C">
        <w:rPr>
          <w:rFonts w:ascii="Times New Roman" w:hAnsi="Times New Roman" w:cs="Times New Roman"/>
          <w:sz w:val="24"/>
          <w:szCs w:val="24"/>
        </w:rPr>
        <w:t>,</w:t>
      </w:r>
      <w:r w:rsidRPr="00D7105C">
        <w:rPr>
          <w:rFonts w:ascii="Times New Roman" w:hAnsi="Times New Roman" w:cs="Times New Roman"/>
          <w:sz w:val="24"/>
          <w:szCs w:val="24"/>
        </w:rPr>
        <w:t xml:space="preserve"> a to buď v místě výroby, přípravy na staveništi nebo na jakýchkoli místech stanovených k tomuto účelu. Za bezpečnost práce a požární ochranu odpovídá Zhotovitel.</w:t>
      </w:r>
    </w:p>
    <w:p w14:paraId="0D3102B6" w14:textId="77777777" w:rsidR="002768E5" w:rsidRPr="00D7105C" w:rsidRDefault="002768E5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05C">
        <w:rPr>
          <w:rFonts w:ascii="Times New Roman" w:hAnsi="Times New Roman" w:cs="Times New Roman"/>
          <w:sz w:val="24"/>
          <w:szCs w:val="24"/>
        </w:rPr>
        <w:t>Veškeré stavební práce budou prováděny při komplexním zabezpečení bezpečnosti silničního provozu, náklady tohoto zabezpečení hradí Zhotovitel.</w:t>
      </w:r>
    </w:p>
    <w:p w14:paraId="2C41CB32" w14:textId="53FE6687" w:rsidR="002768E5" w:rsidRPr="00D7105C" w:rsidRDefault="002924C8" w:rsidP="00F6256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Nepoužije se</w:t>
      </w:r>
      <w:r w:rsidR="002768E5" w:rsidRPr="00D7105C">
        <w:rPr>
          <w:rFonts w:ascii="Times New Roman" w:hAnsi="Times New Roman" w:cs="Times New Roman"/>
          <w:sz w:val="24"/>
          <w:szCs w:val="24"/>
        </w:rPr>
        <w:t>.</w:t>
      </w:r>
    </w:p>
    <w:p w14:paraId="731D1726" w14:textId="77777777" w:rsidR="00143BEE" w:rsidRPr="00D45358" w:rsidRDefault="00143BEE" w:rsidP="00F6256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5358">
        <w:rPr>
          <w:rFonts w:ascii="Times New Roman" w:hAnsi="Times New Roman" w:cs="Times New Roman"/>
          <w:sz w:val="24"/>
          <w:szCs w:val="24"/>
        </w:rPr>
        <w:t xml:space="preserve">Je-li součástí díla i převáděný majetek, Zhotovitel provede na své náklady k okamžiku předání díla zatřídění, </w:t>
      </w:r>
      <w:proofErr w:type="spellStart"/>
      <w:r w:rsidRPr="00D45358">
        <w:rPr>
          <w:rFonts w:ascii="Times New Roman" w:hAnsi="Times New Roman" w:cs="Times New Roman"/>
          <w:sz w:val="24"/>
          <w:szCs w:val="24"/>
        </w:rPr>
        <w:t>nacenění</w:t>
      </w:r>
      <w:proofErr w:type="spellEnd"/>
      <w:r w:rsidRPr="00D45358">
        <w:rPr>
          <w:rFonts w:ascii="Times New Roman" w:hAnsi="Times New Roman" w:cs="Times New Roman"/>
          <w:sz w:val="24"/>
          <w:szCs w:val="24"/>
        </w:rPr>
        <w:t xml:space="preserve"> a označení jedinečným číselným identifikátorem předávaný (zatříděný) majetek. Tento majetek je předán formou inventury za účasti zástupce Objednatele. Pokud není předávané dílo plně dofinancováno a tedy není možné určit konečnou cenu majetku, </w:t>
      </w:r>
      <w:proofErr w:type="spellStart"/>
      <w:r w:rsidRPr="00D45358">
        <w:rPr>
          <w:rFonts w:ascii="Times New Roman" w:hAnsi="Times New Roman" w:cs="Times New Roman"/>
          <w:sz w:val="24"/>
          <w:szCs w:val="24"/>
        </w:rPr>
        <w:t>nacení</w:t>
      </w:r>
      <w:proofErr w:type="spellEnd"/>
      <w:r w:rsidRPr="00D45358">
        <w:rPr>
          <w:rFonts w:ascii="Times New Roman" w:hAnsi="Times New Roman" w:cs="Times New Roman"/>
          <w:sz w:val="24"/>
          <w:szCs w:val="24"/>
        </w:rPr>
        <w:t xml:space="preserve"> se majetek až po úplném dofinancování díla. Dofinancování majetku a jeho </w:t>
      </w:r>
      <w:proofErr w:type="spellStart"/>
      <w:r w:rsidRPr="00D45358">
        <w:rPr>
          <w:rFonts w:ascii="Times New Roman" w:hAnsi="Times New Roman" w:cs="Times New Roman"/>
          <w:sz w:val="24"/>
          <w:szCs w:val="24"/>
        </w:rPr>
        <w:t>nacenění</w:t>
      </w:r>
      <w:proofErr w:type="spellEnd"/>
      <w:r w:rsidRPr="00D45358">
        <w:rPr>
          <w:rFonts w:ascii="Times New Roman" w:hAnsi="Times New Roman" w:cs="Times New Roman"/>
          <w:sz w:val="24"/>
          <w:szCs w:val="24"/>
        </w:rPr>
        <w:t xml:space="preserve"> nemá vliv na zatřídění, označení předávaného majetku a provedení předávací inventury. Cena jednotlivého zatříděného majetku je rozdělena na cenu základ, valorizace (či jiná částka ovlivňující cenu základ) a DPH. Zatřídění majetku je prováděno dle platné klasifikace Českého statistického úřadu.</w:t>
      </w:r>
    </w:p>
    <w:p w14:paraId="35B1EC3D" w14:textId="77777777" w:rsidR="00CF12EF" w:rsidRDefault="00BD0397" w:rsidP="00F62567">
      <w:pPr>
        <w:pStyle w:val="Odstavecseseznamem"/>
        <w:numPr>
          <w:ilvl w:val="0"/>
          <w:numId w:val="1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Je-li součástí plnění Zhotovitele dílo ve smyslu zákona č. 121/2000 Sb., o právu autorském, ve znění pozdějších předpisů, poskytuje k němu Zhotovitel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je zahrnut v ceně uvedené v čl. IV Smlouvy.</w:t>
      </w:r>
    </w:p>
    <w:p w14:paraId="38149FAD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32D71" w14:textId="77777777" w:rsidR="002768E5" w:rsidRDefault="00FC1387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</w:t>
      </w:r>
      <w:r w:rsidR="00EA306D" w:rsidRPr="00782411">
        <w:rPr>
          <w:rFonts w:ascii="Times New Roman" w:hAnsi="Times New Roman" w:cs="Times New Roman"/>
          <w:b/>
          <w:sz w:val="24"/>
          <w:szCs w:val="24"/>
        </w:rPr>
        <w:t>II.</w:t>
      </w:r>
    </w:p>
    <w:p w14:paraId="58231706" w14:textId="19B6BF1C" w:rsidR="00F625B9" w:rsidRPr="00782411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oba plnění</w:t>
      </w:r>
    </w:p>
    <w:p w14:paraId="55372C40" w14:textId="3FE32AFF" w:rsidR="00562F74" w:rsidRPr="00782411" w:rsidRDefault="00562F74" w:rsidP="00DF0F89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Pr="00D45358">
        <w:rPr>
          <w:rFonts w:ascii="Times New Roman" w:hAnsi="Times New Roman" w:cs="Times New Roman"/>
          <w:sz w:val="24"/>
          <w:szCs w:val="24"/>
        </w:rPr>
        <w:t xml:space="preserve">zahájit provádění Díla </w:t>
      </w:r>
      <w:r w:rsidR="002924C8">
        <w:rPr>
          <w:rFonts w:ascii="Times New Roman" w:hAnsi="Times New Roman" w:cs="Times New Roman"/>
          <w:sz w:val="24"/>
          <w:szCs w:val="24"/>
        </w:rPr>
        <w:t>ihned po účinnosti smlouvy</w:t>
      </w:r>
      <w:r w:rsidRPr="00D45358">
        <w:rPr>
          <w:rFonts w:ascii="Times New Roman" w:hAnsi="Times New Roman" w:cs="Times New Roman"/>
          <w:sz w:val="24"/>
          <w:szCs w:val="24"/>
        </w:rPr>
        <w:t>.</w:t>
      </w:r>
    </w:p>
    <w:p w14:paraId="40A982BE" w14:textId="5EA1B2AD" w:rsidR="00F625B9" w:rsidRPr="00782411" w:rsidRDefault="00562F74" w:rsidP="00F62567">
      <w:pPr>
        <w:pStyle w:val="Odstavecseseznamem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8E5">
        <w:rPr>
          <w:rFonts w:ascii="Times New Roman" w:hAnsi="Times New Roman" w:cs="Times New Roman"/>
          <w:sz w:val="24"/>
          <w:szCs w:val="24"/>
        </w:rPr>
        <w:t>Zh</w:t>
      </w:r>
      <w:r w:rsidR="00F22A45" w:rsidRPr="002768E5">
        <w:rPr>
          <w:rFonts w:ascii="Times New Roman" w:hAnsi="Times New Roman" w:cs="Times New Roman"/>
          <w:sz w:val="24"/>
          <w:szCs w:val="24"/>
        </w:rPr>
        <w:t xml:space="preserve">otovitel je povinen </w:t>
      </w:r>
      <w:r w:rsidR="00F22A45" w:rsidRPr="00D45358">
        <w:rPr>
          <w:rFonts w:ascii="Times New Roman" w:hAnsi="Times New Roman" w:cs="Times New Roman"/>
          <w:sz w:val="24"/>
          <w:szCs w:val="24"/>
        </w:rPr>
        <w:t>provést Dílo</w:t>
      </w:r>
      <w:r w:rsidRPr="00D45358">
        <w:rPr>
          <w:rFonts w:ascii="Times New Roman" w:hAnsi="Times New Roman" w:cs="Times New Roman"/>
          <w:sz w:val="24"/>
          <w:szCs w:val="24"/>
        </w:rPr>
        <w:t xml:space="preserve"> (tj. dokončit a předat) Objednateli </w:t>
      </w:r>
      <w:r w:rsidRPr="002924C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924C8" w:rsidRPr="002924C8">
        <w:rPr>
          <w:rFonts w:ascii="Times New Roman" w:hAnsi="Times New Roman" w:cs="Times New Roman"/>
          <w:b/>
          <w:sz w:val="24"/>
          <w:szCs w:val="24"/>
        </w:rPr>
        <w:t>31. 12. 2017</w:t>
      </w:r>
      <w:r w:rsidR="004B1BDE">
        <w:rPr>
          <w:rFonts w:ascii="Times New Roman" w:hAnsi="Times New Roman" w:cs="Times New Roman"/>
          <w:b/>
          <w:sz w:val="24"/>
          <w:szCs w:val="24"/>
        </w:rPr>
        <w:t>, popř. do vyčerpání finančních prostředků</w:t>
      </w:r>
      <w:r w:rsidRPr="002924C8">
        <w:rPr>
          <w:rFonts w:ascii="Times New Roman" w:hAnsi="Times New Roman" w:cs="Times New Roman"/>
          <w:sz w:val="28"/>
          <w:szCs w:val="24"/>
        </w:rPr>
        <w:t>.</w:t>
      </w:r>
      <w:r w:rsidR="004B1BDE">
        <w:rPr>
          <w:rFonts w:ascii="Times New Roman" w:hAnsi="Times New Roman" w:cs="Times New Roman"/>
          <w:sz w:val="28"/>
          <w:szCs w:val="24"/>
        </w:rPr>
        <w:t xml:space="preserve"> </w:t>
      </w:r>
      <w:r w:rsidR="00143BEE" w:rsidRPr="00143BEE">
        <w:rPr>
          <w:rFonts w:ascii="Times New Roman" w:hAnsi="Times New Roman" w:cs="Times New Roman"/>
          <w:sz w:val="24"/>
          <w:szCs w:val="24"/>
        </w:rPr>
        <w:t xml:space="preserve">O </w:t>
      </w:r>
      <w:r w:rsidR="00143BEE">
        <w:rPr>
          <w:rFonts w:ascii="Times New Roman" w:hAnsi="Times New Roman" w:cs="Times New Roman"/>
          <w:sz w:val="24"/>
          <w:szCs w:val="24"/>
        </w:rPr>
        <w:t>předání (</w:t>
      </w:r>
      <w:r w:rsidR="00143BEE" w:rsidRPr="00143BEE">
        <w:rPr>
          <w:rFonts w:ascii="Times New Roman" w:hAnsi="Times New Roman" w:cs="Times New Roman"/>
          <w:sz w:val="24"/>
          <w:szCs w:val="24"/>
        </w:rPr>
        <w:t>resp. převzetí</w:t>
      </w:r>
      <w:r w:rsidR="00143BEE">
        <w:rPr>
          <w:rFonts w:ascii="Times New Roman" w:hAnsi="Times New Roman" w:cs="Times New Roman"/>
          <w:sz w:val="24"/>
          <w:szCs w:val="24"/>
        </w:rPr>
        <w:t>)</w:t>
      </w:r>
      <w:r w:rsidR="00143BEE" w:rsidRPr="00143BEE">
        <w:rPr>
          <w:rFonts w:ascii="Times New Roman" w:hAnsi="Times New Roman" w:cs="Times New Roman"/>
          <w:sz w:val="24"/>
          <w:szCs w:val="24"/>
        </w:rPr>
        <w:t xml:space="preserve"> díla bude sepsán předávací protokol po</w:t>
      </w:r>
      <w:r w:rsidR="00143BEE">
        <w:rPr>
          <w:rFonts w:ascii="Times New Roman" w:hAnsi="Times New Roman" w:cs="Times New Roman"/>
          <w:sz w:val="24"/>
          <w:szCs w:val="24"/>
        </w:rPr>
        <w:t>depsaný</w:t>
      </w:r>
      <w:r w:rsidR="00143BEE" w:rsidRPr="00143BEE"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="00143BEE">
        <w:rPr>
          <w:rFonts w:ascii="Times New Roman" w:hAnsi="Times New Roman" w:cs="Times New Roman"/>
          <w:sz w:val="24"/>
          <w:szCs w:val="24"/>
        </w:rPr>
        <w:t>, přičemž Objednatel není povinen převzít dílo, které vykazuje vady</w:t>
      </w:r>
      <w:r w:rsidR="00143BEE" w:rsidRPr="00143BEE">
        <w:rPr>
          <w:rFonts w:ascii="Times New Roman" w:hAnsi="Times New Roman" w:cs="Times New Roman"/>
          <w:sz w:val="24"/>
          <w:szCs w:val="24"/>
        </w:rPr>
        <w:t>.</w:t>
      </w:r>
    </w:p>
    <w:p w14:paraId="5057ACE2" w14:textId="77777777" w:rsidR="002924C8" w:rsidRDefault="002924C8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BB957" w14:textId="77777777" w:rsidR="001A44F3" w:rsidRDefault="00BC302D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IV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2DD1DFA6" w14:textId="4D9F06F7" w:rsidR="00F625B9" w:rsidRPr="00782411" w:rsidRDefault="00F625B9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Cena</w:t>
      </w:r>
    </w:p>
    <w:p w14:paraId="677DC11D" w14:textId="77777777" w:rsidR="00F625B9" w:rsidRPr="00782411" w:rsidRDefault="001D32B9" w:rsidP="00DF0F89">
      <w:pPr>
        <w:pStyle w:val="Odstavecseseznamem"/>
        <w:keepNext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 se zavazuje uhradit Zhotovitel</w:t>
      </w:r>
      <w:r w:rsidR="00E267B7" w:rsidRPr="00782411">
        <w:rPr>
          <w:rFonts w:ascii="Times New Roman" w:hAnsi="Times New Roman" w:cs="Times New Roman"/>
          <w:sz w:val="24"/>
          <w:szCs w:val="24"/>
        </w:rPr>
        <w:t>i</w:t>
      </w:r>
      <w:r w:rsidRPr="00782411">
        <w:rPr>
          <w:rFonts w:ascii="Times New Roman" w:hAnsi="Times New Roman" w:cs="Times New Roman"/>
          <w:sz w:val="24"/>
          <w:szCs w:val="24"/>
        </w:rPr>
        <w:t xml:space="preserve"> za řádné a včasné provedení Díla následující cenu (dále jako „</w:t>
      </w:r>
      <w:r w:rsidRPr="00782411">
        <w:rPr>
          <w:rFonts w:ascii="Times New Roman" w:hAnsi="Times New Roman" w:cs="Times New Roman"/>
          <w:b/>
          <w:sz w:val="24"/>
          <w:szCs w:val="24"/>
        </w:rPr>
        <w:t>Cena Díla</w:t>
      </w:r>
      <w:r w:rsidRPr="00782411">
        <w:rPr>
          <w:rFonts w:ascii="Times New Roman" w:hAnsi="Times New Roman" w:cs="Times New Roman"/>
          <w:sz w:val="24"/>
          <w:szCs w:val="24"/>
        </w:rPr>
        <w:t xml:space="preserve">“): 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6020"/>
      </w:tblGrid>
      <w:tr w:rsidR="00782411" w14:paraId="67B27011" w14:textId="77777777" w:rsidTr="00782411">
        <w:tc>
          <w:tcPr>
            <w:tcW w:w="2693" w:type="dxa"/>
            <w:vAlign w:val="center"/>
          </w:tcPr>
          <w:p w14:paraId="5E665F42" w14:textId="77777777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Díla bez DPH:</w:t>
            </w:r>
          </w:p>
        </w:tc>
        <w:tc>
          <w:tcPr>
            <w:tcW w:w="6125" w:type="dxa"/>
            <w:vAlign w:val="center"/>
          </w:tcPr>
          <w:p w14:paraId="18614C22" w14:textId="57CD24CE" w:rsidR="00782411" w:rsidRDefault="001C0E36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98 650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782411" w14:paraId="2C4D590C" w14:textId="77777777" w:rsidTr="00782411">
        <w:tc>
          <w:tcPr>
            <w:tcW w:w="2693" w:type="dxa"/>
            <w:vAlign w:val="center"/>
          </w:tcPr>
          <w:p w14:paraId="43823376" w14:textId="06A47C31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  <w:r w:rsid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  <w:vAlign w:val="center"/>
          </w:tcPr>
          <w:p w14:paraId="74FD164C" w14:textId="3B187B4A" w:rsidR="00782411" w:rsidRDefault="001C0E36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20 717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Kč </w:t>
            </w:r>
          </w:p>
        </w:tc>
      </w:tr>
      <w:tr w:rsidR="00782411" w14:paraId="6136D0B8" w14:textId="77777777" w:rsidTr="00782411">
        <w:tc>
          <w:tcPr>
            <w:tcW w:w="2693" w:type="dxa"/>
            <w:vAlign w:val="center"/>
          </w:tcPr>
          <w:p w14:paraId="2E5DE984" w14:textId="77777777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Díla včetně DPH:</w:t>
            </w:r>
          </w:p>
        </w:tc>
        <w:tc>
          <w:tcPr>
            <w:tcW w:w="6125" w:type="dxa"/>
            <w:vAlign w:val="center"/>
          </w:tcPr>
          <w:p w14:paraId="63D443B8" w14:textId="3D79D9C7" w:rsidR="00782411" w:rsidRDefault="001C0E36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119 367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Kč </w:t>
            </w:r>
          </w:p>
        </w:tc>
      </w:tr>
    </w:tbl>
    <w:p w14:paraId="0EF20BBF" w14:textId="3890D81B" w:rsidR="008D137C" w:rsidRPr="00782411" w:rsidRDefault="008D137C" w:rsidP="00F62567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lastRenderedPageBreak/>
        <w:t xml:space="preserve">Cena Díla je stanovena jako maximální a nepřekročitelná s výjimkou změny zákonné sazby DPH. </w:t>
      </w:r>
    </w:p>
    <w:p w14:paraId="76B95D40" w14:textId="77777777" w:rsidR="00D15C08" w:rsidRDefault="00D15C08" w:rsidP="00DF0F89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Položkový rozp</w:t>
      </w:r>
      <w:r w:rsidR="00D9271C" w:rsidRPr="00782411">
        <w:rPr>
          <w:rFonts w:ascii="Times New Roman" w:hAnsi="Times New Roman" w:cs="Times New Roman"/>
          <w:sz w:val="24"/>
          <w:szCs w:val="24"/>
        </w:rPr>
        <w:t>očet</w:t>
      </w:r>
      <w:r w:rsidRPr="00782411">
        <w:rPr>
          <w:rFonts w:ascii="Times New Roman" w:hAnsi="Times New Roman" w:cs="Times New Roman"/>
          <w:sz w:val="24"/>
          <w:szCs w:val="24"/>
        </w:rPr>
        <w:t xml:space="preserve"> Ceny Díla (výkaz výměr) je uveden v příloze č. 2 této Smlouvy.</w:t>
      </w:r>
    </w:p>
    <w:p w14:paraId="4EDEB1CC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8E09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B494D" w14:textId="77777777" w:rsidR="00F40EAC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3D77DBED" w14:textId="77777777" w:rsidR="00F625B9" w:rsidRPr="00782411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14:paraId="3A3CDB7B" w14:textId="33E0570C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Objednatel se zavazuje uhradit Cenu Díla jednorázovým bankovním převodem na účet Zhotovitele uvedený </w:t>
      </w:r>
      <w:r w:rsidR="00143BEE">
        <w:rPr>
          <w:rFonts w:ascii="Times New Roman" w:hAnsi="Times New Roman" w:cs="Times New Roman"/>
          <w:sz w:val="24"/>
          <w:szCs w:val="24"/>
        </w:rPr>
        <w:t>na faktuře</w:t>
      </w:r>
      <w:r w:rsidRPr="00782411">
        <w:rPr>
          <w:rFonts w:ascii="Times New Roman" w:hAnsi="Times New Roman" w:cs="Times New Roman"/>
          <w:sz w:val="24"/>
          <w:szCs w:val="24"/>
        </w:rPr>
        <w:t>, a to na základě daňového dokladu – faktury vystavené Zhotovitelem s</w:t>
      </w:r>
      <w:r w:rsidR="008216D6">
        <w:rPr>
          <w:rFonts w:ascii="Times New Roman" w:hAnsi="Times New Roman" w:cs="Times New Roman"/>
          <w:sz w:val="24"/>
          <w:szCs w:val="24"/>
        </w:rPr>
        <w:t>e lhůtou</w:t>
      </w:r>
      <w:r w:rsidRPr="00782411">
        <w:rPr>
          <w:rFonts w:ascii="Times New Roman" w:hAnsi="Times New Roman" w:cs="Times New Roman"/>
          <w:sz w:val="24"/>
          <w:szCs w:val="24"/>
        </w:rPr>
        <w:t xml:space="preserve"> splatnosti 30 dnů ode dne </w:t>
      </w:r>
      <w:r w:rsidR="007208F9">
        <w:rPr>
          <w:rFonts w:ascii="Times New Roman" w:hAnsi="Times New Roman" w:cs="Times New Roman"/>
          <w:sz w:val="24"/>
          <w:szCs w:val="24"/>
        </w:rPr>
        <w:t>doručení</w:t>
      </w:r>
      <w:r w:rsidRPr="00782411">
        <w:rPr>
          <w:rFonts w:ascii="Times New Roman" w:hAnsi="Times New Roman" w:cs="Times New Roman"/>
          <w:sz w:val="24"/>
          <w:szCs w:val="24"/>
        </w:rPr>
        <w:t xml:space="preserve"> faktury Objednateli. Fakturu lze předložit Objednateli nejdříve po protokolárním převzetí Díla Objednatelem bez vad, resp. po odstranění všech vad provedeného Díla</w:t>
      </w:r>
      <w:r w:rsidR="00396D3E">
        <w:rPr>
          <w:rFonts w:ascii="Times New Roman" w:hAnsi="Times New Roman" w:cs="Times New Roman"/>
          <w:sz w:val="24"/>
          <w:szCs w:val="24"/>
        </w:rPr>
        <w:t>, resp.</w:t>
      </w:r>
      <w:r w:rsidR="00F40EAC" w:rsidRPr="00F62567"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A77446" w:rsidRPr="00D45358">
        <w:rPr>
          <w:rFonts w:ascii="Times New Roman" w:hAnsi="Times New Roman" w:cs="Times New Roman"/>
          <w:sz w:val="24"/>
          <w:szCs w:val="24"/>
        </w:rPr>
        <w:t xml:space="preserve"> ve lhůtě do 15 dnů ode dne protokolárního předání díla Objednateli</w:t>
      </w:r>
      <w:r w:rsidR="00A77446">
        <w:rPr>
          <w:rFonts w:ascii="Times New Roman" w:hAnsi="Times New Roman" w:cs="Times New Roman"/>
          <w:sz w:val="24"/>
          <w:szCs w:val="24"/>
        </w:rPr>
        <w:t>.</w:t>
      </w:r>
    </w:p>
    <w:p w14:paraId="4BBCC2FE" w14:textId="77777777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Fakturovaná Cena Díla musí odpovídat Ceně Díla uvedené ve čl. IV. této Smlouvy.</w:t>
      </w:r>
    </w:p>
    <w:p w14:paraId="239164CA" w14:textId="4078477E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 29 zákona č. 235/2004 Sb. 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435 Občanského zákoníku.</w:t>
      </w:r>
      <w:r w:rsidR="007208F9"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</w:t>
      </w:r>
      <w:r w:rsidR="00A77446">
        <w:rPr>
          <w:rFonts w:ascii="Times New Roman" w:hAnsi="Times New Roman" w:cs="Times New Roman"/>
          <w:sz w:val="24"/>
          <w:szCs w:val="24"/>
        </w:rPr>
        <w:t xml:space="preserve"> </w:t>
      </w:r>
      <w:r w:rsidR="00A77446" w:rsidRPr="00A77446">
        <w:rPr>
          <w:rFonts w:ascii="Times New Roman" w:hAnsi="Times New Roman" w:cs="Times New Roman"/>
          <w:sz w:val="24"/>
          <w:szCs w:val="24"/>
        </w:rPr>
        <w:t>Pokud</w:t>
      </w:r>
      <w:r w:rsidR="00A77446">
        <w:rPr>
          <w:rFonts w:ascii="Times New Roman" w:hAnsi="Times New Roman" w:cs="Times New Roman"/>
          <w:sz w:val="24"/>
          <w:szCs w:val="24"/>
        </w:rPr>
        <w:t xml:space="preserve">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 w:rsidR="00A77446">
        <w:rPr>
          <w:rFonts w:ascii="Times New Roman" w:hAnsi="Times New Roman" w:cs="Times New Roman"/>
          <w:sz w:val="24"/>
          <w:szCs w:val="24"/>
        </w:rPr>
        <w:t>Zhotovitelem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 w:rsidR="00A77446">
        <w:rPr>
          <w:rFonts w:ascii="Times New Roman" w:hAnsi="Times New Roman" w:cs="Times New Roman"/>
          <w:sz w:val="24"/>
          <w:szCs w:val="24"/>
        </w:rPr>
        <w:t>Objednatel oprávněn takovou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 w:rsidR="00A77446">
        <w:rPr>
          <w:rFonts w:ascii="Times New Roman" w:hAnsi="Times New Roman" w:cs="Times New Roman"/>
          <w:sz w:val="24"/>
          <w:szCs w:val="24"/>
        </w:rPr>
        <w:t>Zhotoviteli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 w:rsidR="00A77446">
        <w:rPr>
          <w:rFonts w:ascii="Times New Roman" w:hAnsi="Times New Roman" w:cs="Times New Roman"/>
          <w:sz w:val="24"/>
          <w:szCs w:val="24"/>
        </w:rPr>
        <w:t xml:space="preserve"> s úhradou Ceny Díla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. Prodávající je povinen zaslat </w:t>
      </w:r>
      <w:r w:rsidR="00A77446">
        <w:rPr>
          <w:rFonts w:ascii="Times New Roman" w:hAnsi="Times New Roman" w:cs="Times New Roman"/>
          <w:sz w:val="24"/>
          <w:szCs w:val="24"/>
        </w:rPr>
        <w:t>Objednateli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="00A77446">
        <w:rPr>
          <w:rFonts w:ascii="Times New Roman" w:hAnsi="Times New Roman" w:cs="Times New Roman"/>
          <w:sz w:val="24"/>
          <w:szCs w:val="24"/>
        </w:rPr>
        <w:t>novou (opravenou)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 w:rsidR="00A77446">
        <w:rPr>
          <w:rFonts w:ascii="Times New Roman" w:hAnsi="Times New Roman" w:cs="Times New Roman"/>
          <w:sz w:val="24"/>
          <w:szCs w:val="24"/>
        </w:rPr>
        <w:t>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 w:rsidR="00A77446">
        <w:rPr>
          <w:rFonts w:ascii="Times New Roman" w:hAnsi="Times New Roman" w:cs="Times New Roman"/>
          <w:sz w:val="24"/>
          <w:szCs w:val="24"/>
        </w:rPr>
        <w:t>Objednateli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 w:rsidR="00A77446">
        <w:rPr>
          <w:rFonts w:ascii="Times New Roman" w:hAnsi="Times New Roman" w:cs="Times New Roman"/>
          <w:sz w:val="24"/>
          <w:szCs w:val="24"/>
        </w:rPr>
        <w:t>Objednatel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 w:rsidR="00A77446">
        <w:rPr>
          <w:rFonts w:ascii="Times New Roman" w:hAnsi="Times New Roman" w:cs="Times New Roman"/>
          <w:sz w:val="24"/>
          <w:szCs w:val="24"/>
        </w:rPr>
        <w:t>takovém případě povinen hradit f</w:t>
      </w:r>
      <w:r w:rsidR="00A77446" w:rsidRPr="00A77446">
        <w:rPr>
          <w:rFonts w:ascii="Times New Roman" w:hAnsi="Times New Roman" w:cs="Times New Roman"/>
          <w:sz w:val="24"/>
          <w:szCs w:val="24"/>
        </w:rPr>
        <w:t>akturu v</w:t>
      </w:r>
      <w:r w:rsidR="00287A87">
        <w:rPr>
          <w:rFonts w:ascii="Times New Roman" w:hAnsi="Times New Roman" w:cs="Times New Roman"/>
          <w:sz w:val="24"/>
          <w:szCs w:val="24"/>
        </w:rPr>
        <w:t>e lhůtě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 w:rsidR="00287A87">
        <w:rPr>
          <w:rFonts w:ascii="Times New Roman" w:hAnsi="Times New Roman" w:cs="Times New Roman"/>
          <w:sz w:val="24"/>
          <w:szCs w:val="24"/>
        </w:rPr>
        <w:t>i uvedené</w:t>
      </w:r>
      <w:r w:rsidR="00A77446">
        <w:rPr>
          <w:rFonts w:ascii="Times New Roman" w:hAnsi="Times New Roman" w:cs="Times New Roman"/>
          <w:sz w:val="24"/>
          <w:szCs w:val="24"/>
        </w:rPr>
        <w:t xml:space="preserve"> na prvotní (chybné)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 w:rsidR="00A77446">
        <w:rPr>
          <w:rFonts w:ascii="Times New Roman" w:hAnsi="Times New Roman" w:cs="Times New Roman"/>
          <w:sz w:val="24"/>
          <w:szCs w:val="24"/>
        </w:rPr>
        <w:t>Zhotoviteli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45D0C" w14:textId="77777777" w:rsidR="00A77446" w:rsidRPr="00F62567" w:rsidRDefault="00125863" w:rsidP="00F6256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 neposkytuje žádné zálohy na Cenu Díla, ani dílčí platby Ceny Díla.</w:t>
      </w:r>
      <w:r w:rsidR="00A77446" w:rsidRPr="00A77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249A9" w14:textId="77777777" w:rsidR="007128E9" w:rsidRDefault="00A77446" w:rsidP="00F6256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 w:rsidR="00674C62"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 w:rsidR="00BF5B84">
        <w:rPr>
          <w:rFonts w:ascii="Times New Roman" w:hAnsi="Times New Roman" w:cs="Times New Roman"/>
          <w:sz w:val="24"/>
          <w:szCs w:val="24"/>
        </w:rPr>
        <w:t>Zhotovitelem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BF5B84">
        <w:rPr>
          <w:rFonts w:ascii="Times New Roman" w:hAnsi="Times New Roman" w:cs="Times New Roman"/>
          <w:sz w:val="24"/>
          <w:szCs w:val="24"/>
        </w:rPr>
        <w:t>Objednatele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prospěch účtu </w:t>
      </w:r>
      <w:r w:rsidR="00BF5B84">
        <w:rPr>
          <w:rFonts w:ascii="Times New Roman" w:hAnsi="Times New Roman" w:cs="Times New Roman"/>
          <w:sz w:val="24"/>
          <w:szCs w:val="24"/>
        </w:rPr>
        <w:t>Zhotovitele</w:t>
      </w:r>
      <w:r w:rsidR="00F40EAC">
        <w:rPr>
          <w:rFonts w:ascii="Times New Roman" w:hAnsi="Times New Roman" w:cs="Times New Roman"/>
          <w:sz w:val="24"/>
          <w:szCs w:val="24"/>
        </w:rPr>
        <w:t xml:space="preserve"> uvedeného </w:t>
      </w:r>
      <w:r w:rsidR="00674C62">
        <w:rPr>
          <w:rFonts w:ascii="Times New Roman" w:hAnsi="Times New Roman" w:cs="Times New Roman"/>
          <w:sz w:val="24"/>
          <w:szCs w:val="24"/>
        </w:rPr>
        <w:t>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 w:rsidR="007128E9">
        <w:rPr>
          <w:rFonts w:ascii="Times New Roman" w:hAnsi="Times New Roman" w:cs="Times New Roman"/>
          <w:sz w:val="24"/>
          <w:szCs w:val="24"/>
        </w:rPr>
        <w:t xml:space="preserve"> </w:t>
      </w:r>
      <w:r w:rsidR="00674C62" w:rsidRPr="00674C62">
        <w:rPr>
          <w:rFonts w:ascii="Times New Roman" w:hAnsi="Times New Roman" w:cs="Times New Roman"/>
          <w:sz w:val="24"/>
          <w:szCs w:val="24"/>
        </w:rPr>
        <w:t>Zhotovitel je ve sm</w:t>
      </w:r>
      <w:r w:rsidR="00143BEE">
        <w:rPr>
          <w:rFonts w:ascii="Times New Roman" w:hAnsi="Times New Roman" w:cs="Times New Roman"/>
          <w:sz w:val="24"/>
          <w:szCs w:val="24"/>
        </w:rPr>
        <w:t>yslu předchozí věty povinen na f</w:t>
      </w:r>
      <w:r w:rsidR="00674C62" w:rsidRPr="00674C62">
        <w:rPr>
          <w:rFonts w:ascii="Times New Roman" w:hAnsi="Times New Roman" w:cs="Times New Roman"/>
          <w:sz w:val="24"/>
          <w:szCs w:val="24"/>
        </w:rPr>
        <w:t>aktuře uvádět účet Zhotovitele uvedený v ustanovení Smlouvy upravujícím Smluvní strany.</w:t>
      </w:r>
    </w:p>
    <w:p w14:paraId="1BD0A9FE" w14:textId="77777777" w:rsidR="00125863" w:rsidRPr="00F62567" w:rsidRDefault="007128E9" w:rsidP="00F6256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14:paraId="2F1647B2" w14:textId="77777777" w:rsidR="00F625B9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u poskytnutých stavebních nebo montážních prací uvedených v číselníku Klasifikace produkce CZ-CPA kód 41 až 43 není plátce</w:t>
      </w:r>
      <w:r w:rsidR="00D7664A">
        <w:rPr>
          <w:rFonts w:ascii="Times New Roman" w:hAnsi="Times New Roman" w:cs="Times New Roman"/>
          <w:sz w:val="24"/>
          <w:szCs w:val="24"/>
        </w:rPr>
        <w:t>m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DPH, tedy se na něj nevztahuje režim přenesené daňové povinnosti. </w:t>
      </w:r>
      <w:r w:rsidRPr="00782411">
        <w:rPr>
          <w:rFonts w:ascii="Times New Roman" w:hAnsi="Times New Roman" w:cs="Times New Roman"/>
          <w:sz w:val="24"/>
          <w:szCs w:val="24"/>
        </w:rPr>
        <w:t>Faktury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musí být vystaveny včetně DPH.</w:t>
      </w:r>
    </w:p>
    <w:p w14:paraId="1CDBAF1C" w14:textId="77777777" w:rsidR="002924C8" w:rsidRDefault="002924C8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94A04" w14:textId="77777777" w:rsidR="00B14DF9" w:rsidRDefault="00125863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VI.</w:t>
      </w:r>
    </w:p>
    <w:p w14:paraId="39292078" w14:textId="615B8856" w:rsidR="00125863" w:rsidRPr="00782411" w:rsidRDefault="00125863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 xml:space="preserve">Záruka za jakost, odpovědnost za </w:t>
      </w:r>
      <w:r w:rsidRPr="002924C8">
        <w:rPr>
          <w:rFonts w:ascii="Times New Roman" w:hAnsi="Times New Roman" w:cs="Times New Roman"/>
          <w:b/>
          <w:sz w:val="24"/>
          <w:szCs w:val="24"/>
        </w:rPr>
        <w:t>vady, pojištění</w:t>
      </w:r>
    </w:p>
    <w:p w14:paraId="254C46D8" w14:textId="77777777" w:rsidR="00B53B6C" w:rsidRDefault="00B7718E" w:rsidP="00F6256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Zhotovitel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odpovídá za vady </w:t>
      </w:r>
      <w:r w:rsidRPr="00782411">
        <w:rPr>
          <w:rFonts w:ascii="Times New Roman" w:hAnsi="Times New Roman" w:cs="Times New Roman"/>
          <w:sz w:val="24"/>
          <w:szCs w:val="24"/>
        </w:rPr>
        <w:t>Díla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dle Občanského zákoníku, Objednateli vznikají v případě </w:t>
      </w:r>
      <w:r w:rsidRPr="00782411">
        <w:rPr>
          <w:rFonts w:ascii="Times New Roman" w:hAnsi="Times New Roman" w:cs="Times New Roman"/>
          <w:sz w:val="24"/>
          <w:szCs w:val="24"/>
        </w:rPr>
        <w:t>vad Díla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2615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a násl. Občanského zákoníku.</w:t>
      </w:r>
    </w:p>
    <w:p w14:paraId="7A469F1D" w14:textId="77777777" w:rsidR="003E3CFD" w:rsidRPr="00F62567" w:rsidRDefault="001C0395" w:rsidP="00F62567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Reklamace, prostřednictvím kterých 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Objednatel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záruku za jakost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Zhotovitelem sepsán reklamační protokol, </w:t>
      </w:r>
      <w:r w:rsidR="00D7664A">
        <w:rPr>
          <w:rFonts w:ascii="Times New Roman" w:hAnsi="Times New Roman" w:cs="Times New Roman"/>
          <w:sz w:val="24"/>
          <w:szCs w:val="24"/>
        </w:rPr>
        <w:t xml:space="preserve">který musí obsahovat </w:t>
      </w:r>
      <w:r w:rsidR="00554EBD"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="003E3CFD" w:rsidRPr="003E3CFD">
        <w:rPr>
          <w:rFonts w:ascii="Times New Roman" w:hAnsi="Times New Roman" w:cs="Times New Roman"/>
          <w:sz w:val="24"/>
          <w:szCs w:val="24"/>
        </w:rPr>
        <w:t>v</w:t>
      </w:r>
      <w:r w:rsidR="00554EBD"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="003E3CFD" w:rsidRPr="003E3CFD">
        <w:rPr>
          <w:rFonts w:ascii="Times New Roman" w:hAnsi="Times New Roman" w:cs="Times New Roman"/>
          <w:sz w:val="24"/>
          <w:szCs w:val="24"/>
        </w:rPr>
        <w:t>vady, záznam o pro</w:t>
      </w:r>
      <w:r w:rsidR="00554EBD">
        <w:rPr>
          <w:rFonts w:ascii="Times New Roman" w:hAnsi="Times New Roman" w:cs="Times New Roman"/>
          <w:sz w:val="24"/>
          <w:szCs w:val="24"/>
        </w:rPr>
        <w:t>vedené opravě a akceptaci zjednání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Objednatelem.</w:t>
      </w:r>
    </w:p>
    <w:p w14:paraId="025302CA" w14:textId="77777777" w:rsidR="00125863" w:rsidRPr="00782411" w:rsidRDefault="00B53B6C" w:rsidP="00B53B6C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3B6C">
        <w:rPr>
          <w:rFonts w:ascii="Times New Roman" w:hAnsi="Times New Roman" w:cs="Times New Roman"/>
          <w:sz w:val="24"/>
          <w:szCs w:val="24"/>
        </w:rPr>
        <w:t>Oprávněně reklamované vady díla Zhotovitel od</w:t>
      </w:r>
      <w:r>
        <w:rPr>
          <w:rFonts w:ascii="Times New Roman" w:hAnsi="Times New Roman" w:cs="Times New Roman"/>
          <w:sz w:val="24"/>
          <w:szCs w:val="24"/>
        </w:rPr>
        <w:t>straní bez zbytečného odkladu a </w:t>
      </w:r>
      <w:r w:rsidRPr="00B53B6C">
        <w:rPr>
          <w:rFonts w:ascii="Times New Roman" w:hAnsi="Times New Roman" w:cs="Times New Roman"/>
          <w:sz w:val="24"/>
          <w:szCs w:val="24"/>
        </w:rPr>
        <w:t>bezplatně.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EB79BE">
        <w:rPr>
          <w:rFonts w:ascii="Times New Roman" w:hAnsi="Times New Roman" w:cs="Times New Roman"/>
          <w:sz w:val="24"/>
          <w:szCs w:val="24"/>
        </w:rPr>
        <w:t>Neučiní-li tak ani v Objednatelem dodatečně písemně stanovené přiměřené lhůtě, je Objednatel oprávněn vady Díla odstranit jiným vhodným způsobem a požadovat po Zhotoviteli uhrazení všech s odstraněním těchto vad přímo souvisejících nákladů.</w:t>
      </w:r>
      <w:r w:rsidR="00EB79BE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EB79BE" w:rsidRPr="00F62567">
        <w:rPr>
          <w:rFonts w:ascii="Times New Roman" w:hAnsi="Times New Roman" w:cs="Times New Roman"/>
          <w:sz w:val="24"/>
          <w:szCs w:val="24"/>
        </w:rPr>
        <w:t>Předchozí větou není dotčen nárok Objednatele na úhradu smluvní pokuty Zhotovitelem dle čl. VIII odst. 3 Smlouvy.</w:t>
      </w:r>
    </w:p>
    <w:p w14:paraId="6F49F1D3" w14:textId="14EF3A2A" w:rsidR="00125863" w:rsidRPr="00782411" w:rsidRDefault="00125863" w:rsidP="00F6256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B7718E" w:rsidRPr="00782411">
        <w:rPr>
          <w:rFonts w:ascii="Times New Roman" w:hAnsi="Times New Roman" w:cs="Times New Roman"/>
          <w:color w:val="000000"/>
          <w:sz w:val="24"/>
          <w:szCs w:val="24"/>
        </w:rPr>
        <w:t>provedením Díla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způsobem, má Objednatel nároky z vad </w:t>
      </w:r>
      <w:r w:rsidR="00BF125F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Díla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podle </w:t>
      </w:r>
      <w:proofErr w:type="spellStart"/>
      <w:r w:rsidRPr="00782411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. § 2106 Občanského zákoníku. </w:t>
      </w:r>
    </w:p>
    <w:p w14:paraId="02CF124F" w14:textId="4E9048C5" w:rsidR="00125863" w:rsidRPr="002924C8" w:rsidRDefault="000E4549" w:rsidP="00DF0F89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Zhotovitel </w:t>
      </w:r>
      <w:r w:rsidR="00125863"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 </w:t>
      </w:r>
      <w:r w:rsidR="00D7664A" w:rsidRPr="002924C8">
        <w:rPr>
          <w:rFonts w:ascii="Times New Roman" w:hAnsi="Times New Roman" w:cs="Times New Roman"/>
          <w:sz w:val="24"/>
          <w:szCs w:val="24"/>
        </w:rPr>
        <w:t>Tuto pojistnou smlouvu je Zhotovitel povinen na výzvu Objednatele bez zbytečného odkladu předložit Objednateli k nahlédnu</w:t>
      </w:r>
      <w:r w:rsidR="00D7664A" w:rsidRPr="002924C8">
        <w:rPr>
          <w:rFonts w:ascii="Times New Roman" w:hAnsi="Times New Roman" w:cs="Times New Roman"/>
          <w:color w:val="000000"/>
          <w:sz w:val="24"/>
          <w:szCs w:val="24"/>
        </w:rPr>
        <w:t>tí.</w:t>
      </w:r>
    </w:p>
    <w:p w14:paraId="32D995B9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7E5DDA" w14:textId="77777777" w:rsidR="00D8260E" w:rsidRPr="00F62567" w:rsidRDefault="00D8260E" w:rsidP="00F6256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567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</w:p>
    <w:p w14:paraId="1FE34485" w14:textId="77777777" w:rsidR="00171218" w:rsidRPr="00171218" w:rsidRDefault="00D8260E" w:rsidP="00F62567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218">
        <w:rPr>
          <w:rFonts w:ascii="Times New Roman" w:hAnsi="Times New Roman" w:cs="Times New Roman"/>
          <w:b/>
          <w:color w:val="000000"/>
          <w:sz w:val="24"/>
          <w:szCs w:val="24"/>
        </w:rPr>
        <w:t>Zvláštní</w:t>
      </w:r>
      <w:r w:rsidRPr="00F62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povinnosti Zhotovitele</w:t>
      </w:r>
    </w:p>
    <w:p w14:paraId="6CC8715D" w14:textId="77777777" w:rsidR="00171218" w:rsidRPr="002924C8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218">
        <w:rPr>
          <w:rFonts w:ascii="Times New Roman" w:hAnsi="Times New Roman" w:cs="Times New Roman"/>
          <w:color w:val="000000"/>
          <w:sz w:val="24"/>
          <w:szCs w:val="24"/>
        </w:rPr>
        <w:t xml:space="preserve">Zhotovitel se zavazuje prostudovat připomínky a upozornění Objednatele, týkající se průběhu a způsobu plnění smluvních povinností Zhotovitele, a v případě jejich opodstatněnosti bez zbytečného odkladu vyvodit odpovídající závěry a přijmout opatření k odstranění nedostatků v plnění Smlouvy. O těchto opatřeních bude informovat 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>Objednatele.</w:t>
      </w:r>
    </w:p>
    <w:p w14:paraId="60B1EED3" w14:textId="192BB829" w:rsidR="00171218" w:rsidRPr="002924C8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4C8">
        <w:rPr>
          <w:rFonts w:ascii="Times New Roman" w:hAnsi="Times New Roman" w:cs="Times New Roman"/>
          <w:color w:val="000000"/>
          <w:sz w:val="24"/>
          <w:szCs w:val="24"/>
        </w:rPr>
        <w:t>Zhotovitel je povinen před zahájením prací předložit doklad o platném školení BOZP podle § 8 Směrnice G</w:t>
      </w:r>
      <w:r w:rsidR="00003F4D" w:rsidRPr="002924C8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4D"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ŘSD ČR 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č. 4/2007, zpracovaná bezpečnostní rizika dle § 101 odst. 3 </w:t>
      </w:r>
      <w:r w:rsidR="00003F4D" w:rsidRPr="002924C8">
        <w:rPr>
          <w:rFonts w:ascii="Times New Roman" w:hAnsi="Times New Roman" w:cs="Times New Roman"/>
          <w:color w:val="000000"/>
          <w:sz w:val="24"/>
          <w:szCs w:val="24"/>
        </w:rPr>
        <w:t>zákona č. 262/2006 Sb., zákoník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 práce, v</w:t>
      </w:r>
      <w:r w:rsidR="00B32F5A" w:rsidRPr="002924C8">
        <w:rPr>
          <w:rFonts w:ascii="Times New Roman" w:hAnsi="Times New Roman" w:cs="Times New Roman"/>
          <w:color w:val="000000"/>
          <w:sz w:val="24"/>
          <w:szCs w:val="24"/>
        </w:rPr>
        <w:t>e znění pozdějších předpisů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 (dále jen „Zákoník práce“) a vstup na dálnici hlásit zástupci Objednatele. Zhotovitel je povinen dodržovat veškeré platné technické a právní předpisy, týkající se zajištění bezpečnosti a ochrany zdraví při práci a bezpečnosti technických zařízení zejména nařízení vlády č. </w:t>
      </w:r>
      <w:r w:rsidR="00003F4D" w:rsidRPr="002924C8">
        <w:rPr>
          <w:rFonts w:ascii="Times New Roman" w:hAnsi="Times New Roman" w:cs="Times New Roman"/>
          <w:color w:val="000000"/>
          <w:sz w:val="24"/>
          <w:szCs w:val="24"/>
        </w:rPr>
        <w:t>591/2006 Sb., a Směrnici GŘ ŘSD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 ČR č. 4/2007 Pravidla bezpečnosti práce na dálnicích a silnicích. Zhotovitel se zavazuje vysílat k provádění prací zaměstnance odborně a zdravotně způsobilé a řádně proškolené v předpisech bezpečnosti a ochrany zdraví při práci. V případě pracovního úrazu zaměstnance Zhotovitele vyšetří a sepíše záznam o pracovním úrazu vedoucí zaměstnanec Zhotovitele ve spolupráci s vedoucím zaměstnancem Objednatele a Zhotovitel následně splní veškeré </w:t>
      </w:r>
      <w:r w:rsidR="006910E1" w:rsidRPr="002924C8">
        <w:rPr>
          <w:rFonts w:ascii="Times New Roman" w:hAnsi="Times New Roman" w:cs="Times New Roman"/>
          <w:color w:val="000000"/>
          <w:sz w:val="24"/>
          <w:szCs w:val="24"/>
        </w:rPr>
        <w:t>povinnosti v souladu s § 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>105 Zákoníku práce a nařízením vlády č. 201/2010 Sb.</w:t>
      </w:r>
      <w:r w:rsidR="006910E1" w:rsidRPr="002924C8">
        <w:rPr>
          <w:rFonts w:ascii="Times New Roman" w:hAnsi="Times New Roman" w:cs="Times New Roman"/>
          <w:color w:val="000000"/>
          <w:sz w:val="24"/>
          <w:szCs w:val="24"/>
        </w:rPr>
        <w:t>, ve znění pozdějších předpisů.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 Zhotovitel se zavazuje zajistit vlastní dozor nad bezpečností práce a soustavnou kontrolu na pracovištích. Zástupce Zhotovitele předá při převzetí pracoviště písemné jmenování těchto osob. </w:t>
      </w:r>
    </w:p>
    <w:p w14:paraId="2524002D" w14:textId="77777777" w:rsidR="00171218" w:rsidRPr="002924C8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4C8">
        <w:rPr>
          <w:rFonts w:ascii="Times New Roman" w:hAnsi="Times New Roman" w:cs="Times New Roman"/>
          <w:color w:val="000000"/>
          <w:sz w:val="24"/>
          <w:szCs w:val="24"/>
        </w:rPr>
        <w:t>Zhotovitel nebude bez písemného souhlasu používat zařízení Objednatele.</w:t>
      </w:r>
    </w:p>
    <w:p w14:paraId="71278AEC" w14:textId="77777777" w:rsidR="00171218" w:rsidRPr="002924C8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4C8">
        <w:rPr>
          <w:rFonts w:ascii="Times New Roman" w:hAnsi="Times New Roman" w:cs="Times New Roman"/>
          <w:color w:val="000000"/>
          <w:sz w:val="24"/>
          <w:szCs w:val="24"/>
        </w:rPr>
        <w:lastRenderedPageBreak/>
        <w:t>Zhotovitel podle § 2936 až 2938 Občanského zákoníku odpovídá i za škodu způsobenou vadou věci, a této odpovědnosti se nemůže zbavit. Zhotovite</w:t>
      </w:r>
      <w:r w:rsidR="00003F4D" w:rsidRPr="002924C8">
        <w:rPr>
          <w:rFonts w:ascii="Times New Roman" w:hAnsi="Times New Roman" w:cs="Times New Roman"/>
          <w:color w:val="000000"/>
          <w:sz w:val="24"/>
          <w:szCs w:val="24"/>
        </w:rPr>
        <w:t>l se zavazuje používat stroje a 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>zařízení, která svým konstrukčním provedením a na základě výsledků kontrol a revizí jsou schopna bezpečného provozu.</w:t>
      </w:r>
    </w:p>
    <w:p w14:paraId="15097201" w14:textId="3D44B41E" w:rsidR="00171218" w:rsidRPr="002924C8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Porušování předpisů bezpečnosti práce a technických zařízení a bezpečnosti provozu na dálnicích a silnicích se považuje za </w:t>
      </w:r>
      <w:r w:rsidR="00370258" w:rsidRPr="002924C8">
        <w:rPr>
          <w:rFonts w:ascii="Times New Roman" w:hAnsi="Times New Roman" w:cs="Times New Roman"/>
          <w:color w:val="000000"/>
          <w:sz w:val="24"/>
          <w:szCs w:val="24"/>
        </w:rPr>
        <w:t>podstatné porušení smluvních povinností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 xml:space="preserve"> Zhotovitele podle Smlouvy.</w:t>
      </w:r>
    </w:p>
    <w:p w14:paraId="266743FE" w14:textId="0FBEB7B8" w:rsidR="00171218" w:rsidRPr="002924C8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4C8">
        <w:rPr>
          <w:rFonts w:ascii="Times New Roman" w:hAnsi="Times New Roman" w:cs="Times New Roman"/>
          <w:color w:val="000000"/>
          <w:sz w:val="24"/>
          <w:szCs w:val="24"/>
        </w:rPr>
        <w:t>V případě, že se jedná o stavbu podléhající režimu zákona č. 309/2006 Sb., o zajištění dalších podmínek bezpečnosti a ochrany zdraví při práci, v platném znění, z hlediska ohlášení zahájení prací oblastnímu inspektorátu práce, ustavení funkce koordinátora BOZP a zpracování plánu zajištění BOZP, je Zhotovitel povinen plnit úkoly uvedené v §</w:t>
      </w:r>
      <w:r w:rsidR="007769E9" w:rsidRPr="002924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24C8">
        <w:rPr>
          <w:rFonts w:ascii="Times New Roman" w:hAnsi="Times New Roman" w:cs="Times New Roman"/>
          <w:color w:val="000000"/>
          <w:sz w:val="24"/>
          <w:szCs w:val="24"/>
        </w:rPr>
        <w:t>16 uvedeného zákona.</w:t>
      </w:r>
    </w:p>
    <w:p w14:paraId="605197CC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82084" w14:textId="77777777" w:rsidR="00B14DF9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V</w:t>
      </w:r>
      <w:r w:rsidR="001B7559" w:rsidRPr="00782411">
        <w:rPr>
          <w:rFonts w:ascii="Times New Roman" w:hAnsi="Times New Roman" w:cs="Times New Roman"/>
          <w:b/>
          <w:sz w:val="24"/>
          <w:szCs w:val="24"/>
        </w:rPr>
        <w:t>II</w:t>
      </w:r>
      <w:r w:rsidR="002474DE">
        <w:rPr>
          <w:rFonts w:ascii="Times New Roman" w:hAnsi="Times New Roman" w:cs="Times New Roman"/>
          <w:b/>
          <w:sz w:val="24"/>
          <w:szCs w:val="24"/>
        </w:rPr>
        <w:t>I</w:t>
      </w:r>
      <w:r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66F45F76" w14:textId="229AD900" w:rsidR="00F625B9" w:rsidRPr="00782411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ankce</w:t>
      </w:r>
    </w:p>
    <w:p w14:paraId="47FF2734" w14:textId="2B041247" w:rsidR="00EA306D" w:rsidRDefault="00D21AFD" w:rsidP="00DF0F89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>V případě prodlení Zhotovitele s provedením Díla má Objednatel vůči Zhotoviteli nárok na uhrazení smluvní pokuty ve výši 0,1</w:t>
      </w:r>
      <w:r w:rsidR="00143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% z Ceny D</w:t>
      </w:r>
      <w:r w:rsidR="00F625B9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íla bez DPH za každý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i započatý den prodlení s předáním řádně dokončeného Díla.</w:t>
      </w:r>
    </w:p>
    <w:p w14:paraId="04B62CDD" w14:textId="4CD58CAF" w:rsidR="00EB79BE" w:rsidRPr="00F62567" w:rsidRDefault="00003F4D" w:rsidP="00FD0140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případě prodlení Objednatele s uhrazením Ceny Díla je Zhotovitel oprávněn po Objednateli Požadovat úrok z prodlení ve výši stanovené platnými právními předpisy.</w:t>
      </w:r>
    </w:p>
    <w:p w14:paraId="05B2A23D" w14:textId="3CF94E04" w:rsidR="001E092C" w:rsidRPr="00782411" w:rsidRDefault="00D21AFD" w:rsidP="00F6256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Uplatněním smluvní pokuty není dotčena povinnost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>Smluvní strany</w:t>
      </w:r>
      <w:r w:rsidR="00003F4D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k náhradě škody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 xml:space="preserve">druhé Smluvní straně, a to </w:t>
      </w:r>
      <w:r w:rsidR="00B14DF9">
        <w:rPr>
          <w:rFonts w:ascii="Times New Roman" w:hAnsi="Times New Roman" w:cs="Times New Roman"/>
          <w:color w:val="000000"/>
          <w:sz w:val="24"/>
          <w:szCs w:val="24"/>
        </w:rPr>
        <w:t>v plné výši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. Uplatněním smluvní pokuty není dotčena povinnost Zhotovitele k řádnému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>dokončení</w:t>
      </w:r>
      <w:r w:rsidR="00003F4D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Díla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 xml:space="preserve"> a jeho předání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Objednateli.</w:t>
      </w:r>
    </w:p>
    <w:p w14:paraId="353952CA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6B59C" w14:textId="77777777" w:rsidR="0008479B" w:rsidRDefault="0008479B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14:paraId="6971E508" w14:textId="77777777" w:rsidR="0008479B" w:rsidRDefault="0008479B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516C490F" w14:textId="77777777" w:rsidR="0008479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14:paraId="423BA688" w14:textId="16D44579" w:rsidR="0008479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B167A3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843EDA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ve stanovených lhůtách či termínech nezapočne s plněním předmětu Smlouvy</w:t>
      </w:r>
      <w:r w:rsidR="00147BE0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08055" w14:textId="6879EEE6" w:rsidR="0008479B" w:rsidRPr="00CB5A8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B167A3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prokáže, že </w:t>
      </w:r>
      <w:r w:rsidR="00843EDA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 rámci své nabídky podané v Zakázce uvedl nepravdivé údaje, které ovlivnily </w:t>
      </w:r>
      <w:r w:rsidRPr="00CB5A8B">
        <w:rPr>
          <w:rFonts w:ascii="Times New Roman" w:hAnsi="Times New Roman" w:cs="Times New Roman"/>
          <w:sz w:val="24"/>
          <w:szCs w:val="24"/>
        </w:rPr>
        <w:t>výběr nejvhodnější nabídky.</w:t>
      </w:r>
    </w:p>
    <w:p w14:paraId="47F7F6F3" w14:textId="3FA1906A" w:rsidR="0008479B" w:rsidRPr="002924C8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Smluvní strany jsou oprávněny písemně </w:t>
      </w:r>
      <w:r w:rsidR="00B167A3">
        <w:rPr>
          <w:rFonts w:ascii="Times New Roman" w:hAnsi="Times New Roman" w:cs="Times New Roman"/>
          <w:sz w:val="24"/>
          <w:szCs w:val="24"/>
        </w:rPr>
        <w:t>odstoupit od</w:t>
      </w:r>
      <w:r w:rsidRPr="00F62567">
        <w:rPr>
          <w:rFonts w:ascii="Times New Roman" w:hAnsi="Times New Roman" w:cs="Times New Roman"/>
          <w:sz w:val="24"/>
          <w:szCs w:val="24"/>
        </w:rPr>
        <w:t xml:space="preserve"> Smlouv</w:t>
      </w:r>
      <w:r w:rsidR="00B167A3">
        <w:rPr>
          <w:rFonts w:ascii="Times New Roman" w:hAnsi="Times New Roman" w:cs="Times New Roman"/>
          <w:sz w:val="24"/>
          <w:szCs w:val="24"/>
        </w:rPr>
        <w:t>y</w:t>
      </w:r>
      <w:r w:rsidRPr="00F62567">
        <w:rPr>
          <w:rFonts w:ascii="Times New Roman" w:hAnsi="Times New Roman" w:cs="Times New Roman"/>
          <w:sz w:val="24"/>
          <w:szCs w:val="24"/>
        </w:rPr>
        <w:t xml:space="preserve"> s účinky</w:t>
      </w:r>
      <w:r w:rsidR="00B167A3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B167A3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B167A3">
        <w:rPr>
          <w:rFonts w:ascii="Times New Roman" w:hAnsi="Times New Roman" w:cs="Times New Roman"/>
          <w:sz w:val="24"/>
          <w:szCs w:val="24"/>
        </w:rPr>
        <w:t xml:space="preserve"> </w:t>
      </w:r>
      <w:r w:rsidRPr="00F62567">
        <w:rPr>
          <w:rFonts w:ascii="Times New Roman" w:hAnsi="Times New Roman" w:cs="Times New Roman"/>
          <w:sz w:val="24"/>
          <w:szCs w:val="24"/>
        </w:rPr>
        <w:t xml:space="preserve">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B167A3">
        <w:rPr>
          <w:rFonts w:ascii="Times New Roman" w:hAnsi="Times New Roman" w:cs="Times New Roman"/>
          <w:sz w:val="24"/>
          <w:szCs w:val="24"/>
        </w:rPr>
        <w:t xml:space="preserve">od </w:t>
      </w:r>
      <w:r w:rsidRPr="00F62567">
        <w:rPr>
          <w:rFonts w:ascii="Times New Roman" w:hAnsi="Times New Roman" w:cs="Times New Roman"/>
          <w:sz w:val="24"/>
          <w:szCs w:val="24"/>
        </w:rPr>
        <w:t>Smlouv</w:t>
      </w:r>
      <w:r w:rsidR="00B167A3">
        <w:rPr>
          <w:rFonts w:ascii="Times New Roman" w:hAnsi="Times New Roman" w:cs="Times New Roman"/>
          <w:sz w:val="24"/>
          <w:szCs w:val="24"/>
        </w:rPr>
        <w:t>y</w:t>
      </w:r>
      <w:r w:rsidRPr="00F62567">
        <w:rPr>
          <w:rFonts w:ascii="Times New Roman" w:hAnsi="Times New Roman" w:cs="Times New Roman"/>
          <w:sz w:val="24"/>
          <w:szCs w:val="24"/>
        </w:rPr>
        <w:t xml:space="preserve"> platně </w:t>
      </w:r>
      <w:r w:rsidR="00B167A3">
        <w:rPr>
          <w:rFonts w:ascii="Times New Roman" w:hAnsi="Times New Roman" w:cs="Times New Roman"/>
          <w:sz w:val="24"/>
          <w:szCs w:val="24"/>
        </w:rPr>
        <w:t>odstoupit</w:t>
      </w:r>
      <w:r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B167A3">
        <w:rPr>
          <w:rFonts w:ascii="Times New Roman" w:hAnsi="Times New Roman" w:cs="Times New Roman"/>
          <w:sz w:val="24"/>
          <w:szCs w:val="24"/>
        </w:rPr>
        <w:t xml:space="preserve">i </w:t>
      </w:r>
      <w:r w:rsidRPr="00F62567">
        <w:rPr>
          <w:rFonts w:ascii="Times New Roman" w:hAnsi="Times New Roman" w:cs="Times New Roman"/>
          <w:sz w:val="24"/>
          <w:szCs w:val="24"/>
        </w:rPr>
        <w:t>tím způsobem, že písemn</w:t>
      </w:r>
      <w:r w:rsidR="00B167A3">
        <w:rPr>
          <w:rFonts w:ascii="Times New Roman" w:hAnsi="Times New Roman" w:cs="Times New Roman"/>
          <w:sz w:val="24"/>
          <w:szCs w:val="24"/>
        </w:rPr>
        <w:t>é</w:t>
      </w:r>
      <w:r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B167A3">
        <w:rPr>
          <w:rFonts w:ascii="Times New Roman" w:hAnsi="Times New Roman" w:cs="Times New Roman"/>
          <w:sz w:val="24"/>
          <w:szCs w:val="24"/>
        </w:rPr>
        <w:t>odstoupení od</w:t>
      </w:r>
      <w:r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Pr="002924C8">
        <w:rPr>
          <w:rFonts w:ascii="Times New Roman" w:hAnsi="Times New Roman" w:cs="Times New Roman"/>
          <w:sz w:val="24"/>
          <w:szCs w:val="24"/>
        </w:rPr>
        <w:t xml:space="preserve">Smlouvy </w:t>
      </w:r>
      <w:r w:rsidR="00B167A3" w:rsidRPr="002924C8">
        <w:rPr>
          <w:rFonts w:ascii="Times New Roman" w:hAnsi="Times New Roman" w:cs="Times New Roman"/>
          <w:sz w:val="24"/>
          <w:szCs w:val="24"/>
        </w:rPr>
        <w:t>doručí</w:t>
      </w:r>
      <w:r w:rsidR="0092142E" w:rsidRPr="002924C8">
        <w:rPr>
          <w:rFonts w:ascii="Times New Roman" w:hAnsi="Times New Roman" w:cs="Times New Roman"/>
          <w:sz w:val="24"/>
          <w:szCs w:val="24"/>
        </w:rPr>
        <w:t xml:space="preserve"> druhé Smluvní straně</w:t>
      </w:r>
      <w:r w:rsidRPr="002924C8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14:paraId="2B9E2E77" w14:textId="10449246" w:rsidR="007769E9" w:rsidRPr="002924C8" w:rsidRDefault="0008479B" w:rsidP="002924C8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szCs w:val="24"/>
        </w:rPr>
      </w:pPr>
      <w:r w:rsidRPr="002924C8">
        <w:rPr>
          <w:rFonts w:ascii="Times New Roman" w:hAnsi="Times New Roman" w:cs="Times New Roman"/>
          <w:sz w:val="24"/>
          <w:szCs w:val="24"/>
        </w:rPr>
        <w:t>Smluvní strany jsou oprávněny písemně</w:t>
      </w:r>
      <w:r w:rsidR="00AA17CE" w:rsidRPr="002924C8">
        <w:rPr>
          <w:rFonts w:ascii="Times New Roman" w:hAnsi="Times New Roman" w:cs="Times New Roman"/>
          <w:sz w:val="24"/>
          <w:szCs w:val="24"/>
        </w:rPr>
        <w:t xml:space="preserve"> </w:t>
      </w:r>
      <w:r w:rsidR="00B167A3" w:rsidRPr="002924C8">
        <w:rPr>
          <w:rFonts w:ascii="Times New Roman" w:hAnsi="Times New Roman" w:cs="Times New Roman"/>
          <w:sz w:val="24"/>
          <w:szCs w:val="24"/>
        </w:rPr>
        <w:t>odstoupit</w:t>
      </w:r>
      <w:r w:rsidR="00AA17CE" w:rsidRPr="002924C8">
        <w:rPr>
          <w:rFonts w:ascii="Times New Roman" w:hAnsi="Times New Roman" w:cs="Times New Roman"/>
          <w:sz w:val="24"/>
          <w:szCs w:val="24"/>
        </w:rPr>
        <w:t xml:space="preserve"> </w:t>
      </w:r>
      <w:r w:rsidR="00B167A3" w:rsidRPr="002924C8">
        <w:rPr>
          <w:rFonts w:ascii="Times New Roman" w:hAnsi="Times New Roman" w:cs="Times New Roman"/>
          <w:sz w:val="24"/>
          <w:szCs w:val="24"/>
        </w:rPr>
        <w:t xml:space="preserve">od </w:t>
      </w:r>
      <w:r w:rsidR="00AA17CE" w:rsidRPr="002924C8">
        <w:rPr>
          <w:rFonts w:ascii="Times New Roman" w:hAnsi="Times New Roman" w:cs="Times New Roman"/>
          <w:sz w:val="24"/>
          <w:szCs w:val="24"/>
        </w:rPr>
        <w:t>Smlouvu</w:t>
      </w:r>
      <w:r w:rsidRPr="002924C8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B167A3" w:rsidRPr="002924C8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B167A3" w:rsidRPr="002924C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2924C8">
        <w:rPr>
          <w:rFonts w:ascii="Times New Roman" w:hAnsi="Times New Roman" w:cs="Times New Roman"/>
          <w:sz w:val="24"/>
          <w:szCs w:val="24"/>
        </w:rPr>
        <w:t xml:space="preserve"> v případě, že druhá Smluvní strana poruší své smluvní povinnosti podstatným způsobem. </w:t>
      </w:r>
    </w:p>
    <w:p w14:paraId="6E694D17" w14:textId="77777777" w:rsidR="0008479B" w:rsidRPr="00F62567" w:rsidRDefault="0008479B" w:rsidP="00F6256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lastRenderedPageBreak/>
        <w:t xml:space="preserve">Objednatel je oprávněn písemně vypovědět Smlouvu s účinky od doručení písemné výpovědi </w:t>
      </w:r>
      <w:r w:rsidR="00AA17CE" w:rsidRPr="00F62567">
        <w:rPr>
          <w:rFonts w:ascii="Times New Roman" w:hAnsi="Times New Roman" w:cs="Times New Roman"/>
          <w:sz w:val="24"/>
          <w:szCs w:val="24"/>
        </w:rPr>
        <w:t>Zhotoviteli</w:t>
      </w:r>
      <w:r w:rsidRPr="00F62567">
        <w:rPr>
          <w:rFonts w:ascii="Times New Roman" w:hAnsi="Times New Roman" w:cs="Times New Roman"/>
          <w:sz w:val="24"/>
          <w:szCs w:val="24"/>
        </w:rPr>
        <w:t xml:space="preserve">, a to i bez uvedení důvodu. V tomto případě je však povinen Poskytovateli uhradit nejen cenu již řádně </w:t>
      </w:r>
      <w:r w:rsidR="00AA17CE" w:rsidRPr="00F62567">
        <w:rPr>
          <w:rFonts w:ascii="Times New Roman" w:hAnsi="Times New Roman" w:cs="Times New Roman"/>
          <w:sz w:val="24"/>
          <w:szCs w:val="24"/>
        </w:rPr>
        <w:t>dokončené části Díla</w:t>
      </w:r>
      <w:r w:rsidRPr="00F62567">
        <w:rPr>
          <w:rFonts w:ascii="Times New Roman" w:hAnsi="Times New Roman" w:cs="Times New Roman"/>
          <w:sz w:val="24"/>
          <w:szCs w:val="24"/>
        </w:rPr>
        <w:t xml:space="preserve">, ale i </w:t>
      </w:r>
      <w:r w:rsidR="00AA17CE" w:rsidRPr="00F62567">
        <w:rPr>
          <w:rFonts w:ascii="Times New Roman" w:hAnsi="Times New Roman" w:cs="Times New Roman"/>
          <w:sz w:val="24"/>
          <w:szCs w:val="24"/>
        </w:rPr>
        <w:t>Zhotovitelem</w:t>
      </w:r>
      <w:r w:rsidRPr="00F62567">
        <w:rPr>
          <w:rFonts w:ascii="Times New Roman" w:hAnsi="Times New Roman" w:cs="Times New Roman"/>
          <w:sz w:val="24"/>
          <w:szCs w:val="24"/>
        </w:rPr>
        <w:t xml:space="preserve"> prokazatelně doložené marně vynaložené účelné náklady přímo související s neuskutečněnou částí předmětu plnění, které Poskytovateli vznikly za</w:t>
      </w:r>
      <w:r w:rsidR="00AA17CE" w:rsidRPr="00F62567">
        <w:rPr>
          <w:rFonts w:ascii="Times New Roman" w:hAnsi="Times New Roman" w:cs="Times New Roman"/>
          <w:sz w:val="24"/>
          <w:szCs w:val="24"/>
        </w:rPr>
        <w:t xml:space="preserve"> dobu</w:t>
      </w:r>
      <w:r w:rsidRPr="00F62567">
        <w:rPr>
          <w:rFonts w:ascii="Times New Roman" w:hAnsi="Times New Roman" w:cs="Times New Roman"/>
          <w:sz w:val="24"/>
          <w:szCs w:val="24"/>
        </w:rPr>
        <w:t xml:space="preserve"> účinnosti Smlouvy. Náklady ve smyslu předchozí věty se nerozumí ušlý zisk.</w:t>
      </w:r>
    </w:p>
    <w:p w14:paraId="7329D583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1E70" w14:textId="77777777" w:rsidR="00EA224C" w:rsidRPr="00F62567" w:rsidRDefault="00EA224C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67">
        <w:rPr>
          <w:rFonts w:ascii="Times New Roman" w:hAnsi="Times New Roman" w:cs="Times New Roman"/>
          <w:b/>
          <w:sz w:val="24"/>
          <w:szCs w:val="24"/>
        </w:rPr>
        <w:t>X.</w:t>
      </w:r>
    </w:p>
    <w:p w14:paraId="0E86E723" w14:textId="77777777" w:rsidR="00EA224C" w:rsidRDefault="00EA224C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67">
        <w:rPr>
          <w:rFonts w:ascii="Times New Roman" w:hAnsi="Times New Roman" w:cs="Times New Roman"/>
          <w:b/>
          <w:sz w:val="24"/>
          <w:szCs w:val="24"/>
        </w:rPr>
        <w:t>Registr smluv</w:t>
      </w:r>
    </w:p>
    <w:p w14:paraId="4CE38DA7" w14:textId="1549A155" w:rsidR="00EA224C" w:rsidRPr="00F62567" w:rsidRDefault="00E6029E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EA224C" w:rsidRPr="00F62567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Zhotovite</w:t>
      </w:r>
      <w:r w:rsidR="00EA224C" w:rsidRPr="00F62567">
        <w:rPr>
          <w:rFonts w:ascii="Times New Roman" w:hAnsi="Times New Roman" w:cs="Times New Roman"/>
          <w:sz w:val="24"/>
          <w:szCs w:val="24"/>
        </w:rPr>
        <w:t xml:space="preserve">l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="00EA224C" w:rsidRPr="00F6256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="00EA224C" w:rsidRPr="00F62567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0BE251F" w14:textId="6A8ADA67" w:rsidR="00EA224C" w:rsidRPr="00F62567" w:rsidRDefault="00E6029E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EA224C" w:rsidRPr="00F62567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</w:t>
      </w:r>
      <w:proofErr w:type="spellStart"/>
      <w:r w:rsidR="00EA224C" w:rsidRPr="00F6256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A224C" w:rsidRPr="00F62567">
        <w:rPr>
          <w:rFonts w:ascii="Times New Roman" w:hAnsi="Times New Roman" w:cs="Times New Roman"/>
          <w:sz w:val="24"/>
          <w:szCs w:val="24"/>
        </w:rPr>
        <w:t>. § 3 odst. 2 zákona o registru smluv.</w:t>
      </w:r>
    </w:p>
    <w:p w14:paraId="29A2EDDB" w14:textId="7026A93C" w:rsidR="00EA224C" w:rsidRPr="00F62567" w:rsidRDefault="00EA224C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V rámci Smlouvy nebudou uveřejněny informace stanov</w:t>
      </w:r>
      <w:r w:rsidR="00E6029E">
        <w:rPr>
          <w:rFonts w:ascii="Times New Roman" w:hAnsi="Times New Roman" w:cs="Times New Roman"/>
          <w:sz w:val="24"/>
          <w:szCs w:val="24"/>
        </w:rPr>
        <w:t xml:space="preserve">ené v </w:t>
      </w:r>
      <w:proofErr w:type="spellStart"/>
      <w:r w:rsidR="00E6029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6029E">
        <w:rPr>
          <w:rFonts w:ascii="Times New Roman" w:hAnsi="Times New Roman" w:cs="Times New Roman"/>
          <w:sz w:val="24"/>
          <w:szCs w:val="24"/>
        </w:rPr>
        <w:t>. § 3 odst. 1 zákona o </w:t>
      </w:r>
      <w:r w:rsidRPr="00F62567">
        <w:rPr>
          <w:rFonts w:ascii="Times New Roman" w:hAnsi="Times New Roman" w:cs="Times New Roman"/>
          <w:sz w:val="24"/>
          <w:szCs w:val="24"/>
        </w:rPr>
        <w:t xml:space="preserve">registru smluv označené </w:t>
      </w:r>
      <w:r w:rsidR="00E6029E">
        <w:rPr>
          <w:rFonts w:ascii="Times New Roman" w:hAnsi="Times New Roman" w:cs="Times New Roman"/>
          <w:sz w:val="24"/>
          <w:szCs w:val="24"/>
        </w:rPr>
        <w:t>Zhotovitelem</w:t>
      </w:r>
      <w:r w:rsidRPr="00F62567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14:paraId="409CD525" w14:textId="3382DD48" w:rsidR="0008479B" w:rsidRPr="00F62567" w:rsidRDefault="00EA224C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 w:rsidR="00E6029E">
        <w:rPr>
          <w:rFonts w:ascii="Times New Roman" w:hAnsi="Times New Roman" w:cs="Times New Roman"/>
          <w:sz w:val="24"/>
          <w:szCs w:val="24"/>
        </w:rPr>
        <w:t>Zhotovitele</w:t>
      </w:r>
      <w:r w:rsidRPr="00F62567">
        <w:rPr>
          <w:rFonts w:ascii="Times New Roman" w:hAnsi="Times New Roman" w:cs="Times New Roman"/>
          <w:sz w:val="24"/>
          <w:szCs w:val="24"/>
        </w:rPr>
        <w:t xml:space="preserve"> o </w:t>
      </w:r>
      <w:r w:rsidR="00E6029E">
        <w:rPr>
          <w:rFonts w:ascii="Times New Roman" w:hAnsi="Times New Roman" w:cs="Times New Roman"/>
          <w:sz w:val="24"/>
          <w:szCs w:val="24"/>
        </w:rPr>
        <w:t>datu</w:t>
      </w:r>
      <w:r w:rsidRPr="00F62567">
        <w:rPr>
          <w:rFonts w:ascii="Times New Roman" w:hAnsi="Times New Roman" w:cs="Times New Roman"/>
          <w:sz w:val="24"/>
          <w:szCs w:val="24"/>
        </w:rPr>
        <w:t xml:space="preserve"> uveřejnění Smlouvy v registru smluv nejpozději do 3 (tří) pracovních dnů ode dne uveřejnění Smlouvy.</w:t>
      </w:r>
      <w:r w:rsidRPr="00F62567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10365" w14:textId="77777777" w:rsidR="002924C8" w:rsidRDefault="002924C8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9C3CE" w14:textId="3E6FDEE9" w:rsidR="00B14DF9" w:rsidRDefault="002474DE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A224C">
        <w:rPr>
          <w:rFonts w:ascii="Times New Roman" w:hAnsi="Times New Roman" w:cs="Times New Roman"/>
          <w:b/>
          <w:sz w:val="24"/>
          <w:szCs w:val="24"/>
        </w:rPr>
        <w:t>I</w:t>
      </w:r>
      <w:r w:rsidR="00091B6E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1AC9AE19" w14:textId="64C75C9F" w:rsidR="00F625B9" w:rsidRPr="00782411" w:rsidRDefault="001E092C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4628BD03" w14:textId="15A0E0C4" w:rsidR="00C375FA" w:rsidRDefault="00C375FA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účinnosti dnem podpisu obou Smluvních stran a účinnosti dnem </w:t>
      </w:r>
      <w:r w:rsidR="002015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veřejnění v registru smluv.</w:t>
      </w:r>
    </w:p>
    <w:p w14:paraId="7D7C9279" w14:textId="0D527496" w:rsidR="00B645F3" w:rsidRDefault="00B645F3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5F3">
        <w:rPr>
          <w:rFonts w:ascii="Times New Roman" w:hAnsi="Times New Roman" w:cs="Times New Roman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14:paraId="23E80451" w14:textId="063E7EAC" w:rsidR="001E092C" w:rsidRPr="00782411" w:rsidRDefault="00B14DF9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="001E092C" w:rsidRPr="00782411">
        <w:rPr>
          <w:rFonts w:ascii="Times New Roman" w:hAnsi="Times New Roman" w:cs="Times New Roman"/>
          <w:sz w:val="24"/>
          <w:szCs w:val="24"/>
        </w:rPr>
        <w:t>.</w:t>
      </w:r>
    </w:p>
    <w:p w14:paraId="16FA644E" w14:textId="77777777" w:rsidR="001E092C" w:rsidRDefault="001E092C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1EE6C5C0" w14:textId="77777777" w:rsidR="00B14DF9" w:rsidRPr="00782411" w:rsidRDefault="00B14DF9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>Smlouva se vyhotovuje ve 4 (čtyřech) stejnopisech, z nichž obě Smluvní strany obdrží po 2 (dvou) stejnopisech.</w:t>
      </w:r>
    </w:p>
    <w:p w14:paraId="163D202F" w14:textId="77777777" w:rsidR="001E092C" w:rsidRDefault="001E092C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Pro vyloučení pochybností Smluvní strany vylučují aplikaci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14:paraId="071BF676" w14:textId="77777777" w:rsidR="002924C8" w:rsidRDefault="002924C8" w:rsidP="002924C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43499" w14:textId="77777777" w:rsidR="002924C8" w:rsidRDefault="002924C8" w:rsidP="002924C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A965" w14:textId="77777777" w:rsidR="002924C8" w:rsidRDefault="002924C8" w:rsidP="002924C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98365" w14:textId="77777777" w:rsidR="002924C8" w:rsidRDefault="002924C8" w:rsidP="002924C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2B5A0" w14:textId="77777777" w:rsidR="002924C8" w:rsidRDefault="002924C8" w:rsidP="002924C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7F62" w14:textId="77777777" w:rsidR="002924C8" w:rsidRPr="002924C8" w:rsidRDefault="002924C8" w:rsidP="002924C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5EDA" w14:textId="77777777" w:rsidR="001E092C" w:rsidRPr="00782411" w:rsidRDefault="001E092C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562B9860" w14:textId="77777777" w:rsidR="001E092C" w:rsidRPr="00782411" w:rsidRDefault="00AA5DD5" w:rsidP="00DF0F89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S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pecifikace </w:t>
      </w:r>
      <w:r w:rsidR="00CA6C62" w:rsidRPr="00782411">
        <w:rPr>
          <w:rFonts w:ascii="Times New Roman" w:hAnsi="Times New Roman" w:cs="Times New Roman"/>
          <w:sz w:val="24"/>
          <w:szCs w:val="24"/>
        </w:rPr>
        <w:t>Díla</w:t>
      </w:r>
    </w:p>
    <w:p w14:paraId="61818A24" w14:textId="77777777" w:rsidR="001E092C" w:rsidRPr="00782411" w:rsidRDefault="001E092C" w:rsidP="00DF0F89">
      <w:pPr>
        <w:pStyle w:val="Odstavecseseznamem"/>
        <w:spacing w:before="120" w:after="24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Příloha č. 2 – </w:t>
      </w:r>
      <w:r w:rsidR="00AA5DD5">
        <w:rPr>
          <w:rFonts w:ascii="Times New Roman" w:hAnsi="Times New Roman" w:cs="Times New Roman"/>
          <w:sz w:val="24"/>
          <w:szCs w:val="24"/>
        </w:rPr>
        <w:t>P</w:t>
      </w:r>
      <w:r w:rsidR="00CA6C62" w:rsidRPr="00782411">
        <w:rPr>
          <w:rFonts w:ascii="Times New Roman" w:hAnsi="Times New Roman" w:cs="Times New Roman"/>
          <w:sz w:val="24"/>
          <w:szCs w:val="24"/>
        </w:rPr>
        <w:t xml:space="preserve">oložkový </w:t>
      </w:r>
      <w:r w:rsidRPr="00782411">
        <w:rPr>
          <w:rFonts w:ascii="Times New Roman" w:hAnsi="Times New Roman" w:cs="Times New Roman"/>
          <w:sz w:val="24"/>
          <w:szCs w:val="24"/>
        </w:rPr>
        <w:t xml:space="preserve">rozpis Ceny </w:t>
      </w:r>
      <w:r w:rsidR="00CA6C62" w:rsidRPr="00782411">
        <w:rPr>
          <w:rFonts w:ascii="Times New Roman" w:hAnsi="Times New Roman" w:cs="Times New Roman"/>
          <w:sz w:val="24"/>
          <w:szCs w:val="24"/>
        </w:rPr>
        <w:t xml:space="preserve">Díla (výkaz výměr)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7"/>
      </w:tblGrid>
      <w:tr w:rsidR="00782411" w:rsidRPr="00782411" w14:paraId="56FA152A" w14:textId="77777777" w:rsidTr="00E8647D">
        <w:tc>
          <w:tcPr>
            <w:tcW w:w="4605" w:type="dxa"/>
          </w:tcPr>
          <w:p w14:paraId="419D7D2A" w14:textId="70369F84" w:rsidR="00782411" w:rsidRPr="00782411" w:rsidRDefault="00782411" w:rsidP="002924C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924C8">
              <w:rPr>
                <w:rFonts w:ascii="Times New Roman" w:hAnsi="Times New Roman" w:cs="Times New Roman"/>
                <w:sz w:val="24"/>
                <w:szCs w:val="24"/>
              </w:rPr>
              <w:t> Karlových Varech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476BF1">
              <w:rPr>
                <w:rFonts w:ascii="Times New Roman" w:hAnsi="Times New Roman" w:cs="Times New Roman"/>
                <w:sz w:val="24"/>
                <w:szCs w:val="24"/>
              </w:rPr>
              <w:t>22.5.2017</w:t>
            </w:r>
            <w:proofErr w:type="gramEnd"/>
          </w:p>
        </w:tc>
        <w:tc>
          <w:tcPr>
            <w:tcW w:w="4605" w:type="dxa"/>
          </w:tcPr>
          <w:p w14:paraId="51D79849" w14:textId="3F9081C7" w:rsidR="00782411" w:rsidRPr="00782411" w:rsidRDefault="00782411" w:rsidP="00476BF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C0E36">
              <w:rPr>
                <w:rFonts w:ascii="Times New Roman" w:hAnsi="Times New Roman" w:cs="Times New Roman"/>
                <w:sz w:val="24"/>
                <w:szCs w:val="24"/>
              </w:rPr>
              <w:t>Otovicích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476B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0E36">
              <w:rPr>
                <w:rFonts w:ascii="Times New Roman" w:hAnsi="Times New Roman" w:cs="Times New Roman"/>
                <w:sz w:val="24"/>
                <w:szCs w:val="24"/>
              </w:rPr>
              <w:t>.5.2017</w:t>
            </w:r>
            <w:proofErr w:type="gramEnd"/>
          </w:p>
        </w:tc>
      </w:tr>
      <w:tr w:rsidR="00782411" w:rsidRPr="00782411" w14:paraId="588DCA4A" w14:textId="77777777" w:rsidTr="00E8647D">
        <w:tc>
          <w:tcPr>
            <w:tcW w:w="4605" w:type="dxa"/>
          </w:tcPr>
          <w:p w14:paraId="530AD4A2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</w:tc>
        <w:tc>
          <w:tcPr>
            <w:tcW w:w="4605" w:type="dxa"/>
          </w:tcPr>
          <w:p w14:paraId="618C25AA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25BCA">
              <w:rPr>
                <w:rFonts w:ascii="Times New Roman" w:hAnsi="Times New Roman" w:cs="Times New Roman"/>
                <w:sz w:val="24"/>
                <w:szCs w:val="24"/>
              </w:rPr>
              <w:t>Zhotovitele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2411" w:rsidRPr="00782411" w14:paraId="034C6A01" w14:textId="77777777" w:rsidTr="00E8647D">
        <w:tc>
          <w:tcPr>
            <w:tcW w:w="4605" w:type="dxa"/>
          </w:tcPr>
          <w:p w14:paraId="3DD355FD" w14:textId="6F96B05C" w:rsidR="00782411" w:rsidRDefault="002924C8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Lukáš Hnízdil</w:t>
            </w:r>
          </w:p>
          <w:p w14:paraId="5296696D" w14:textId="2A17E92D" w:rsidR="002924C8" w:rsidRPr="00782411" w:rsidRDefault="002924C8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ŘSD ČR, Správa Karlovy Vary</w:t>
            </w:r>
          </w:p>
        </w:tc>
        <w:tc>
          <w:tcPr>
            <w:tcW w:w="4605" w:type="dxa"/>
          </w:tcPr>
          <w:p w14:paraId="5EE5D3C3" w14:textId="77777777" w:rsidR="00782411" w:rsidRDefault="001C0E36" w:rsidP="001C0E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sz w:val="24"/>
                <w:szCs w:val="24"/>
              </w:rPr>
              <w:t>Ing. Martin Leichter, MBA</w:t>
            </w:r>
          </w:p>
          <w:p w14:paraId="6F574DB1" w14:textId="6FC0D470" w:rsidR="001C0E36" w:rsidRPr="001C0E36" w:rsidRDefault="001C0E36" w:rsidP="001C0E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předseda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předtavenstva</w:t>
            </w:r>
            <w:proofErr w:type="spellEnd"/>
          </w:p>
        </w:tc>
      </w:tr>
      <w:tr w:rsidR="00782411" w:rsidRPr="00782411" w14:paraId="1B0DADEE" w14:textId="77777777" w:rsidTr="00E8647D">
        <w:tc>
          <w:tcPr>
            <w:tcW w:w="4605" w:type="dxa"/>
          </w:tcPr>
          <w:p w14:paraId="258B4EA7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  <w:tc>
          <w:tcPr>
            <w:tcW w:w="4605" w:type="dxa"/>
          </w:tcPr>
          <w:p w14:paraId="6C552F8A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</w:tr>
      <w:tr w:rsidR="00782411" w:rsidRPr="00782411" w14:paraId="282A0DEA" w14:textId="77777777" w:rsidTr="00E8647D">
        <w:tc>
          <w:tcPr>
            <w:tcW w:w="4605" w:type="dxa"/>
          </w:tcPr>
          <w:p w14:paraId="76D65368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3A2D043" w14:textId="77777777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72AF" w14:textId="77777777" w:rsidR="001C0E36" w:rsidRDefault="001C0E36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5CF8" w14:textId="77777777" w:rsidR="001C0E36" w:rsidRDefault="001C0E36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 Lichtneger</w:t>
            </w:r>
          </w:p>
          <w:p w14:paraId="322A4AA1" w14:textId="77777777" w:rsidR="001C0E36" w:rsidRDefault="001C0E36" w:rsidP="001C0E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místopředseda představenstva</w:t>
            </w:r>
          </w:p>
          <w:p w14:paraId="174AB5B8" w14:textId="1B7DCE18" w:rsidR="001C0E36" w:rsidRPr="00782411" w:rsidRDefault="001C0E36" w:rsidP="001C0E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</w:tr>
    </w:tbl>
    <w:p w14:paraId="70649B14" w14:textId="4CC3752D" w:rsidR="005B109A" w:rsidRDefault="005B109A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5FFC741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08C04C4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69FD2A8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C614FD1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C400E7F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078E480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8E2A51E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9E54697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BD1FA3B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1796812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99A750D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5892687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997C25C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E0841E6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DD505C6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04B4203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2305910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3D58AD6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23C0D48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4D65F52" w14:textId="77777777" w:rsidR="00D92566" w:rsidRDefault="00D92566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CCF6B2E" w14:textId="77777777" w:rsidR="00D92566" w:rsidRDefault="00D92566" w:rsidP="00D92566">
      <w:pPr>
        <w:pStyle w:val="Odstavecseseznamem"/>
        <w:spacing w:before="120" w:after="12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66">
        <w:rPr>
          <w:rFonts w:ascii="Times New Roman" w:hAnsi="Times New Roman" w:cs="Times New Roman"/>
          <w:b/>
          <w:sz w:val="24"/>
          <w:szCs w:val="24"/>
        </w:rPr>
        <w:t xml:space="preserve">Příloha č. 1 </w:t>
      </w:r>
    </w:p>
    <w:p w14:paraId="2C93A6B3" w14:textId="4C4F91F0" w:rsidR="00D92566" w:rsidRDefault="00D92566" w:rsidP="00D92566">
      <w:pPr>
        <w:pStyle w:val="Odstavecseseznamem"/>
        <w:spacing w:before="120" w:after="12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66">
        <w:rPr>
          <w:rFonts w:ascii="Times New Roman" w:hAnsi="Times New Roman" w:cs="Times New Roman"/>
          <w:b/>
          <w:sz w:val="24"/>
          <w:szCs w:val="24"/>
        </w:rPr>
        <w:t>Specifikace Díla</w:t>
      </w:r>
    </w:p>
    <w:p w14:paraId="263EED98" w14:textId="77777777" w:rsidR="00D92566" w:rsidRPr="00D92566" w:rsidRDefault="00D92566" w:rsidP="00D92566">
      <w:pPr>
        <w:pStyle w:val="Odstavecseseznamem"/>
        <w:spacing w:before="120" w:after="12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F65A3" w14:textId="51753DB6" w:rsid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92566">
        <w:rPr>
          <w:rFonts w:ascii="Times New Roman" w:hAnsi="Times New Roman" w:cs="Times New Roman"/>
          <w:sz w:val="24"/>
          <w:szCs w:val="24"/>
        </w:rPr>
        <w:t>ajišťování přechodné opravy provozu na dálnici II. třídy D6 a silnicích I. třídy v Karlovarském kraji dle potřeby objednatele</w:t>
      </w:r>
    </w:p>
    <w:p w14:paraId="732F1B7F" w14:textId="77777777" w:rsid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105A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66">
        <w:rPr>
          <w:rFonts w:ascii="Times New Roman" w:hAnsi="Times New Roman" w:cs="Times New Roman"/>
          <w:b/>
          <w:sz w:val="24"/>
          <w:szCs w:val="24"/>
          <w:u w:val="single"/>
        </w:rPr>
        <w:t xml:space="preserve">Staničení: </w:t>
      </w:r>
    </w:p>
    <w:p w14:paraId="41030BDC" w14:textId="19CD553F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I/6 (okres KV)</w:t>
      </w:r>
      <w:r w:rsidRPr="00D92566">
        <w:rPr>
          <w:rFonts w:ascii="Times New Roman" w:hAnsi="Times New Roman" w:cs="Times New Roman"/>
          <w:sz w:val="24"/>
          <w:szCs w:val="24"/>
        </w:rPr>
        <w:tab/>
        <w:t>82,136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120,222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  <w:t>38,086</w:t>
      </w:r>
    </w:p>
    <w:p w14:paraId="2CEAD57C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I/6 (okres Cheb)</w:t>
      </w:r>
      <w:r w:rsidRPr="00D92566">
        <w:rPr>
          <w:rFonts w:ascii="Times New Roman" w:hAnsi="Times New Roman" w:cs="Times New Roman"/>
          <w:sz w:val="24"/>
          <w:szCs w:val="24"/>
        </w:rPr>
        <w:tab/>
        <w:t>157,445</w:t>
      </w:r>
      <w:r w:rsidRPr="00D92566">
        <w:rPr>
          <w:rFonts w:ascii="Times New Roman" w:hAnsi="Times New Roman" w:cs="Times New Roman"/>
          <w:sz w:val="24"/>
          <w:szCs w:val="24"/>
        </w:rPr>
        <w:tab/>
        <w:t>166,628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  <w:t>9,183</w:t>
      </w:r>
    </w:p>
    <w:p w14:paraId="480CB25D" w14:textId="03C68C4F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Dálnice D6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120,222</w:t>
      </w:r>
      <w:r w:rsidRPr="00D92566">
        <w:rPr>
          <w:rFonts w:ascii="Times New Roman" w:hAnsi="Times New Roman" w:cs="Times New Roman"/>
          <w:sz w:val="24"/>
          <w:szCs w:val="24"/>
        </w:rPr>
        <w:tab/>
        <w:t>157,445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  <w:t>37,223</w:t>
      </w:r>
    </w:p>
    <w:p w14:paraId="2A237C18" w14:textId="7C06A1B4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I/13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0,000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27,069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27,069</w:t>
      </w:r>
    </w:p>
    <w:p w14:paraId="2E5C642F" w14:textId="18C9E226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I/20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0,000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39,586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39,586</w:t>
      </w:r>
    </w:p>
    <w:p w14:paraId="297C3325" w14:textId="748949DE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I/21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21,227</w:t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  <w:t>61,183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39,956</w:t>
      </w:r>
    </w:p>
    <w:p w14:paraId="1CC2E4A4" w14:textId="3F217841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I/25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0,000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13,669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13,669</w:t>
      </w:r>
    </w:p>
    <w:p w14:paraId="7BCA2504" w14:textId="7D37740D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Silnice I/64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0,000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16,384</w:t>
      </w:r>
      <w:r w:rsidRPr="00D92566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16,384</w:t>
      </w:r>
    </w:p>
    <w:p w14:paraId="14FB088F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B047D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82D5E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66">
        <w:rPr>
          <w:rFonts w:ascii="Times New Roman" w:hAnsi="Times New Roman" w:cs="Times New Roman"/>
          <w:b/>
          <w:sz w:val="24"/>
          <w:szCs w:val="24"/>
          <w:u w:val="single"/>
        </w:rPr>
        <w:t>Požadavky:</w:t>
      </w:r>
    </w:p>
    <w:p w14:paraId="6D312FA9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 xml:space="preserve">Přechodná úprava provozu bude v souladu se  stanovením přechodné úpravy provozu vydané MD Praha </w:t>
      </w:r>
      <w:proofErr w:type="gramStart"/>
      <w:r w:rsidRPr="00D92566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92566">
        <w:rPr>
          <w:rFonts w:ascii="Times New Roman" w:hAnsi="Times New Roman" w:cs="Times New Roman"/>
          <w:sz w:val="24"/>
          <w:szCs w:val="24"/>
        </w:rPr>
        <w:t xml:space="preserve"> 570/2016-120-SSU/2,  s Technologickým postupem pro provádění přechodného dopravního značení na dálnicích a rychlostních   silnicích ve správě ŘSD ČR, Technologickým  postupem pro  letní údržbu    dálnic a   rychlostních silnic ve správě ŘSD ČR a příkazem GŘ ŘSD –  Označování pracovních  míst na dálnicích, rychlostních silnicích a ostatních  směrově rozdělených silnicích I.   třídy, včetně dodatků (technolog. postupy   viz internet. stránky www.rsd.cz sekce Technické předpisy, kapitola PPK - veškeré práce musí být realizovány v souladu se standardy ŘSD ČR  „Bezpečnost prací“: http://www.rsd.cz\Technicke-predpisy\Bezpecnost-praci-za-provozu.</w:t>
      </w:r>
    </w:p>
    <w:p w14:paraId="12FE4F4C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 xml:space="preserve">Na silnicích I. třídy bude přechodná úprava provozu v souladu se stanovením vydaném Krajským úřadem </w:t>
      </w:r>
      <w:proofErr w:type="spellStart"/>
      <w:r w:rsidRPr="00D92566">
        <w:rPr>
          <w:rFonts w:ascii="Times New Roman" w:hAnsi="Times New Roman" w:cs="Times New Roman"/>
          <w:sz w:val="24"/>
          <w:szCs w:val="24"/>
        </w:rPr>
        <w:t>Karlovar</w:t>
      </w:r>
      <w:proofErr w:type="spellEnd"/>
      <w:r w:rsidRPr="00D92566">
        <w:rPr>
          <w:rFonts w:ascii="Times New Roman" w:hAnsi="Times New Roman" w:cs="Times New Roman"/>
          <w:sz w:val="24"/>
          <w:szCs w:val="24"/>
        </w:rPr>
        <w:t xml:space="preserve">. kraje – odborem dopravy a SH pod </w:t>
      </w:r>
      <w:proofErr w:type="gramStart"/>
      <w:r w:rsidRPr="00D92566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92566">
        <w:rPr>
          <w:rFonts w:ascii="Times New Roman" w:hAnsi="Times New Roman" w:cs="Times New Roman"/>
          <w:sz w:val="24"/>
          <w:szCs w:val="24"/>
        </w:rPr>
        <w:t xml:space="preserve">  3225/DS/16</w:t>
      </w:r>
    </w:p>
    <w:p w14:paraId="4134D579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Práce budou provedeny v souladu s platnými předpisy, ČSN, TKP, SPK a TP, zvláště pak TP 66.</w:t>
      </w:r>
    </w:p>
    <w:p w14:paraId="22EE6C02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 xml:space="preserve">Budou dodrženy veškeré platné technické, právní a hygienické předpisy, týkající se zajištění bezpečnosti a ochrany zdraví při práci. Dále budou dodržovány platné bezpečnostní, hygienické, protipožární a jiné obecně závazné předpisy a rozhodnutí orgánů veřejné správy, zejména pak zákon č.13/1997 </w:t>
      </w:r>
      <w:proofErr w:type="spellStart"/>
      <w:r w:rsidRPr="00D92566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D92566">
        <w:rPr>
          <w:rFonts w:ascii="Times New Roman" w:hAnsi="Times New Roman" w:cs="Times New Roman"/>
          <w:sz w:val="24"/>
          <w:szCs w:val="24"/>
        </w:rPr>
        <w:t>, zákon č. 166/1999Sb o veterinární péči a směrnice GŘ ŘSD ČR č.4/2007 Pravidla bezpečnosti práce na dálnicích a silnicích.</w:t>
      </w:r>
    </w:p>
    <w:p w14:paraId="2FB25588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CBBE0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6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 plnění:  </w:t>
      </w:r>
    </w:p>
    <w:p w14:paraId="37F638FF" w14:textId="4CAEF933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 xml:space="preserve">zahájení plnění: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po podpisu a registraci smlouvy</w:t>
      </w:r>
    </w:p>
    <w:p w14:paraId="7BF56A1F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51F26" w14:textId="1D19A8B4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 xml:space="preserve">ukončení plnění: </w:t>
      </w:r>
      <w:r w:rsidR="001A4BF7">
        <w:rPr>
          <w:rFonts w:ascii="Times New Roman" w:hAnsi="Times New Roman" w:cs="Times New Roman"/>
          <w:sz w:val="24"/>
          <w:szCs w:val="24"/>
        </w:rPr>
        <w:tab/>
      </w:r>
      <w:r w:rsidRPr="00D92566">
        <w:rPr>
          <w:rFonts w:ascii="Times New Roman" w:hAnsi="Times New Roman" w:cs="Times New Roman"/>
          <w:sz w:val="24"/>
          <w:szCs w:val="24"/>
        </w:rPr>
        <w:t>31.</w:t>
      </w:r>
      <w:r w:rsidR="001A4BF7">
        <w:rPr>
          <w:rFonts w:ascii="Times New Roman" w:hAnsi="Times New Roman" w:cs="Times New Roman"/>
          <w:sz w:val="24"/>
          <w:szCs w:val="24"/>
        </w:rPr>
        <w:t xml:space="preserve"> </w:t>
      </w:r>
      <w:r w:rsidRPr="00D92566">
        <w:rPr>
          <w:rFonts w:ascii="Times New Roman" w:hAnsi="Times New Roman" w:cs="Times New Roman"/>
          <w:sz w:val="24"/>
          <w:szCs w:val="24"/>
        </w:rPr>
        <w:t>12.</w:t>
      </w:r>
      <w:r w:rsidR="001A4BF7">
        <w:rPr>
          <w:rFonts w:ascii="Times New Roman" w:hAnsi="Times New Roman" w:cs="Times New Roman"/>
          <w:sz w:val="24"/>
          <w:szCs w:val="24"/>
        </w:rPr>
        <w:t xml:space="preserve"> </w:t>
      </w:r>
      <w:r w:rsidRPr="00D92566">
        <w:rPr>
          <w:rFonts w:ascii="Times New Roman" w:hAnsi="Times New Roman" w:cs="Times New Roman"/>
          <w:sz w:val="24"/>
          <w:szCs w:val="24"/>
        </w:rPr>
        <w:t>2017 nebo do vyčerpání finančních prostředků</w:t>
      </w:r>
    </w:p>
    <w:p w14:paraId="26B8C042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A326A" w14:textId="77777777" w:rsidR="00D92566" w:rsidRP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841B8" w14:textId="77777777" w:rsidR="00D92566" w:rsidRPr="001A4BF7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BF7">
        <w:rPr>
          <w:rFonts w:ascii="Times New Roman" w:hAnsi="Times New Roman" w:cs="Times New Roman"/>
          <w:b/>
          <w:sz w:val="24"/>
          <w:szCs w:val="24"/>
          <w:u w:val="single"/>
        </w:rPr>
        <w:t>Platební podmínky:</w:t>
      </w:r>
    </w:p>
    <w:p w14:paraId="7F13904C" w14:textId="23EE28B5" w:rsidR="00D92566" w:rsidRDefault="00D92566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66">
        <w:rPr>
          <w:rFonts w:ascii="Times New Roman" w:hAnsi="Times New Roman" w:cs="Times New Roman"/>
          <w:sz w:val="24"/>
          <w:szCs w:val="24"/>
        </w:rPr>
        <w:t>na základě dílčích faktur vystavených po řádném poskytnutí a předání dílčích služeb s dobou splatnosti 30 dní.</w:t>
      </w:r>
    </w:p>
    <w:p w14:paraId="07350577" w14:textId="77777777" w:rsidR="001B66C9" w:rsidRDefault="001B66C9" w:rsidP="001B66C9">
      <w:pPr>
        <w:pStyle w:val="Odstavecseseznamem"/>
        <w:spacing w:before="120" w:after="24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6C9">
        <w:rPr>
          <w:rFonts w:ascii="Times New Roman" w:hAnsi="Times New Roman" w:cs="Times New Roman"/>
          <w:b/>
          <w:sz w:val="24"/>
          <w:szCs w:val="24"/>
        </w:rPr>
        <w:t xml:space="preserve">Příloha č. 2 </w:t>
      </w:r>
    </w:p>
    <w:p w14:paraId="5391564F" w14:textId="181F598F" w:rsidR="001B66C9" w:rsidRPr="001B66C9" w:rsidRDefault="001B66C9" w:rsidP="001B66C9">
      <w:pPr>
        <w:pStyle w:val="Odstavecseseznamem"/>
        <w:spacing w:before="120" w:after="24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6C9">
        <w:rPr>
          <w:rFonts w:ascii="Times New Roman" w:hAnsi="Times New Roman" w:cs="Times New Roman"/>
          <w:b/>
          <w:sz w:val="24"/>
          <w:szCs w:val="24"/>
        </w:rPr>
        <w:t>Položkový rozpis Ceny Díla (výkaz výměr)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"/>
        <w:gridCol w:w="4585"/>
        <w:gridCol w:w="1272"/>
        <w:gridCol w:w="651"/>
        <w:gridCol w:w="675"/>
        <w:gridCol w:w="1225"/>
      </w:tblGrid>
      <w:tr w:rsidR="00D37AB3" w:rsidRPr="00D37AB3" w14:paraId="76E2DE32" w14:textId="77777777" w:rsidTr="00D37AB3">
        <w:trPr>
          <w:trHeight w:val="270"/>
        </w:trPr>
        <w:tc>
          <w:tcPr>
            <w:tcW w:w="960" w:type="dxa"/>
            <w:noWrap/>
            <w:hideMark/>
          </w:tcPr>
          <w:p w14:paraId="182FADF8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noWrap/>
            <w:hideMark/>
          </w:tcPr>
          <w:p w14:paraId="7831B6DE" w14:textId="077338B9" w:rsidR="00D37AB3" w:rsidRPr="00D37AB3" w:rsidRDefault="00D37AB3" w:rsidP="007E4D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Zajištění dopravního opatření na silnicích I. </w:t>
            </w:r>
            <w:r w:rsidR="007E4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3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řídy a D6 v </w:t>
            </w:r>
            <w:proofErr w:type="spellStart"/>
            <w:r w:rsidRPr="00D3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Karlovar</w:t>
            </w:r>
            <w:proofErr w:type="spellEnd"/>
            <w:r w:rsidRPr="00D3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kraji</w:t>
            </w:r>
          </w:p>
        </w:tc>
        <w:tc>
          <w:tcPr>
            <w:tcW w:w="2020" w:type="dxa"/>
            <w:noWrap/>
            <w:hideMark/>
          </w:tcPr>
          <w:p w14:paraId="26415032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AE5738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noWrap/>
            <w:hideMark/>
          </w:tcPr>
          <w:p w14:paraId="6554DD01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14:paraId="03AF4B28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1E28D93E" w14:textId="77777777" w:rsidTr="00D37AB3">
        <w:trPr>
          <w:trHeight w:val="405"/>
        </w:trPr>
        <w:tc>
          <w:tcPr>
            <w:tcW w:w="960" w:type="dxa"/>
            <w:noWrap/>
            <w:hideMark/>
          </w:tcPr>
          <w:p w14:paraId="78732BDB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75666EF6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Technologie</w:t>
            </w:r>
          </w:p>
        </w:tc>
        <w:tc>
          <w:tcPr>
            <w:tcW w:w="2020" w:type="dxa"/>
            <w:noWrap/>
            <w:hideMark/>
          </w:tcPr>
          <w:p w14:paraId="75BBBDB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výměra</w:t>
            </w:r>
          </w:p>
        </w:tc>
        <w:tc>
          <w:tcPr>
            <w:tcW w:w="960" w:type="dxa"/>
            <w:noWrap/>
            <w:hideMark/>
          </w:tcPr>
          <w:p w14:paraId="3E68FF8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m.j</w:t>
            </w:r>
            <w:proofErr w:type="spellEnd"/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00" w:type="dxa"/>
            <w:noWrap/>
            <w:hideMark/>
          </w:tcPr>
          <w:p w14:paraId="5D208C61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cena </w:t>
            </w:r>
            <w:proofErr w:type="spellStart"/>
            <w:proofErr w:type="gramStart"/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m.j</w:t>
            </w:r>
            <w:proofErr w:type="spellEnd"/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40" w:type="dxa"/>
            <w:noWrap/>
            <w:hideMark/>
          </w:tcPr>
          <w:p w14:paraId="44B63C01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celkem</w:t>
            </w:r>
          </w:p>
        </w:tc>
      </w:tr>
      <w:tr w:rsidR="00D37AB3" w:rsidRPr="00D37AB3" w14:paraId="638D22C5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2022E21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0" w:type="dxa"/>
            <w:noWrap/>
            <w:hideMark/>
          </w:tcPr>
          <w:p w14:paraId="75473EA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Světelná šipka (velká ) - vč. obsluhy</w:t>
            </w:r>
          </w:p>
        </w:tc>
        <w:tc>
          <w:tcPr>
            <w:tcW w:w="2020" w:type="dxa"/>
            <w:noWrap/>
            <w:hideMark/>
          </w:tcPr>
          <w:p w14:paraId="493C5BE6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B9E5382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73F66A9B" w14:textId="213C68BB" w:rsidR="00D37AB3" w:rsidRPr="00D37AB3" w:rsidRDefault="00D37AB3" w:rsidP="0047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4F64A7FB" w14:textId="7CB45E9B" w:rsidR="00D37AB3" w:rsidRPr="00D37AB3" w:rsidRDefault="00D37AB3" w:rsidP="001C0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3E42B02F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387BD08F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0" w:type="dxa"/>
            <w:noWrap/>
            <w:hideMark/>
          </w:tcPr>
          <w:p w14:paraId="00FCD47F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Světelná šipka (malá) - vč. obsluhy</w:t>
            </w:r>
          </w:p>
        </w:tc>
        <w:tc>
          <w:tcPr>
            <w:tcW w:w="2020" w:type="dxa"/>
            <w:noWrap/>
            <w:hideMark/>
          </w:tcPr>
          <w:p w14:paraId="7E70B7BE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545E94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2613853D" w14:textId="258A974A" w:rsidR="00D37AB3" w:rsidRPr="00D37AB3" w:rsidRDefault="00D37AB3" w:rsidP="0047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55EB4854" w14:textId="2E9E5486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00638F6C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1F6DC39B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0" w:type="dxa"/>
            <w:noWrap/>
            <w:hideMark/>
          </w:tcPr>
          <w:p w14:paraId="50F5E48E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Pracovník - montáž, demontáž</w:t>
            </w:r>
          </w:p>
        </w:tc>
        <w:tc>
          <w:tcPr>
            <w:tcW w:w="2020" w:type="dxa"/>
            <w:noWrap/>
            <w:hideMark/>
          </w:tcPr>
          <w:p w14:paraId="044DEDDC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3CAAD555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00C6F181" w14:textId="50DAC50D" w:rsidR="00D37AB3" w:rsidRPr="00D37AB3" w:rsidRDefault="00D37AB3" w:rsidP="0047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6B2B8A3F" w14:textId="0B1D6808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444F977A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0681DCE8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0" w:type="dxa"/>
            <w:noWrap/>
            <w:hideMark/>
          </w:tcPr>
          <w:p w14:paraId="3F046C6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Osazení 1 ks DZ - 1 sloupek</w:t>
            </w:r>
          </w:p>
        </w:tc>
        <w:tc>
          <w:tcPr>
            <w:tcW w:w="2020" w:type="dxa"/>
            <w:noWrap/>
            <w:hideMark/>
          </w:tcPr>
          <w:p w14:paraId="27BE7AA6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517408D9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6B843ECD" w14:textId="73C67563" w:rsidR="00D37AB3" w:rsidRPr="00D37AB3" w:rsidRDefault="00D37AB3" w:rsidP="0047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4B6A33BC" w14:textId="022CBC19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23F7C5AB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3C72F78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0" w:type="dxa"/>
            <w:noWrap/>
            <w:hideMark/>
          </w:tcPr>
          <w:p w14:paraId="218F4945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Osazení 2 ks DZ - 1 sloupek</w:t>
            </w:r>
          </w:p>
        </w:tc>
        <w:tc>
          <w:tcPr>
            <w:tcW w:w="2020" w:type="dxa"/>
            <w:noWrap/>
            <w:hideMark/>
          </w:tcPr>
          <w:p w14:paraId="10FA9145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77A3B631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5E91637F" w14:textId="1F9245DC" w:rsidR="00D37AB3" w:rsidRPr="00D37AB3" w:rsidRDefault="00D37AB3" w:rsidP="0086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0AA2D5FB" w14:textId="0938BF9C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6BF1219B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7366EF89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0" w:type="dxa"/>
            <w:noWrap/>
            <w:hideMark/>
          </w:tcPr>
          <w:p w14:paraId="4F00405F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 xml:space="preserve">Dopravní značení velké 1 ks DZ - osazení - 2 sloupky </w:t>
            </w:r>
          </w:p>
        </w:tc>
        <w:tc>
          <w:tcPr>
            <w:tcW w:w="2020" w:type="dxa"/>
            <w:noWrap/>
            <w:hideMark/>
          </w:tcPr>
          <w:p w14:paraId="57B2620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7167F831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3CA9527B" w14:textId="498EDC2B" w:rsidR="00D37AB3" w:rsidRPr="00D37AB3" w:rsidRDefault="00D37AB3" w:rsidP="0086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46CE1B10" w14:textId="611B83D0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0FE67C73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1CA32D9F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0" w:type="dxa"/>
            <w:noWrap/>
            <w:hideMark/>
          </w:tcPr>
          <w:p w14:paraId="3B19FF69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Dopravní značení - kužel</w:t>
            </w:r>
          </w:p>
        </w:tc>
        <w:tc>
          <w:tcPr>
            <w:tcW w:w="2020" w:type="dxa"/>
            <w:noWrap/>
            <w:hideMark/>
          </w:tcPr>
          <w:p w14:paraId="6F682008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08A1B84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3F279938" w14:textId="08A12FE5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6D2DC4DE" w14:textId="779C9F9C" w:rsidR="00D37AB3" w:rsidRPr="00D37AB3" w:rsidRDefault="00D37AB3" w:rsidP="0086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2C2889E7" w14:textId="77777777" w:rsidTr="006A7915">
        <w:trPr>
          <w:trHeight w:val="435"/>
        </w:trPr>
        <w:tc>
          <w:tcPr>
            <w:tcW w:w="960" w:type="dxa"/>
            <w:noWrap/>
            <w:hideMark/>
          </w:tcPr>
          <w:p w14:paraId="18410EB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80" w:type="dxa"/>
            <w:noWrap/>
            <w:hideMark/>
          </w:tcPr>
          <w:p w14:paraId="12DF1CA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Doprava materiálu na místo instalace (dopravní značení)</w:t>
            </w:r>
          </w:p>
        </w:tc>
        <w:tc>
          <w:tcPr>
            <w:tcW w:w="2020" w:type="dxa"/>
            <w:noWrap/>
            <w:hideMark/>
          </w:tcPr>
          <w:p w14:paraId="145B5B7C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60" w:type="dxa"/>
            <w:noWrap/>
            <w:hideMark/>
          </w:tcPr>
          <w:p w14:paraId="0FD16098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000" w:type="dxa"/>
            <w:shd w:val="clear" w:color="auto" w:fill="000000" w:themeFill="text1"/>
            <w:noWrap/>
          </w:tcPr>
          <w:p w14:paraId="6E7351B3" w14:textId="2AB7289A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000000" w:themeFill="text1"/>
            <w:noWrap/>
          </w:tcPr>
          <w:p w14:paraId="59123FDB" w14:textId="4EA42B84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B3" w:rsidRPr="00D37AB3" w14:paraId="6E88D9D9" w14:textId="77777777" w:rsidTr="00476BF1">
        <w:trPr>
          <w:trHeight w:val="435"/>
        </w:trPr>
        <w:tc>
          <w:tcPr>
            <w:tcW w:w="960" w:type="dxa"/>
            <w:noWrap/>
            <w:hideMark/>
          </w:tcPr>
          <w:p w14:paraId="2A3F387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5666D785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4266E76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C91FD6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</w:tcPr>
          <w:p w14:paraId="3ED7030C" w14:textId="4F9D6F91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14:paraId="599CC6F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AB3" w:rsidRPr="00D37AB3" w14:paraId="3F1F74EF" w14:textId="77777777" w:rsidTr="00476BF1">
        <w:trPr>
          <w:trHeight w:val="435"/>
        </w:trPr>
        <w:tc>
          <w:tcPr>
            <w:tcW w:w="960" w:type="dxa"/>
            <w:noWrap/>
            <w:hideMark/>
          </w:tcPr>
          <w:p w14:paraId="131A52EB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73EBC939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37939754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2142A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</w:tcPr>
          <w:p w14:paraId="7B0742BB" w14:textId="65CDDC6C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14:paraId="6097EB01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AB3" w:rsidRPr="00D37AB3" w14:paraId="2BA5EC5F" w14:textId="77777777" w:rsidTr="00476BF1">
        <w:trPr>
          <w:trHeight w:val="435"/>
        </w:trPr>
        <w:tc>
          <w:tcPr>
            <w:tcW w:w="960" w:type="dxa"/>
            <w:noWrap/>
            <w:hideMark/>
          </w:tcPr>
          <w:p w14:paraId="34D5BA0F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064FA50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3879926B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F2ED29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</w:tcPr>
          <w:p w14:paraId="44811303" w14:textId="258E17C4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14:paraId="26C3411E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AB3" w:rsidRPr="00D37AB3" w14:paraId="223B3986" w14:textId="77777777" w:rsidTr="00476BF1">
        <w:trPr>
          <w:trHeight w:val="435"/>
        </w:trPr>
        <w:tc>
          <w:tcPr>
            <w:tcW w:w="960" w:type="dxa"/>
            <w:noWrap/>
            <w:hideMark/>
          </w:tcPr>
          <w:p w14:paraId="1769D58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523052EF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22EA86F3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47CFE0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</w:tcPr>
          <w:p w14:paraId="4FFE95AC" w14:textId="57328FB2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14:paraId="74C0C464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AB3" w:rsidRPr="00D37AB3" w14:paraId="267F3FB2" w14:textId="77777777" w:rsidTr="00476BF1">
        <w:trPr>
          <w:trHeight w:val="435"/>
        </w:trPr>
        <w:tc>
          <w:tcPr>
            <w:tcW w:w="960" w:type="dxa"/>
            <w:noWrap/>
            <w:hideMark/>
          </w:tcPr>
          <w:p w14:paraId="551A93A2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779E9267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1963707B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DEEA4A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</w:tcPr>
          <w:p w14:paraId="00CED6ED" w14:textId="49BF832B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14:paraId="1A1804D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AB3" w:rsidRPr="00D37AB3" w14:paraId="79005039" w14:textId="77777777" w:rsidTr="00D37AB3">
        <w:trPr>
          <w:trHeight w:val="435"/>
        </w:trPr>
        <w:tc>
          <w:tcPr>
            <w:tcW w:w="960" w:type="dxa"/>
            <w:noWrap/>
            <w:hideMark/>
          </w:tcPr>
          <w:p w14:paraId="7ABB517C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noWrap/>
            <w:hideMark/>
          </w:tcPr>
          <w:p w14:paraId="7F3204FB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celkem s DPH </w:t>
            </w:r>
          </w:p>
        </w:tc>
        <w:tc>
          <w:tcPr>
            <w:tcW w:w="2020" w:type="dxa"/>
            <w:noWrap/>
            <w:hideMark/>
          </w:tcPr>
          <w:p w14:paraId="3CF60E3D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8D1A25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E30CB12" w14:textId="77777777" w:rsidR="00D37AB3" w:rsidRPr="00D37AB3" w:rsidRDefault="00D37AB3" w:rsidP="00D3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20EB2BE9" w14:textId="62850B57" w:rsidR="00D37AB3" w:rsidRPr="00866B37" w:rsidRDefault="00866B37" w:rsidP="00866B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119 367</w:t>
            </w:r>
            <w:r w:rsidR="00D37AB3" w:rsidRPr="0086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0CC097EF" w14:textId="77777777" w:rsidR="001B66C9" w:rsidRPr="00782411" w:rsidRDefault="001B66C9" w:rsidP="00D9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6C9" w:rsidRPr="00782411" w:rsidSect="006F7F2B">
      <w:footerReference w:type="default" r:id="rId8"/>
      <w:headerReference w:type="first" r:id="rId9"/>
      <w:footerReference w:type="first" r:id="rId10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4BD18" w14:textId="77777777" w:rsidR="00F01368" w:rsidRDefault="00F01368" w:rsidP="00BF214B">
      <w:pPr>
        <w:spacing w:after="0" w:line="240" w:lineRule="auto"/>
      </w:pPr>
      <w:r>
        <w:separator/>
      </w:r>
    </w:p>
  </w:endnote>
  <w:endnote w:type="continuationSeparator" w:id="0">
    <w:p w14:paraId="320845A0" w14:textId="77777777" w:rsidR="00F01368" w:rsidRDefault="00F01368" w:rsidP="00BF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76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47D2F4" w14:textId="64F6729F" w:rsidR="002474DE" w:rsidRDefault="002474DE">
            <w:pPr>
              <w:pStyle w:val="Zpat"/>
              <w:jc w:val="center"/>
            </w:pPr>
            <w:r w:rsidRPr="00F6256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646D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F6256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646D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74A56A" w14:textId="77777777" w:rsidR="00D9271C" w:rsidRDefault="00D927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0796"/>
      <w:docPartObj>
        <w:docPartGallery w:val="Page Numbers (Bottom of Page)"/>
        <w:docPartUnique/>
      </w:docPartObj>
    </w:sdtPr>
    <w:sdtEndPr/>
    <w:sdtContent>
      <w:p w14:paraId="358D26E3" w14:textId="415C93EE" w:rsidR="00767275" w:rsidRDefault="00AB5C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199096" w14:textId="77777777" w:rsidR="00767275" w:rsidRDefault="00767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056F0" w14:textId="77777777" w:rsidR="00F01368" w:rsidRDefault="00F01368" w:rsidP="00BF214B">
      <w:pPr>
        <w:spacing w:after="0" w:line="240" w:lineRule="auto"/>
      </w:pPr>
      <w:r>
        <w:separator/>
      </w:r>
    </w:p>
  </w:footnote>
  <w:footnote w:type="continuationSeparator" w:id="0">
    <w:p w14:paraId="12A73C78" w14:textId="77777777" w:rsidR="00F01368" w:rsidRDefault="00F01368" w:rsidP="00BF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EC80" w14:textId="0B4FEFD1" w:rsidR="00064056" w:rsidRDefault="00064056">
    <w:pPr>
      <w:pStyle w:val="Zhlav"/>
    </w:pPr>
    <w:r w:rsidRPr="00064056">
      <w:rPr>
        <w:noProof/>
        <w:lang w:eastAsia="cs-CZ"/>
      </w:rPr>
      <w:drawing>
        <wp:inline distT="0" distB="0" distL="0" distR="0" wp14:anchorId="5C48B518" wp14:editId="6C583235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46D5">
      <w:t xml:space="preserve">                      </w:t>
    </w:r>
    <w:proofErr w:type="spellStart"/>
    <w:r w:rsidR="000646D5">
      <w:t>č.sml</w:t>
    </w:r>
    <w:proofErr w:type="spellEnd"/>
    <w:r w:rsidR="000646D5">
      <w:t>. zhotovitele: 2/01/012/17</w:t>
    </w:r>
  </w:p>
  <w:p w14:paraId="175DEF52" w14:textId="14AFEBE3" w:rsidR="000646D5" w:rsidRDefault="000646D5">
    <w:pPr>
      <w:pStyle w:val="Zhlav"/>
    </w:pPr>
    <w:r>
      <w:t xml:space="preserve">                                                                                                                                   </w:t>
    </w:r>
  </w:p>
  <w:p w14:paraId="69EDC11D" w14:textId="77777777" w:rsidR="00064056" w:rsidRDefault="000640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84F49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8783D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F56B5"/>
    <w:multiLevelType w:val="hybridMultilevel"/>
    <w:tmpl w:val="B6F087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45CB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5235B2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511C4"/>
    <w:multiLevelType w:val="hybridMultilevel"/>
    <w:tmpl w:val="8F228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9" w15:restartNumberingAfterBreak="0">
    <w:nsid w:val="793F3308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6"/>
  </w:num>
  <w:num w:numId="8">
    <w:abstractNumId w:val="1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5"/>
  </w:num>
  <w:num w:numId="15">
    <w:abstractNumId w:val="13"/>
  </w:num>
  <w:num w:numId="16">
    <w:abstractNumId w:val="19"/>
  </w:num>
  <w:num w:numId="17">
    <w:abstractNumId w:val="18"/>
  </w:num>
  <w:num w:numId="18">
    <w:abstractNumId w:val="0"/>
  </w:num>
  <w:num w:numId="19">
    <w:abstractNumId w:val="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3F4D"/>
    <w:rsid w:val="00006759"/>
    <w:rsid w:val="00011CC8"/>
    <w:rsid w:val="000160BD"/>
    <w:rsid w:val="00035FA1"/>
    <w:rsid w:val="00052184"/>
    <w:rsid w:val="00064056"/>
    <w:rsid w:val="000646D5"/>
    <w:rsid w:val="0006758F"/>
    <w:rsid w:val="0008479B"/>
    <w:rsid w:val="00091B6E"/>
    <w:rsid w:val="000C1023"/>
    <w:rsid w:val="000C173C"/>
    <w:rsid w:val="000E4549"/>
    <w:rsid w:val="000F2951"/>
    <w:rsid w:val="00100DE9"/>
    <w:rsid w:val="001069E3"/>
    <w:rsid w:val="00125863"/>
    <w:rsid w:val="00143BEE"/>
    <w:rsid w:val="00147BE0"/>
    <w:rsid w:val="00153B14"/>
    <w:rsid w:val="00155271"/>
    <w:rsid w:val="00171218"/>
    <w:rsid w:val="00196DFD"/>
    <w:rsid w:val="001A44F3"/>
    <w:rsid w:val="001A4BF7"/>
    <w:rsid w:val="001B66C9"/>
    <w:rsid w:val="001B7559"/>
    <w:rsid w:val="001C0395"/>
    <w:rsid w:val="001C0E36"/>
    <w:rsid w:val="001C2D07"/>
    <w:rsid w:val="001D32B9"/>
    <w:rsid w:val="001D6A53"/>
    <w:rsid w:val="001D7A64"/>
    <w:rsid w:val="001E092C"/>
    <w:rsid w:val="00200AEA"/>
    <w:rsid w:val="00201536"/>
    <w:rsid w:val="0022512C"/>
    <w:rsid w:val="002422A1"/>
    <w:rsid w:val="002474DE"/>
    <w:rsid w:val="00272F77"/>
    <w:rsid w:val="002768E5"/>
    <w:rsid w:val="00276C62"/>
    <w:rsid w:val="00284B85"/>
    <w:rsid w:val="00287A87"/>
    <w:rsid w:val="002924C8"/>
    <w:rsid w:val="00295C7A"/>
    <w:rsid w:val="002B019D"/>
    <w:rsid w:val="002F25CB"/>
    <w:rsid w:val="0030042F"/>
    <w:rsid w:val="0032500D"/>
    <w:rsid w:val="00335373"/>
    <w:rsid w:val="00354612"/>
    <w:rsid w:val="00370258"/>
    <w:rsid w:val="00380421"/>
    <w:rsid w:val="00396D3E"/>
    <w:rsid w:val="003A72AF"/>
    <w:rsid w:val="003C36DE"/>
    <w:rsid w:val="003E3CFD"/>
    <w:rsid w:val="00425BCA"/>
    <w:rsid w:val="00476BF1"/>
    <w:rsid w:val="00496F0A"/>
    <w:rsid w:val="004B1BDE"/>
    <w:rsid w:val="004C6E91"/>
    <w:rsid w:val="004D2F20"/>
    <w:rsid w:val="004D469A"/>
    <w:rsid w:val="004F470B"/>
    <w:rsid w:val="005036E6"/>
    <w:rsid w:val="00512390"/>
    <w:rsid w:val="00554EBD"/>
    <w:rsid w:val="00562F74"/>
    <w:rsid w:val="005A1B25"/>
    <w:rsid w:val="005A5BB4"/>
    <w:rsid w:val="005B109A"/>
    <w:rsid w:val="005C6F5B"/>
    <w:rsid w:val="005D1857"/>
    <w:rsid w:val="005F55F0"/>
    <w:rsid w:val="006042CC"/>
    <w:rsid w:val="00644EEB"/>
    <w:rsid w:val="00656CC0"/>
    <w:rsid w:val="00662646"/>
    <w:rsid w:val="00667D66"/>
    <w:rsid w:val="0067236F"/>
    <w:rsid w:val="00674C62"/>
    <w:rsid w:val="00685D4F"/>
    <w:rsid w:val="006910E1"/>
    <w:rsid w:val="006A7915"/>
    <w:rsid w:val="006B4FF8"/>
    <w:rsid w:val="006D071E"/>
    <w:rsid w:val="006E7410"/>
    <w:rsid w:val="006F188E"/>
    <w:rsid w:val="006F7F2B"/>
    <w:rsid w:val="00700F9F"/>
    <w:rsid w:val="0071175F"/>
    <w:rsid w:val="007128E9"/>
    <w:rsid w:val="007208F9"/>
    <w:rsid w:val="0075344C"/>
    <w:rsid w:val="00767275"/>
    <w:rsid w:val="0077020E"/>
    <w:rsid w:val="007728DA"/>
    <w:rsid w:val="007769E9"/>
    <w:rsid w:val="007803AB"/>
    <w:rsid w:val="00782411"/>
    <w:rsid w:val="007B3371"/>
    <w:rsid w:val="007E0CB9"/>
    <w:rsid w:val="007E1772"/>
    <w:rsid w:val="007E4DD9"/>
    <w:rsid w:val="007F1CE7"/>
    <w:rsid w:val="008216D6"/>
    <w:rsid w:val="00843EDA"/>
    <w:rsid w:val="00866B37"/>
    <w:rsid w:val="00874A14"/>
    <w:rsid w:val="008B30F2"/>
    <w:rsid w:val="008C4B3E"/>
    <w:rsid w:val="008C6C2D"/>
    <w:rsid w:val="008D137C"/>
    <w:rsid w:val="008D1458"/>
    <w:rsid w:val="008E17E0"/>
    <w:rsid w:val="008E461F"/>
    <w:rsid w:val="00906D6C"/>
    <w:rsid w:val="0092142E"/>
    <w:rsid w:val="009622EA"/>
    <w:rsid w:val="00981D26"/>
    <w:rsid w:val="00985B29"/>
    <w:rsid w:val="009954C4"/>
    <w:rsid w:val="009E152C"/>
    <w:rsid w:val="009F0F6C"/>
    <w:rsid w:val="00A068DE"/>
    <w:rsid w:val="00A1397A"/>
    <w:rsid w:val="00A30544"/>
    <w:rsid w:val="00A351C2"/>
    <w:rsid w:val="00A603F6"/>
    <w:rsid w:val="00A6407A"/>
    <w:rsid w:val="00A77446"/>
    <w:rsid w:val="00A805E1"/>
    <w:rsid w:val="00A900AE"/>
    <w:rsid w:val="00AA17CE"/>
    <w:rsid w:val="00AA5DD5"/>
    <w:rsid w:val="00AB37FB"/>
    <w:rsid w:val="00AB5C76"/>
    <w:rsid w:val="00AF23A9"/>
    <w:rsid w:val="00B12598"/>
    <w:rsid w:val="00B14828"/>
    <w:rsid w:val="00B14DF9"/>
    <w:rsid w:val="00B167A3"/>
    <w:rsid w:val="00B32BEE"/>
    <w:rsid w:val="00B32F5A"/>
    <w:rsid w:val="00B53B6C"/>
    <w:rsid w:val="00B645F3"/>
    <w:rsid w:val="00B7718E"/>
    <w:rsid w:val="00B82550"/>
    <w:rsid w:val="00BB01C1"/>
    <w:rsid w:val="00BC302D"/>
    <w:rsid w:val="00BD0397"/>
    <w:rsid w:val="00BF125F"/>
    <w:rsid w:val="00BF214B"/>
    <w:rsid w:val="00BF5B84"/>
    <w:rsid w:val="00C01A30"/>
    <w:rsid w:val="00C375FA"/>
    <w:rsid w:val="00C421E7"/>
    <w:rsid w:val="00C82F8E"/>
    <w:rsid w:val="00CA68F2"/>
    <w:rsid w:val="00CA6C62"/>
    <w:rsid w:val="00CB5A8B"/>
    <w:rsid w:val="00CE042D"/>
    <w:rsid w:val="00CF12EF"/>
    <w:rsid w:val="00CF1EE8"/>
    <w:rsid w:val="00CF52EB"/>
    <w:rsid w:val="00D15C08"/>
    <w:rsid w:val="00D21AFD"/>
    <w:rsid w:val="00D22D29"/>
    <w:rsid w:val="00D26D93"/>
    <w:rsid w:val="00D27822"/>
    <w:rsid w:val="00D37AB3"/>
    <w:rsid w:val="00D37FAD"/>
    <w:rsid w:val="00D45358"/>
    <w:rsid w:val="00D460B3"/>
    <w:rsid w:val="00D46871"/>
    <w:rsid w:val="00D64164"/>
    <w:rsid w:val="00D7105C"/>
    <w:rsid w:val="00D7664A"/>
    <w:rsid w:val="00D8260E"/>
    <w:rsid w:val="00D92566"/>
    <w:rsid w:val="00D9271C"/>
    <w:rsid w:val="00D96B0F"/>
    <w:rsid w:val="00DA158B"/>
    <w:rsid w:val="00DD70D2"/>
    <w:rsid w:val="00DF0F89"/>
    <w:rsid w:val="00DF6B8D"/>
    <w:rsid w:val="00E23870"/>
    <w:rsid w:val="00E267B7"/>
    <w:rsid w:val="00E362B2"/>
    <w:rsid w:val="00E46BA9"/>
    <w:rsid w:val="00E6029E"/>
    <w:rsid w:val="00E7396E"/>
    <w:rsid w:val="00E900B3"/>
    <w:rsid w:val="00E93261"/>
    <w:rsid w:val="00EA224C"/>
    <w:rsid w:val="00EA306D"/>
    <w:rsid w:val="00EB68D1"/>
    <w:rsid w:val="00EB79BE"/>
    <w:rsid w:val="00EE03F1"/>
    <w:rsid w:val="00EE7398"/>
    <w:rsid w:val="00F01368"/>
    <w:rsid w:val="00F22A45"/>
    <w:rsid w:val="00F260DA"/>
    <w:rsid w:val="00F35E1D"/>
    <w:rsid w:val="00F40EAC"/>
    <w:rsid w:val="00F5227F"/>
    <w:rsid w:val="00F62567"/>
    <w:rsid w:val="00F625B9"/>
    <w:rsid w:val="00FA68B0"/>
    <w:rsid w:val="00FB3A12"/>
    <w:rsid w:val="00FC1387"/>
    <w:rsid w:val="00FC6837"/>
    <w:rsid w:val="00FD0140"/>
    <w:rsid w:val="00FD1B2E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291F"/>
  <w15:docId w15:val="{8509C5A4-E8FA-4DC2-B183-7F51975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F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table" w:styleId="Mkatabulky">
    <w:name w:val="Table Grid"/>
    <w:basedOn w:val="Normlntabulka"/>
    <w:uiPriority w:val="39"/>
    <w:rsid w:val="00CF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14B"/>
  </w:style>
  <w:style w:type="paragraph" w:styleId="Zpat">
    <w:name w:val="footer"/>
    <w:basedOn w:val="Normln"/>
    <w:link w:val="ZpatChar"/>
    <w:uiPriority w:val="99"/>
    <w:unhideWhenUsed/>
    <w:rsid w:val="00BF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14B"/>
  </w:style>
  <w:style w:type="paragraph" w:styleId="Textbubliny">
    <w:name w:val="Balloon Text"/>
    <w:basedOn w:val="Normln"/>
    <w:link w:val="TextbublinyChar"/>
    <w:uiPriority w:val="99"/>
    <w:semiHidden/>
    <w:unhideWhenUsed/>
    <w:rsid w:val="0006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05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2422A1"/>
  </w:style>
  <w:style w:type="paragraph" w:customStyle="1" w:styleId="Pleading3L1">
    <w:name w:val="Pleading3_L1"/>
    <w:basedOn w:val="Normln"/>
    <w:next w:val="Zkladntext"/>
    <w:rsid w:val="0008479B"/>
    <w:pPr>
      <w:keepNext/>
      <w:keepLines/>
      <w:widowControl w:val="0"/>
      <w:numPr>
        <w:numId w:val="17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08479B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08479B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08479B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08479B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08479B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08479B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08479B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08479B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847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79B"/>
  </w:style>
  <w:style w:type="character" w:styleId="Odkaznakoment">
    <w:name w:val="annotation reference"/>
    <w:basedOn w:val="Standardnpsmoodstavce"/>
    <w:uiPriority w:val="99"/>
    <w:semiHidden/>
    <w:unhideWhenUsed/>
    <w:rsid w:val="00D45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3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EC38-8ED8-4845-A9F8-F5E10D00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Huberová Zuzana</cp:lastModifiedBy>
  <cp:revision>11</cp:revision>
  <cp:lastPrinted>2017-05-18T07:31:00Z</cp:lastPrinted>
  <dcterms:created xsi:type="dcterms:W3CDTF">2017-05-18T07:17:00Z</dcterms:created>
  <dcterms:modified xsi:type="dcterms:W3CDTF">2017-05-26T06:25:00Z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358.1</vt:lpwstr>
  </property>
</Properties>
</file>