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493"/>
        <w:gridCol w:w="1253"/>
        <w:gridCol w:w="2642"/>
        <w:gridCol w:w="70"/>
      </w:tblGrid>
      <w:tr w:rsidR="00673FFA" w:rsidRPr="009418F2" w14:paraId="1558F780" w14:textId="77777777">
        <w:trPr>
          <w:trHeight w:hRule="exact" w:val="218"/>
        </w:trPr>
        <w:tc>
          <w:tcPr>
            <w:tcW w:w="9768" w:type="dxa"/>
            <w:gridSpan w:val="5"/>
          </w:tcPr>
          <w:p w14:paraId="6804A5C9" w14:textId="77777777" w:rsidR="00673FFA" w:rsidRPr="009418F2" w:rsidRDefault="00000000">
            <w:pPr>
              <w:pStyle w:val="TableParagraph"/>
              <w:spacing w:line="192" w:lineRule="exact"/>
              <w:ind w:left="343"/>
              <w:rPr>
                <w:b/>
                <w:sz w:val="17"/>
                <w:lang w:val="cs-CZ"/>
              </w:rPr>
            </w:pPr>
            <w:r w:rsidRPr="009418F2">
              <w:rPr>
                <w:b/>
                <w:sz w:val="17"/>
                <w:lang w:val="cs-CZ"/>
              </w:rPr>
              <w:t>DOHODA podle Pod-článku 3.5 – Záznam o změně závazku - prodloužení doby pro dokončení - finanční   nároky</w:t>
            </w:r>
          </w:p>
        </w:tc>
      </w:tr>
      <w:tr w:rsidR="00673FFA" w:rsidRPr="009418F2" w14:paraId="01385131" w14:textId="77777777">
        <w:trPr>
          <w:trHeight w:hRule="exact" w:val="1246"/>
        </w:trPr>
        <w:tc>
          <w:tcPr>
            <w:tcW w:w="5803" w:type="dxa"/>
            <w:gridSpan w:val="2"/>
          </w:tcPr>
          <w:p w14:paraId="111B970F" w14:textId="77777777" w:rsidR="00673FFA" w:rsidRPr="009418F2" w:rsidRDefault="00000000">
            <w:pPr>
              <w:pStyle w:val="TableParagraph"/>
              <w:spacing w:before="7"/>
              <w:ind w:left="47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Označení/číslo původní Smlouvy: S/ŘVC/052/R/SoD/2020</w:t>
            </w:r>
          </w:p>
          <w:p w14:paraId="6A7EDEB5" w14:textId="77777777" w:rsidR="00673FFA" w:rsidRPr="009418F2" w:rsidRDefault="00000000">
            <w:pPr>
              <w:pStyle w:val="TableParagraph"/>
              <w:spacing w:before="16"/>
              <w:ind w:left="47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Dílo: ZABEZP. PODJEZD. VÝŠEK NA VLTAVSKÉ VODNÍ CESTĚ - STAVBA 005.B</w:t>
            </w:r>
          </w:p>
          <w:p w14:paraId="2032B1CE" w14:textId="77777777" w:rsidR="00673FFA" w:rsidRPr="009418F2" w:rsidRDefault="00000000">
            <w:pPr>
              <w:pStyle w:val="TableParagraph"/>
              <w:spacing w:before="11"/>
              <w:ind w:left="47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Silniční most na MK ÚČOV</w:t>
            </w:r>
          </w:p>
        </w:tc>
        <w:tc>
          <w:tcPr>
            <w:tcW w:w="1253" w:type="dxa"/>
          </w:tcPr>
          <w:p w14:paraId="53DBDC77" w14:textId="77777777" w:rsidR="00673FFA" w:rsidRPr="009418F2" w:rsidRDefault="00000000">
            <w:pPr>
              <w:pStyle w:val="TableParagraph"/>
              <w:spacing w:before="75" w:line="259" w:lineRule="auto"/>
              <w:ind w:left="187" w:right="63" w:hanging="142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Číslo SO/PS / číslo Změny SO/PS:</w:t>
            </w:r>
          </w:p>
        </w:tc>
        <w:tc>
          <w:tcPr>
            <w:tcW w:w="2712" w:type="dxa"/>
            <w:gridSpan w:val="2"/>
          </w:tcPr>
          <w:p w14:paraId="34A596A6" w14:textId="77777777" w:rsidR="00673FFA" w:rsidRPr="009418F2" w:rsidRDefault="00673FFA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4F913AD7" w14:textId="77777777" w:rsidR="00673FFA" w:rsidRPr="009418F2" w:rsidRDefault="00000000">
            <w:pPr>
              <w:pStyle w:val="TableParagraph"/>
              <w:spacing w:before="106"/>
              <w:ind w:left="874" w:right="866"/>
              <w:jc w:val="center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Číslo Dohody:</w:t>
            </w:r>
          </w:p>
          <w:p w14:paraId="118B3076" w14:textId="77777777" w:rsidR="00673FFA" w:rsidRPr="009418F2" w:rsidRDefault="00673FFA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23CED6FE" w14:textId="77777777" w:rsidR="00673FFA" w:rsidRPr="009418F2" w:rsidRDefault="00673FFA">
            <w:pPr>
              <w:pStyle w:val="TableParagraph"/>
              <w:spacing w:before="9"/>
              <w:rPr>
                <w:rFonts w:ascii="Times New Roman"/>
                <w:sz w:val="20"/>
                <w:lang w:val="cs-CZ"/>
              </w:rPr>
            </w:pPr>
          </w:p>
          <w:p w14:paraId="511A839F" w14:textId="77777777" w:rsidR="00673FFA" w:rsidRPr="009418F2" w:rsidRDefault="00000000">
            <w:pPr>
              <w:pStyle w:val="TableParagraph"/>
              <w:ind w:left="876" w:right="866"/>
              <w:jc w:val="center"/>
              <w:rPr>
                <w:b/>
                <w:sz w:val="26"/>
                <w:lang w:val="cs-CZ"/>
              </w:rPr>
            </w:pPr>
            <w:r w:rsidRPr="009418F2">
              <w:rPr>
                <w:b/>
                <w:sz w:val="26"/>
                <w:lang w:val="cs-CZ"/>
              </w:rPr>
              <w:t>4./005B</w:t>
            </w:r>
          </w:p>
        </w:tc>
      </w:tr>
      <w:tr w:rsidR="00673FFA" w:rsidRPr="009418F2" w14:paraId="76B1C120" w14:textId="77777777">
        <w:trPr>
          <w:trHeight w:hRule="exact" w:val="1346"/>
        </w:trPr>
        <w:tc>
          <w:tcPr>
            <w:tcW w:w="9768" w:type="dxa"/>
            <w:gridSpan w:val="5"/>
          </w:tcPr>
          <w:p w14:paraId="688F83E3" w14:textId="77777777" w:rsidR="00673FFA" w:rsidRPr="009418F2" w:rsidRDefault="00000000">
            <w:pPr>
              <w:pStyle w:val="TableParagraph"/>
              <w:spacing w:line="145" w:lineRule="exact"/>
              <w:ind w:left="47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Správce stavby, Objednatel a Zhotovitel výše uvedeného Díla uzavřeli tuto Dohodu podle Pod-čl. 3.5 následovně:</w:t>
            </w:r>
          </w:p>
          <w:p w14:paraId="64C3996B" w14:textId="77777777" w:rsidR="00673FFA" w:rsidRPr="009418F2" w:rsidRDefault="00000000">
            <w:pPr>
              <w:pStyle w:val="TableParagraph"/>
              <w:spacing w:before="117"/>
              <w:ind w:left="47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Správce stavby: Správce stavby: Společnost (sdružení) „INFRAM/IDS – Trojský kanál“ se sídlem: Pelušková 1407, 198 00 Praha 9 - Kyje</w:t>
            </w:r>
          </w:p>
          <w:p w14:paraId="3EE19023" w14:textId="77777777" w:rsidR="00673FFA" w:rsidRPr="009418F2" w:rsidRDefault="00673FFA">
            <w:pPr>
              <w:pStyle w:val="TableParagraph"/>
              <w:rPr>
                <w:rFonts w:ascii="Times New Roman"/>
                <w:sz w:val="11"/>
                <w:lang w:val="cs-CZ"/>
              </w:rPr>
            </w:pPr>
          </w:p>
          <w:p w14:paraId="6E6368A0" w14:textId="77777777" w:rsidR="00673FFA" w:rsidRPr="009418F2" w:rsidRDefault="00000000">
            <w:pPr>
              <w:pStyle w:val="TableParagraph"/>
              <w:tabs>
                <w:tab w:val="left" w:pos="8300"/>
              </w:tabs>
              <w:spacing w:line="288" w:lineRule="auto"/>
              <w:ind w:left="470" w:right="1414"/>
              <w:rPr>
                <w:rFonts w:ascii="Microsoft Sans Serif" w:hAnsi="Microsoft Sans Serif"/>
                <w:sz w:val="11"/>
                <w:lang w:val="cs-CZ"/>
              </w:rPr>
            </w:pPr>
            <w:r w:rsidRPr="009418F2">
              <w:rPr>
                <w:sz w:val="13"/>
                <w:lang w:val="cs-CZ"/>
              </w:rPr>
              <w:t xml:space="preserve">Objednatel: Česká republika - Ředitelství vodních cest ČR, se sídlem nábřeží L. Svobody 1222/12, 110 15 Praha 1, IČ: 67981801 Zhotovitel: "Společnost SMP - </w:t>
            </w:r>
            <w:r w:rsidRPr="009418F2">
              <w:rPr>
                <w:spacing w:val="-4"/>
                <w:sz w:val="13"/>
                <w:lang w:val="cs-CZ"/>
              </w:rPr>
              <w:t xml:space="preserve">OKT, </w:t>
            </w:r>
            <w:r w:rsidRPr="009418F2">
              <w:rPr>
                <w:sz w:val="13"/>
                <w:lang w:val="cs-CZ"/>
              </w:rPr>
              <w:t>Mosty u ÚČOV", správce Stavby mostů, a.s., Vyskočilova 1566, 140 00 Praha</w:t>
            </w:r>
            <w:r w:rsidRPr="009418F2">
              <w:rPr>
                <w:spacing w:val="2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4</w:t>
            </w:r>
            <w:r w:rsidRPr="009418F2">
              <w:rPr>
                <w:sz w:val="13"/>
                <w:lang w:val="cs-CZ"/>
              </w:rPr>
              <w:tab/>
            </w:r>
            <w:r w:rsidRPr="009418F2">
              <w:rPr>
                <w:rFonts w:ascii="Microsoft Sans Serif" w:hAnsi="Microsoft Sans Serif"/>
                <w:w w:val="107"/>
                <w:sz w:val="11"/>
                <w:lang w:val="cs-CZ"/>
              </w:rPr>
              <w:t xml:space="preserve"> </w:t>
            </w:r>
          </w:p>
        </w:tc>
      </w:tr>
      <w:tr w:rsidR="00673FFA" w:rsidRPr="009418F2" w14:paraId="1E961DAB" w14:textId="77777777">
        <w:trPr>
          <w:trHeight w:hRule="exact" w:val="1841"/>
        </w:trPr>
        <w:tc>
          <w:tcPr>
            <w:tcW w:w="310" w:type="dxa"/>
            <w:tcBorders>
              <w:bottom w:val="nil"/>
            </w:tcBorders>
          </w:tcPr>
          <w:p w14:paraId="1C4AE456" w14:textId="77777777" w:rsidR="00673FFA" w:rsidRPr="009418F2" w:rsidRDefault="00673FFA">
            <w:pPr>
              <w:rPr>
                <w:lang w:val="cs-CZ"/>
              </w:rPr>
            </w:pPr>
          </w:p>
        </w:tc>
        <w:tc>
          <w:tcPr>
            <w:tcW w:w="6746" w:type="dxa"/>
            <w:gridSpan w:val="2"/>
          </w:tcPr>
          <w:p w14:paraId="00266687" w14:textId="77777777" w:rsidR="00673FFA" w:rsidRPr="009418F2" w:rsidRDefault="00000000">
            <w:pPr>
              <w:pStyle w:val="TableParagraph"/>
              <w:spacing w:line="138" w:lineRule="exact"/>
              <w:ind w:left="684"/>
              <w:rPr>
                <w:sz w:val="13"/>
                <w:lang w:val="cs-CZ"/>
              </w:rPr>
            </w:pPr>
            <w:r w:rsidRPr="009418F2">
              <w:rPr>
                <w:sz w:val="13"/>
                <w:u w:val="single"/>
                <w:lang w:val="cs-CZ"/>
              </w:rPr>
              <w:t>Přílohy Dohody</w:t>
            </w:r>
            <w:r w:rsidRPr="009418F2">
              <w:rPr>
                <w:sz w:val="13"/>
                <w:lang w:val="cs-CZ"/>
              </w:rPr>
              <w:t>:</w:t>
            </w:r>
          </w:p>
          <w:p w14:paraId="5C37EDC2" w14:textId="77777777" w:rsidR="00673FFA" w:rsidRPr="009418F2" w:rsidRDefault="00000000">
            <w:pPr>
              <w:pStyle w:val="TableParagraph"/>
              <w:tabs>
                <w:tab w:val="left" w:pos="5692"/>
              </w:tabs>
              <w:spacing w:line="20" w:lineRule="exact"/>
              <w:ind w:left="5459"/>
              <w:rPr>
                <w:rFonts w:ascii="Times New Roman"/>
                <w:sz w:val="2"/>
                <w:lang w:val="cs-CZ"/>
              </w:rPr>
            </w:pP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723D2037">
                <v:group id="_x0000_s1039" style="width:.65pt;height:.5pt;mso-position-horizontal-relative:char;mso-position-vertical-relative:line" coordsize="13,10">
                  <v:line id="_x0000_s1040" style="position:absolute" from="5,5" to="7,5" strokeweight=".48pt"/>
                  <w10:wrap type="none"/>
                  <w10:anchorlock/>
                </v:group>
              </w:pict>
            </w:r>
            <w:r w:rsidRPr="009418F2">
              <w:rPr>
                <w:rFonts w:ascii="Times New Roman"/>
                <w:sz w:val="2"/>
                <w:lang w:val="cs-CZ"/>
              </w:rPr>
              <w:tab/>
            </w:r>
            <w:r>
              <w:rPr>
                <w:rFonts w:ascii="Times New Roman"/>
                <w:sz w:val="2"/>
                <w:lang w:val="cs-CZ"/>
              </w:rPr>
            </w:r>
            <w:r>
              <w:rPr>
                <w:rFonts w:ascii="Times New Roman"/>
                <w:sz w:val="2"/>
                <w:lang w:val="cs-CZ"/>
              </w:rPr>
              <w:pict w14:anchorId="4847C94E">
                <v:group id="_x0000_s1037" style="width:.65pt;height:.5pt;mso-position-horizontal-relative:char;mso-position-vertical-relative:line" coordsize="13,10">
                  <v:line id="_x0000_s1038" style="position:absolute" from="5,5" to="7,5" strokeweight=".48pt"/>
                  <w10:wrap type="none"/>
                  <w10:anchorlock/>
                </v:group>
              </w:pict>
            </w:r>
          </w:p>
          <w:p w14:paraId="68A90577" w14:textId="77777777" w:rsidR="00673FFA" w:rsidRPr="009418F2" w:rsidRDefault="00673FFA">
            <w:pPr>
              <w:pStyle w:val="TableParagraph"/>
              <w:spacing w:before="10"/>
              <w:rPr>
                <w:rFonts w:ascii="Times New Roman"/>
                <w:sz w:val="15"/>
                <w:lang w:val="cs-CZ"/>
              </w:rPr>
            </w:pPr>
          </w:p>
          <w:p w14:paraId="3743943A" w14:textId="77777777" w:rsidR="00673FFA" w:rsidRPr="009418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hanging="14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Oznámení detailního claimu z</w:t>
            </w:r>
            <w:r w:rsidRPr="009418F2">
              <w:rPr>
                <w:spacing w:val="-26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19.10.2022 stavba 005A, B</w:t>
            </w:r>
          </w:p>
          <w:p w14:paraId="369A416C" w14:textId="77777777" w:rsidR="00673FFA" w:rsidRPr="009418F2" w:rsidRDefault="00673FFA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56CCA998" w14:textId="77777777" w:rsidR="00673FFA" w:rsidRPr="009418F2" w:rsidRDefault="00673FFA">
            <w:pPr>
              <w:pStyle w:val="TableParagraph"/>
              <w:spacing w:before="9"/>
              <w:rPr>
                <w:rFonts w:ascii="Times New Roman"/>
                <w:sz w:val="11"/>
                <w:lang w:val="cs-CZ"/>
              </w:rPr>
            </w:pPr>
          </w:p>
          <w:p w14:paraId="04931280" w14:textId="77777777" w:rsidR="00673FFA" w:rsidRPr="009418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hanging="14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OZNÁMENÍ</w:t>
            </w:r>
            <w:r w:rsidRPr="009418F2">
              <w:rPr>
                <w:spacing w:val="-4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ZÁVĚREČNÝ</w:t>
            </w:r>
            <w:r w:rsidRPr="009418F2">
              <w:rPr>
                <w:spacing w:val="-7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CLAIM</w:t>
            </w:r>
            <w:r w:rsidRPr="009418F2">
              <w:rPr>
                <w:spacing w:val="-4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č.</w:t>
            </w:r>
            <w:r w:rsidRPr="009418F2">
              <w:rPr>
                <w:spacing w:val="-4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15A,B/CL/2022</w:t>
            </w:r>
            <w:r w:rsidRPr="009418F2">
              <w:rPr>
                <w:spacing w:val="-4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ze</w:t>
            </w:r>
            <w:r w:rsidRPr="009418F2">
              <w:rPr>
                <w:spacing w:val="-4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dne</w:t>
            </w:r>
            <w:r w:rsidRPr="009418F2">
              <w:rPr>
                <w:spacing w:val="-4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13.12.2022</w:t>
            </w:r>
          </w:p>
        </w:tc>
        <w:tc>
          <w:tcPr>
            <w:tcW w:w="2642" w:type="dxa"/>
          </w:tcPr>
          <w:p w14:paraId="193969A8" w14:textId="77777777" w:rsidR="00673FFA" w:rsidRPr="009418F2" w:rsidRDefault="00000000">
            <w:pPr>
              <w:pStyle w:val="TableParagraph"/>
              <w:tabs>
                <w:tab w:val="left" w:pos="813"/>
              </w:tabs>
              <w:spacing w:before="18"/>
              <w:ind w:left="7"/>
              <w:rPr>
                <w:sz w:val="8"/>
                <w:lang w:val="cs-CZ"/>
              </w:rPr>
            </w:pPr>
            <w:r w:rsidRPr="009418F2">
              <w:rPr>
                <w:w w:val="110"/>
                <w:sz w:val="8"/>
                <w:lang w:val="cs-CZ"/>
              </w:rPr>
              <w:t>Paré</w:t>
            </w:r>
            <w:r w:rsidRPr="009418F2">
              <w:rPr>
                <w:spacing w:val="-3"/>
                <w:w w:val="110"/>
                <w:sz w:val="8"/>
                <w:lang w:val="cs-CZ"/>
              </w:rPr>
              <w:t xml:space="preserve"> </w:t>
            </w:r>
            <w:r w:rsidRPr="009418F2">
              <w:rPr>
                <w:w w:val="110"/>
                <w:sz w:val="8"/>
                <w:lang w:val="cs-CZ"/>
              </w:rPr>
              <w:t>č.</w:t>
            </w:r>
            <w:r w:rsidRPr="009418F2">
              <w:rPr>
                <w:w w:val="110"/>
                <w:sz w:val="8"/>
                <w:lang w:val="cs-CZ"/>
              </w:rPr>
              <w:tab/>
              <w:t>Příjemce</w:t>
            </w:r>
          </w:p>
          <w:p w14:paraId="4A970B80" w14:textId="77777777" w:rsidR="00673FFA" w:rsidRPr="009418F2" w:rsidRDefault="00673FFA">
            <w:pPr>
              <w:pStyle w:val="TableParagraph"/>
              <w:rPr>
                <w:rFonts w:ascii="Times New Roman"/>
                <w:sz w:val="10"/>
                <w:lang w:val="cs-CZ"/>
              </w:rPr>
            </w:pPr>
          </w:p>
          <w:p w14:paraId="1FA1138E" w14:textId="77777777" w:rsidR="00673FFA" w:rsidRPr="009418F2" w:rsidRDefault="00673FFA">
            <w:pPr>
              <w:pStyle w:val="TableParagraph"/>
              <w:spacing w:before="9"/>
              <w:rPr>
                <w:rFonts w:ascii="Times New Roman"/>
                <w:sz w:val="10"/>
                <w:lang w:val="cs-CZ"/>
              </w:rPr>
            </w:pPr>
          </w:p>
          <w:p w14:paraId="0177F134" w14:textId="1B0FBC98" w:rsidR="00673FFA" w:rsidRPr="009418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5"/>
              </w:tabs>
              <w:spacing w:line="132" w:lineRule="auto"/>
              <w:ind w:right="138"/>
              <w:rPr>
                <w:sz w:val="8"/>
                <w:lang w:val="cs-CZ"/>
              </w:rPr>
            </w:pPr>
            <w:r w:rsidRPr="009418F2">
              <w:rPr>
                <w:w w:val="110"/>
                <w:sz w:val="8"/>
                <w:lang w:val="cs-CZ"/>
              </w:rPr>
              <w:t>Správce</w:t>
            </w:r>
            <w:r w:rsidRPr="009418F2">
              <w:rPr>
                <w:spacing w:val="-12"/>
                <w:w w:val="110"/>
                <w:sz w:val="8"/>
                <w:lang w:val="cs-CZ"/>
              </w:rPr>
              <w:t xml:space="preserve"> </w:t>
            </w:r>
            <w:r w:rsidRPr="009418F2">
              <w:rPr>
                <w:w w:val="110"/>
                <w:sz w:val="8"/>
                <w:lang w:val="cs-CZ"/>
              </w:rPr>
              <w:t>stavby</w:t>
            </w:r>
            <w:r w:rsidRPr="009418F2">
              <w:rPr>
                <w:spacing w:val="-13"/>
                <w:w w:val="110"/>
                <w:sz w:val="8"/>
                <w:lang w:val="cs-CZ"/>
              </w:rPr>
              <w:t xml:space="preserve"> </w:t>
            </w:r>
            <w:r w:rsidRPr="009418F2">
              <w:rPr>
                <w:w w:val="110"/>
                <w:sz w:val="8"/>
                <w:lang w:val="cs-CZ"/>
              </w:rPr>
              <w:t>(v</w:t>
            </w:r>
            <w:r w:rsidRPr="009418F2">
              <w:rPr>
                <w:spacing w:val="-13"/>
                <w:w w:val="110"/>
                <w:sz w:val="8"/>
                <w:lang w:val="cs-CZ"/>
              </w:rPr>
              <w:t xml:space="preserve"> </w:t>
            </w:r>
            <w:r w:rsidRPr="009418F2">
              <w:rPr>
                <w:w w:val="110"/>
                <w:sz w:val="8"/>
                <w:lang w:val="cs-CZ"/>
              </w:rPr>
              <w:t>elektronické</w:t>
            </w:r>
            <w:r w:rsidRPr="009418F2">
              <w:rPr>
                <w:spacing w:val="-12"/>
                <w:w w:val="110"/>
                <w:sz w:val="8"/>
                <w:lang w:val="cs-CZ"/>
              </w:rPr>
              <w:t xml:space="preserve"> </w:t>
            </w:r>
            <w:r w:rsidRPr="009418F2">
              <w:rPr>
                <w:w w:val="110"/>
                <w:sz w:val="8"/>
                <w:lang w:val="cs-CZ"/>
              </w:rPr>
              <w:t>verzi</w:t>
            </w:r>
            <w:r w:rsidRPr="009418F2">
              <w:rPr>
                <w:spacing w:val="-13"/>
                <w:w w:val="110"/>
                <w:sz w:val="8"/>
                <w:lang w:val="cs-CZ"/>
              </w:rPr>
              <w:t xml:space="preserve"> </w:t>
            </w:r>
            <w:r w:rsidRPr="009418F2">
              <w:rPr>
                <w:w w:val="110"/>
                <w:sz w:val="8"/>
                <w:lang w:val="cs-CZ"/>
              </w:rPr>
              <w:t>Intranet ŘVC</w:t>
            </w:r>
            <w:r w:rsidRPr="009418F2">
              <w:rPr>
                <w:spacing w:val="-7"/>
                <w:w w:val="110"/>
                <w:sz w:val="8"/>
                <w:lang w:val="cs-CZ"/>
              </w:rPr>
              <w:t xml:space="preserve"> </w:t>
            </w:r>
            <w:r w:rsidRPr="009418F2">
              <w:rPr>
                <w:w w:val="110"/>
                <w:sz w:val="8"/>
                <w:lang w:val="cs-CZ"/>
              </w:rPr>
              <w:t>ČR)</w:t>
            </w:r>
          </w:p>
          <w:p w14:paraId="716CF75C" w14:textId="77777777" w:rsidR="00673FFA" w:rsidRPr="009418F2" w:rsidRDefault="00673FFA">
            <w:pPr>
              <w:pStyle w:val="TableParagraph"/>
              <w:rPr>
                <w:rFonts w:ascii="Times New Roman"/>
                <w:sz w:val="10"/>
                <w:lang w:val="cs-CZ"/>
              </w:rPr>
            </w:pPr>
          </w:p>
          <w:p w14:paraId="7C5A6959" w14:textId="77777777" w:rsidR="00673FFA" w:rsidRPr="009418F2" w:rsidRDefault="00673FFA">
            <w:pPr>
              <w:pStyle w:val="TableParagraph"/>
              <w:rPr>
                <w:rFonts w:ascii="Times New Roman"/>
                <w:sz w:val="10"/>
                <w:lang w:val="cs-CZ"/>
              </w:rPr>
            </w:pPr>
          </w:p>
          <w:p w14:paraId="33887A7D" w14:textId="77777777" w:rsidR="00673FFA" w:rsidRPr="009418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5"/>
              </w:tabs>
              <w:spacing w:before="84"/>
              <w:rPr>
                <w:sz w:val="8"/>
                <w:lang w:val="cs-CZ"/>
              </w:rPr>
            </w:pPr>
            <w:r w:rsidRPr="009418F2">
              <w:rPr>
                <w:w w:val="110"/>
                <w:sz w:val="8"/>
                <w:lang w:val="cs-CZ"/>
              </w:rPr>
              <w:t>Zhotovitel</w:t>
            </w:r>
          </w:p>
          <w:p w14:paraId="15CFCA54" w14:textId="77777777" w:rsidR="00673FFA" w:rsidRPr="009418F2" w:rsidRDefault="00673FFA">
            <w:pPr>
              <w:pStyle w:val="TableParagraph"/>
              <w:rPr>
                <w:rFonts w:ascii="Times New Roman"/>
                <w:sz w:val="10"/>
                <w:lang w:val="cs-CZ"/>
              </w:rPr>
            </w:pPr>
          </w:p>
          <w:p w14:paraId="5F91C5D7" w14:textId="77777777" w:rsidR="00673FFA" w:rsidRPr="009418F2" w:rsidRDefault="00673FFA">
            <w:pPr>
              <w:pStyle w:val="TableParagraph"/>
              <w:spacing w:before="1"/>
              <w:rPr>
                <w:rFonts w:ascii="Times New Roman"/>
                <w:sz w:val="9"/>
                <w:lang w:val="cs-CZ"/>
              </w:rPr>
            </w:pPr>
          </w:p>
          <w:p w14:paraId="765FB453" w14:textId="77777777" w:rsidR="00673FFA" w:rsidRPr="009418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5"/>
              </w:tabs>
              <w:rPr>
                <w:sz w:val="8"/>
                <w:lang w:val="cs-CZ"/>
              </w:rPr>
            </w:pPr>
            <w:r w:rsidRPr="009418F2">
              <w:rPr>
                <w:w w:val="110"/>
                <w:sz w:val="8"/>
                <w:lang w:val="cs-CZ"/>
              </w:rPr>
              <w:t>Objednatel</w:t>
            </w:r>
          </w:p>
        </w:tc>
        <w:tc>
          <w:tcPr>
            <w:tcW w:w="70" w:type="dxa"/>
            <w:tcBorders>
              <w:bottom w:val="nil"/>
            </w:tcBorders>
          </w:tcPr>
          <w:p w14:paraId="5095D195" w14:textId="77777777" w:rsidR="00673FFA" w:rsidRPr="009418F2" w:rsidRDefault="00673FFA">
            <w:pPr>
              <w:rPr>
                <w:lang w:val="cs-CZ"/>
              </w:rPr>
            </w:pPr>
          </w:p>
        </w:tc>
      </w:tr>
      <w:tr w:rsidR="00673FFA" w:rsidRPr="009418F2" w14:paraId="670470E0" w14:textId="77777777" w:rsidTr="009A3FC9">
        <w:trPr>
          <w:trHeight w:hRule="exact" w:val="9254"/>
        </w:trPr>
        <w:tc>
          <w:tcPr>
            <w:tcW w:w="9768" w:type="dxa"/>
            <w:gridSpan w:val="5"/>
            <w:tcBorders>
              <w:top w:val="nil"/>
              <w:bottom w:val="nil"/>
            </w:tcBorders>
          </w:tcPr>
          <w:p w14:paraId="7FFCE91B" w14:textId="17609FB3" w:rsidR="00673FFA" w:rsidRPr="009418F2" w:rsidRDefault="00000000">
            <w:pPr>
              <w:pStyle w:val="TableParagraph"/>
              <w:spacing w:before="16" w:line="331" w:lineRule="auto"/>
              <w:ind w:left="321" w:right="7876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Iniciátor Claimu: Zhotovitel Popis Claimu:</w:t>
            </w:r>
          </w:p>
          <w:p w14:paraId="2487B5A9" w14:textId="33500245" w:rsidR="00673FFA" w:rsidRDefault="00000000">
            <w:pPr>
              <w:pStyle w:val="TableParagraph"/>
              <w:spacing w:line="266" w:lineRule="auto"/>
              <w:ind w:left="324" w:right="786"/>
              <w:rPr>
                <w:b/>
                <w:sz w:val="13"/>
                <w:lang w:val="cs-CZ"/>
              </w:rPr>
            </w:pPr>
            <w:r w:rsidRPr="009418F2">
              <w:rPr>
                <w:b/>
                <w:sz w:val="13"/>
                <w:lang w:val="cs-CZ"/>
              </w:rPr>
              <w:t>V průběhu plnění smlouvy byly zaznamenány a řešeny následující události - Zpoždění, překážky nebo omezení způsobená nebo přičitatelná Objednateli podle Pod-čl. 8.4 OP/ZP:</w:t>
            </w:r>
          </w:p>
          <w:p w14:paraId="1F73E48A" w14:textId="77777777" w:rsidR="009A3FC9" w:rsidRDefault="009A3FC9">
            <w:pPr>
              <w:pStyle w:val="TableParagraph"/>
              <w:spacing w:line="266" w:lineRule="auto"/>
              <w:ind w:left="324" w:right="786"/>
              <w:rPr>
                <w:b/>
                <w:sz w:val="13"/>
                <w:lang w:val="cs-CZ"/>
              </w:rPr>
            </w:pPr>
          </w:p>
          <w:p w14:paraId="0550C9D3" w14:textId="77777777" w:rsidR="00673FFA" w:rsidRPr="009418F2" w:rsidRDefault="00000000">
            <w:pPr>
              <w:pStyle w:val="TableParagraph"/>
              <w:spacing w:line="261" w:lineRule="auto"/>
              <w:ind w:left="324" w:right="5630"/>
              <w:rPr>
                <w:sz w:val="13"/>
                <w:lang w:val="cs-CZ"/>
              </w:rPr>
            </w:pPr>
            <w:r w:rsidRPr="009418F2">
              <w:rPr>
                <w:b/>
                <w:sz w:val="13"/>
                <w:lang w:val="cs-CZ"/>
              </w:rPr>
              <w:t xml:space="preserve">1. Události dle dohody o určení č.1 (Časový nárok č. 1) </w:t>
            </w:r>
            <w:r w:rsidRPr="009418F2">
              <w:rPr>
                <w:sz w:val="13"/>
                <w:lang w:val="cs-CZ"/>
              </w:rPr>
              <w:t>Událost č. 1 - prodlužování platnosti SP</w:t>
            </w:r>
          </w:p>
          <w:p w14:paraId="075B4453" w14:textId="77777777" w:rsidR="00673FFA" w:rsidRPr="009418F2" w:rsidRDefault="00000000">
            <w:pPr>
              <w:pStyle w:val="TableParagraph"/>
              <w:spacing w:line="259" w:lineRule="auto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V době podpisu smlouvy Objednatel neměl k dispozici platné stavební povolení (dále jen „SP“) – probíhalo řízení ohledně jeho prodloužení. Na tuto skutečnost reagoval Zhotovitel Oznámením Claimu č. 1 dne 01.12.2020. Svoje vyjádření k tomuto Claimu poskytnul Správce stavby Zhotoviteli ve svém Stanovisku ze dne 22.12.2020. Rozhodnutí o prodloužení platnosti SP nabylo právní moci 22.01.2021.</w:t>
            </w:r>
          </w:p>
          <w:p w14:paraId="5358DF1F" w14:textId="77777777" w:rsidR="00673FFA" w:rsidRPr="009418F2" w:rsidRDefault="00000000">
            <w:pPr>
              <w:pStyle w:val="TableParagraph"/>
              <w:spacing w:line="259" w:lineRule="auto"/>
              <w:ind w:left="324" w:right="631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Událost č.1 sama nemá vliv na prodloužení (její dořešení 22.1.2021 umožňovalo zahájení stavebních prací plánované na 27.1.21), pouze znemožňovala předstihové řešení události č.2</w:t>
            </w:r>
          </w:p>
          <w:p w14:paraId="1374803B" w14:textId="77777777" w:rsidR="00673FFA" w:rsidRPr="009418F2" w:rsidRDefault="00673FFA">
            <w:pPr>
              <w:pStyle w:val="TableParagraph"/>
              <w:spacing w:before="11"/>
              <w:rPr>
                <w:rFonts w:ascii="Times New Roman"/>
                <w:sz w:val="13"/>
                <w:lang w:val="cs-CZ"/>
              </w:rPr>
            </w:pPr>
          </w:p>
          <w:p w14:paraId="77681459" w14:textId="77777777" w:rsidR="00673FFA" w:rsidRPr="009418F2" w:rsidRDefault="00000000">
            <w:pPr>
              <w:pStyle w:val="TableParagraph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Událost č. 2 – předání staveniště</w:t>
            </w:r>
          </w:p>
          <w:p w14:paraId="6EE18E05" w14:textId="77777777" w:rsidR="00673FFA" w:rsidRPr="009418F2" w:rsidRDefault="00000000">
            <w:pPr>
              <w:pStyle w:val="TableParagraph"/>
              <w:spacing w:before="11" w:line="259" w:lineRule="auto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Po doručení rozhodnutí o prodloužení platnosti SP požádal Objednatel vlastníka ÚČOV (zastoupeného PVS) a provozovatele ÚČOV (zastoupeného PVK) o uzavření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Dohody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o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podmínkách</w:t>
            </w:r>
            <w:r w:rsidRPr="009418F2">
              <w:rPr>
                <w:spacing w:val="-8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a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organizaci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výstavby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na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základě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ustanovení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smlouvy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o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úpravě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mostních</w:t>
            </w:r>
            <w:r w:rsidRPr="009418F2">
              <w:rPr>
                <w:spacing w:val="-7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konstrukcí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a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zřízení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inženýrských</w:t>
            </w:r>
            <w:r w:rsidRPr="009418F2">
              <w:rPr>
                <w:spacing w:val="-8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sítí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z</w:t>
            </w:r>
            <w:r w:rsidRPr="009418F2">
              <w:rPr>
                <w:spacing w:val="-8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16.02.2018.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Tato dohoda mohla být uzavřena až 08.03.2021, což umožnilo předání staveniště až 17.03.2021, tj. nikoliv 12 týdnů po zahájení prací (04.11.2020), ale 19 týdnů po zahájení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prací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a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časový</w:t>
            </w:r>
            <w:r w:rsidRPr="009418F2">
              <w:rPr>
                <w:spacing w:val="-5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nárok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na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prodloužení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termínů</w:t>
            </w:r>
            <w:r w:rsidRPr="009418F2">
              <w:rPr>
                <w:spacing w:val="-6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prací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související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s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Událostmi</w:t>
            </w:r>
            <w:r w:rsidRPr="009418F2">
              <w:rPr>
                <w:spacing w:val="-2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č.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1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a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č.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2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činí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7</w:t>
            </w:r>
            <w:r w:rsidRPr="009418F2">
              <w:rPr>
                <w:spacing w:val="-3"/>
                <w:sz w:val="13"/>
                <w:lang w:val="cs-CZ"/>
              </w:rPr>
              <w:t xml:space="preserve"> </w:t>
            </w:r>
            <w:r w:rsidRPr="009418F2">
              <w:rPr>
                <w:sz w:val="13"/>
                <w:lang w:val="cs-CZ"/>
              </w:rPr>
              <w:t>týdnů.</w:t>
            </w:r>
          </w:p>
          <w:p w14:paraId="5E12410A" w14:textId="77777777" w:rsidR="00673FFA" w:rsidRPr="009418F2" w:rsidRDefault="00673FFA">
            <w:pPr>
              <w:pStyle w:val="TableParagraph"/>
              <w:spacing w:before="10"/>
              <w:rPr>
                <w:rFonts w:ascii="Times New Roman"/>
                <w:sz w:val="13"/>
                <w:lang w:val="cs-CZ"/>
              </w:rPr>
            </w:pPr>
          </w:p>
          <w:p w14:paraId="7D55F3C5" w14:textId="77777777" w:rsidR="00673FFA" w:rsidRPr="009418F2" w:rsidRDefault="00000000">
            <w:pPr>
              <w:pStyle w:val="TableParagraph"/>
              <w:spacing w:before="1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Událost č. 3 – změna provizoria</w:t>
            </w:r>
          </w:p>
          <w:p w14:paraId="6575D648" w14:textId="77777777" w:rsidR="00673FFA" w:rsidRPr="009418F2" w:rsidRDefault="00000000">
            <w:pPr>
              <w:pStyle w:val="TableParagraph"/>
              <w:spacing w:before="11" w:line="259" w:lineRule="auto"/>
              <w:ind w:left="324" w:right="14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S ohledem na požadavky a podmínky dotčených správců a provozovatelů v oblasti dočasného záboru stavby, či v jeho blízkosti a vzhledem k aktuální poloze stávajících sítí a stísněným poměrům pro vedení provizorní komunikace na pravém břehu zaslal zhotovitel správci stavby Oznámení budoucí události č. 001-CL- 005B ze dne 15.12.2020. Po projednání požadavků a připomínek s dotčenými správci a provozovateli bylo rozhodnuto o úpravě projektového řešení provizorních komunikací a provizorního přemostění plavebního kanálu (SO 910.1,2 a SO 910.3 vč. dotčených objektů).</w:t>
            </w:r>
          </w:p>
          <w:p w14:paraId="74AA82F6" w14:textId="77777777" w:rsidR="00673FFA" w:rsidRPr="009418F2" w:rsidRDefault="00000000">
            <w:pPr>
              <w:pStyle w:val="TableParagraph"/>
              <w:spacing w:line="149" w:lineRule="exact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Událost č.2 (jednání o předání staveniště od cca 27.1. do 17.3.21) a událost č.3 (povolování změny provizoria od cca 27.1. do 16.6.21) probíhali paralelně, pro</w:t>
            </w:r>
          </w:p>
          <w:p w14:paraId="4C6F0C68" w14:textId="70DB465A" w:rsidR="00673FFA" w:rsidRDefault="00000000">
            <w:pPr>
              <w:pStyle w:val="TableParagraph"/>
              <w:spacing w:before="11" w:line="127" w:lineRule="exact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prodloužení bereme tu delší, tedy 20 týdnů.</w:t>
            </w:r>
          </w:p>
          <w:p w14:paraId="2726F0F8" w14:textId="77777777" w:rsidR="009418F2" w:rsidRPr="009418F2" w:rsidRDefault="009418F2">
            <w:pPr>
              <w:pStyle w:val="TableParagraph"/>
              <w:spacing w:before="11" w:line="127" w:lineRule="exact"/>
              <w:ind w:left="324"/>
              <w:rPr>
                <w:sz w:val="13"/>
                <w:lang w:val="cs-CZ"/>
              </w:rPr>
            </w:pPr>
          </w:p>
          <w:p w14:paraId="5B3BC121" w14:textId="77777777" w:rsidR="00673FFA" w:rsidRPr="009418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127" w:lineRule="exact"/>
              <w:ind w:hanging="144"/>
              <w:rPr>
                <w:b/>
                <w:sz w:val="13"/>
                <w:lang w:val="cs-CZ"/>
              </w:rPr>
            </w:pPr>
            <w:r w:rsidRPr="009418F2">
              <w:rPr>
                <w:b/>
                <w:sz w:val="13"/>
                <w:lang w:val="cs-CZ"/>
              </w:rPr>
              <w:t>Události dle dohody o určení č.2 (Časový nárok č.</w:t>
            </w:r>
            <w:r w:rsidRPr="009418F2">
              <w:rPr>
                <w:b/>
                <w:spacing w:val="-23"/>
                <w:sz w:val="13"/>
                <w:lang w:val="cs-CZ"/>
              </w:rPr>
              <w:t xml:space="preserve"> </w:t>
            </w:r>
            <w:r w:rsidRPr="009418F2">
              <w:rPr>
                <w:b/>
                <w:sz w:val="13"/>
                <w:lang w:val="cs-CZ"/>
              </w:rPr>
              <w:t>2)</w:t>
            </w:r>
          </w:p>
          <w:p w14:paraId="553AE705" w14:textId="77777777" w:rsidR="00673FFA" w:rsidRPr="009418F2" w:rsidRDefault="00000000">
            <w:pPr>
              <w:pStyle w:val="TableParagraph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Událost č. 1 - SO 210 - Dodatečná sanace betonové části mostovky</w:t>
            </w:r>
          </w:p>
          <w:p w14:paraId="4FBD9151" w14:textId="77777777" w:rsidR="00673FFA" w:rsidRPr="009418F2" w:rsidRDefault="00000000">
            <w:pPr>
              <w:pStyle w:val="TableParagraph"/>
              <w:spacing w:before="11" w:line="259" w:lineRule="auto"/>
              <w:ind w:left="324" w:right="35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Stávající stav konstrukce betonové mostovky byl v důsledku podstatně horší, než uváděli výchozí průzkumy – viz Oznámení claimu č. 11 ze dne 21.12.2021 - Kaverny NK SO 210 a Pokyn správce stavby č. 06 ze dne 28.12.2021 k provedení Sanace kaveren žlb. mostovky.</w:t>
            </w:r>
          </w:p>
          <w:p w14:paraId="367CBCD9" w14:textId="77777777" w:rsidR="00673FFA" w:rsidRPr="009418F2" w:rsidRDefault="00673FFA">
            <w:pPr>
              <w:pStyle w:val="TableParagraph"/>
              <w:spacing w:before="10"/>
              <w:rPr>
                <w:rFonts w:ascii="Times New Roman"/>
                <w:sz w:val="13"/>
                <w:lang w:val="cs-CZ"/>
              </w:rPr>
            </w:pPr>
          </w:p>
          <w:p w14:paraId="6A65A44D" w14:textId="77777777" w:rsidR="00673FFA" w:rsidRPr="009418F2" w:rsidRDefault="00000000">
            <w:pPr>
              <w:pStyle w:val="TableParagraph"/>
              <w:spacing w:before="1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Událost č. 2 - Nutnost časové a prostorové koordinace s ostatními stavbami v území</w:t>
            </w:r>
          </w:p>
          <w:p w14:paraId="585D0526" w14:textId="77777777" w:rsidR="00673FFA" w:rsidRPr="009418F2" w:rsidRDefault="00000000">
            <w:pPr>
              <w:pStyle w:val="TableParagraph"/>
              <w:spacing w:before="11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Nutnost časové a prostorové koordinace s ostatními stavbami v území – Požadavky na chráničky pro stavbu OI HMP "Labyrint" (úprava projektu)</w:t>
            </w:r>
          </w:p>
          <w:p w14:paraId="039B6138" w14:textId="77777777" w:rsidR="00673FFA" w:rsidRPr="009418F2" w:rsidRDefault="00673FFA">
            <w:pPr>
              <w:pStyle w:val="TableParagraph"/>
              <w:spacing w:before="11"/>
              <w:rPr>
                <w:rFonts w:ascii="Times New Roman"/>
                <w:sz w:val="14"/>
                <w:lang w:val="cs-CZ"/>
              </w:rPr>
            </w:pPr>
          </w:p>
          <w:p w14:paraId="7AED4FB9" w14:textId="77777777" w:rsidR="00673FFA" w:rsidRPr="009418F2" w:rsidRDefault="00000000">
            <w:pPr>
              <w:pStyle w:val="TableParagraph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Událost č. 3 - Covid 19</w:t>
            </w:r>
          </w:p>
          <w:p w14:paraId="7D1856C0" w14:textId="77777777" w:rsidR="00673FFA" w:rsidRPr="009418F2" w:rsidRDefault="00000000">
            <w:pPr>
              <w:pStyle w:val="TableParagraph"/>
              <w:spacing w:before="11" w:line="259" w:lineRule="auto"/>
              <w:ind w:left="324" w:right="292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Výpadky pracovníků zhotovitele v důsledku pandemického šíření onemocnění COVID-19 - viz Oznámení claimu č. 5 ze dne 7.2.2022. Náklady spojené s tímto nebyly kryty paušalizovanou kompenzací.</w:t>
            </w:r>
          </w:p>
          <w:p w14:paraId="29C50F58" w14:textId="77777777" w:rsidR="00673FFA" w:rsidRPr="009418F2" w:rsidRDefault="00000000">
            <w:pPr>
              <w:pStyle w:val="TableParagraph"/>
              <w:spacing w:line="149" w:lineRule="exact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Vzhledem k existenci Události č. 1 - 3 má zhotovitel časový nárok na prodloužení</w:t>
            </w:r>
          </w:p>
          <w:p w14:paraId="07EA65BC" w14:textId="77777777" w:rsidR="00673FFA" w:rsidRPr="009418F2" w:rsidRDefault="00000000">
            <w:pPr>
              <w:pStyle w:val="TableParagraph"/>
              <w:spacing w:before="11" w:line="259" w:lineRule="auto"/>
              <w:ind w:left="324" w:right="3468"/>
              <w:rPr>
                <w:rFonts w:ascii="Microsoft Sans Serif" w:hAnsi="Microsoft Sans Serif"/>
                <w:sz w:val="11"/>
                <w:lang w:val="cs-CZ"/>
              </w:rPr>
            </w:pPr>
            <w:r w:rsidRPr="009418F2">
              <w:rPr>
                <w:sz w:val="13"/>
                <w:lang w:val="cs-CZ"/>
              </w:rPr>
              <w:t xml:space="preserve">(i)Doby pro uvedení stavby do provozu dle Pod-článku 1.1.3.10 Smluvních podmínek o 17 týdnů (ii)Doby pro dokončení Díla dle Pod-článku 1.1.3.3 Smluvních podmínek o 17 týdnů </w:t>
            </w:r>
            <w:r w:rsidRPr="009418F2">
              <w:rPr>
                <w:rFonts w:ascii="Microsoft Sans Serif" w:hAnsi="Microsoft Sans Serif"/>
                <w:w w:val="107"/>
                <w:sz w:val="11"/>
                <w:lang w:val="cs-CZ"/>
              </w:rPr>
              <w:t xml:space="preserve"> </w:t>
            </w:r>
          </w:p>
          <w:p w14:paraId="72B04A9A" w14:textId="69DC21BB" w:rsidR="009418F2" w:rsidRPr="009418F2" w:rsidRDefault="00000000" w:rsidP="009418F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4"/>
              <w:ind w:hanging="144"/>
              <w:rPr>
                <w:b/>
                <w:sz w:val="13"/>
                <w:lang w:val="cs-CZ"/>
              </w:rPr>
            </w:pPr>
            <w:r w:rsidRPr="009418F2">
              <w:rPr>
                <w:b/>
                <w:sz w:val="13"/>
                <w:lang w:val="cs-CZ"/>
              </w:rPr>
              <w:t>Události dle dohody o určení č.3 (Časový nárok č.</w:t>
            </w:r>
            <w:r w:rsidRPr="009418F2">
              <w:rPr>
                <w:b/>
                <w:spacing w:val="-23"/>
                <w:sz w:val="13"/>
                <w:lang w:val="cs-CZ"/>
              </w:rPr>
              <w:t xml:space="preserve"> </w:t>
            </w:r>
            <w:r w:rsidRPr="009418F2">
              <w:rPr>
                <w:b/>
                <w:sz w:val="13"/>
                <w:lang w:val="cs-CZ"/>
              </w:rPr>
              <w:t>3)</w:t>
            </w:r>
          </w:p>
          <w:p w14:paraId="27CEF814" w14:textId="77777777" w:rsidR="00673FFA" w:rsidRPr="009418F2" w:rsidRDefault="00000000">
            <w:pPr>
              <w:pStyle w:val="TableParagraph"/>
              <w:spacing w:before="13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Událost č. 1 – posunutí původního termínu výsunu provizorního mostu SO 910.3 ze strany SPS (demontáž)</w:t>
            </w:r>
          </w:p>
          <w:p w14:paraId="4A0FE531" w14:textId="77777777" w:rsidR="00673FFA" w:rsidRPr="009418F2" w:rsidRDefault="00000000">
            <w:pPr>
              <w:pStyle w:val="TableParagraph"/>
              <w:spacing w:before="11" w:line="259" w:lineRule="auto"/>
              <w:ind w:left="324" w:right="46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Z důvodu požadavku Statní plavební správy došlo k posunutí původního termínu výsunu provizorního mostu SO 910.3 dle harmonogramu prací HMG V20 k dohodě o určení č. 2, tj. ode dne 7.10.2022 o 14 dní později, tedy od 21.10.2022, s ohledem na zabezpečení plavebního provozu s minimálním omezením – s ohledem na odstávku na Vraňansko-hořínském kanále, která bude prováděna Povodím Vltavy v termínu od 17. 10. 2022 na dobu tří týdnů. Dne 22.9.2022 Státní plavební správa na základě žádosti ŘVC rozhodla o zastavení plavby v plavebním kanále Trója – Podbaba v úseku k. km 0,60 – 2,00 od 21.10.2022 od 7:00 hodin do 28.10.2022 do 17:00 hodin z důvodu provedení výsunu (demontáže) provizorního mostu SO 910.3.</w:t>
            </w:r>
          </w:p>
          <w:p w14:paraId="5ED85F0B" w14:textId="77777777" w:rsidR="00673FFA" w:rsidRPr="009418F2" w:rsidRDefault="00000000">
            <w:pPr>
              <w:pStyle w:val="TableParagraph"/>
              <w:spacing w:line="259" w:lineRule="auto"/>
              <w:ind w:left="324" w:right="458" w:firstLine="36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Původně navržený termín v rámci projednání byl Státní plavební správou posunut do termínu plánovaných odstávek na vltavské vodní cestě, s ohledem na zabezpečení plavebního provozu s minimálním omezením.</w:t>
            </w:r>
          </w:p>
          <w:p w14:paraId="2DC30576" w14:textId="42709706" w:rsidR="00673FFA" w:rsidRPr="009418F2" w:rsidRDefault="00000000">
            <w:pPr>
              <w:pStyle w:val="TableParagraph"/>
              <w:spacing w:line="259" w:lineRule="auto"/>
              <w:ind w:left="324" w:right="169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Teprve pro ukončení výsunu provizorního mostu SO 910.3. a vytažení štětovnic na levém i pravém břehu kanálu bude možné opravit opevnění kanálu pod silničním mostem SO 210, dokončit terénní úpravy stavby 005B a následně provést potápěč</w:t>
            </w:r>
            <w:r w:rsidR="009418F2">
              <w:rPr>
                <w:sz w:val="13"/>
                <w:lang w:val="cs-CZ"/>
              </w:rPr>
              <w:t>s</w:t>
            </w:r>
            <w:r w:rsidRPr="009418F2">
              <w:rPr>
                <w:sz w:val="13"/>
                <w:lang w:val="cs-CZ"/>
              </w:rPr>
              <w:t>ké práce a zaměření hloubky dna plavebního kanálu. což si Zajištění kapacit pot</w:t>
            </w:r>
            <w:r w:rsidR="009418F2">
              <w:rPr>
                <w:sz w:val="13"/>
                <w:lang w:val="cs-CZ"/>
              </w:rPr>
              <w:t>á</w:t>
            </w:r>
            <w:r w:rsidRPr="009418F2">
              <w:rPr>
                <w:sz w:val="13"/>
                <w:lang w:val="cs-CZ"/>
              </w:rPr>
              <w:t>pěčů v novém termínu si vyžádalo s ohledem na jejich vytížení posun o dalších 14dní.</w:t>
            </w:r>
          </w:p>
          <w:p w14:paraId="2DB538E4" w14:textId="77777777" w:rsidR="00673FFA" w:rsidRPr="009418F2" w:rsidRDefault="00000000">
            <w:pPr>
              <w:pStyle w:val="TableParagraph"/>
              <w:spacing w:line="149" w:lineRule="exact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Vzhledem k existenci Události č. 1 má zhotovitel časový nárok na prodloužení obou staveb</w:t>
            </w:r>
          </w:p>
          <w:p w14:paraId="4BDA6365" w14:textId="65998DAC" w:rsidR="00673FFA" w:rsidRDefault="00000000">
            <w:pPr>
              <w:pStyle w:val="TableParagraph"/>
              <w:spacing w:before="11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(i)</w:t>
            </w:r>
            <w:r w:rsidR="008C4853">
              <w:t xml:space="preserve"> </w:t>
            </w:r>
            <w:r w:rsidR="008C4853" w:rsidRPr="008C4853">
              <w:rPr>
                <w:sz w:val="13"/>
                <w:lang w:val="cs-CZ"/>
              </w:rPr>
              <w:t>Doby pro dokončení Díla u obou staveb dle Pod-článku 1.1.3.3 Smluvních podmínek o 4 týdny</w:t>
            </w:r>
          </w:p>
          <w:p w14:paraId="66AFF48F" w14:textId="77777777" w:rsidR="00383342" w:rsidRDefault="00383342">
            <w:pPr>
              <w:pStyle w:val="TableParagraph"/>
              <w:spacing w:before="11"/>
              <w:ind w:left="324"/>
              <w:rPr>
                <w:sz w:val="13"/>
                <w:lang w:val="cs-CZ"/>
              </w:rPr>
            </w:pPr>
          </w:p>
          <w:p w14:paraId="414B4533" w14:textId="77777777" w:rsidR="009418F2" w:rsidRDefault="009418F2">
            <w:pPr>
              <w:pStyle w:val="TableParagraph"/>
              <w:spacing w:before="11"/>
              <w:ind w:left="324"/>
              <w:rPr>
                <w:sz w:val="13"/>
                <w:lang w:val="cs-CZ"/>
              </w:rPr>
            </w:pPr>
          </w:p>
          <w:p w14:paraId="1C543F13" w14:textId="1423ED17" w:rsidR="009418F2" w:rsidRPr="009418F2" w:rsidRDefault="009418F2">
            <w:pPr>
              <w:pStyle w:val="TableParagraph"/>
              <w:spacing w:before="11"/>
              <w:ind w:left="324"/>
              <w:rPr>
                <w:sz w:val="13"/>
                <w:lang w:val="cs-CZ"/>
              </w:rPr>
            </w:pPr>
          </w:p>
        </w:tc>
      </w:tr>
    </w:tbl>
    <w:p w14:paraId="306B2B53" w14:textId="77777777" w:rsidR="00673FFA" w:rsidRPr="009418F2" w:rsidRDefault="00000000">
      <w:pPr>
        <w:rPr>
          <w:sz w:val="2"/>
          <w:szCs w:val="2"/>
          <w:lang w:val="cs-CZ"/>
        </w:rPr>
      </w:pPr>
      <w:r>
        <w:rPr>
          <w:lang w:val="cs-CZ"/>
        </w:rPr>
        <w:pict w14:anchorId="050298FF">
          <v:group id="_x0000_s1032" style="position:absolute;margin-left:65.6pt;margin-top:310.3pt;width:470.95pt;height:431.45pt;z-index:-11056;mso-position-horizontal-relative:page;mso-position-vertical-relative:page" coordorigin="1312,6206" coordsize="9419,8629">
            <v:line id="_x0000_s1036" style="position:absolute" from="1322,6216" to="1322,14825" strokeweight=".96pt"/>
            <v:line id="_x0000_s1035" style="position:absolute" from="10711,6235" to="10711,14825" strokeweight=".96pt"/>
            <v:line id="_x0000_s1034" style="position:absolute" from="1332,6226" to="10721,6226" strokeweight=".96pt"/>
            <v:line id="_x0000_s1033" style="position:absolute" from="1332,14815" to="10721,14815" strokeweight=".96pt"/>
            <w10:wrap anchorx="page" anchory="page"/>
          </v:group>
        </w:pict>
      </w:r>
    </w:p>
    <w:p w14:paraId="1A69E2DA" w14:textId="77777777" w:rsidR="00673FFA" w:rsidRPr="009418F2" w:rsidRDefault="00673FFA">
      <w:pPr>
        <w:rPr>
          <w:sz w:val="2"/>
          <w:szCs w:val="2"/>
          <w:lang w:val="cs-CZ"/>
        </w:rPr>
        <w:sectPr w:rsidR="00673FFA" w:rsidRPr="009418F2">
          <w:type w:val="continuous"/>
          <w:pgSz w:w="11910" w:h="16840"/>
          <w:pgMar w:top="1220" w:right="1000" w:bottom="280" w:left="900" w:header="708" w:footer="708" w:gutter="0"/>
          <w:cols w:space="708"/>
        </w:sectPr>
      </w:pPr>
    </w:p>
    <w:p w14:paraId="6B30748C" w14:textId="77777777" w:rsidR="00673FFA" w:rsidRPr="009418F2" w:rsidRDefault="00000000">
      <w:pPr>
        <w:spacing w:before="4"/>
        <w:rPr>
          <w:rFonts w:ascii="Times New Roman"/>
          <w:sz w:val="2"/>
          <w:lang w:val="cs-CZ"/>
        </w:rPr>
      </w:pPr>
      <w:r>
        <w:rPr>
          <w:lang w:val="cs-CZ"/>
        </w:rPr>
        <w:lastRenderedPageBreak/>
        <w:pict w14:anchorId="4FB41214">
          <v:group id="_x0000_s1027" style="position:absolute;margin-left:65.6pt;margin-top:53.25pt;width:470.95pt;height:119.7pt;z-index:-11032;mso-position-horizontal-relative:page;mso-position-vertical-relative:page" coordorigin="1312,1065" coordsize="9419,2394">
            <v:line id="_x0000_s1031" style="position:absolute" from="10711,1094" to="10711,3449" strokeweight=".96pt"/>
            <v:line id="_x0000_s1030" style="position:absolute" from="1322,1075" to="1322,3449" strokeweight=".96pt"/>
            <v:line id="_x0000_s1029" style="position:absolute" from="1332,1085" to="10721,1085" strokeweight=".96pt"/>
            <v:line id="_x0000_s1028" style="position:absolute" from="1332,3439" to="10721,3439" strokeweight=".96pt"/>
            <w10:wrap anchorx="page" anchory="page"/>
          </v:group>
        </w:pict>
      </w:r>
      <w:r>
        <w:rPr>
          <w:lang w:val="cs-CZ"/>
        </w:rPr>
        <w:pict w14:anchorId="4A265FE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9pt;margin-top:179.65pt;width:321.6pt;height:73pt;z-index:1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8"/>
                    <w:gridCol w:w="1870"/>
                    <w:gridCol w:w="1836"/>
                  </w:tblGrid>
                  <w:tr w:rsidR="00673FFA" w:rsidRPr="00004F6F" w14:paraId="41DA4C06" w14:textId="77777777">
                    <w:trPr>
                      <w:trHeight w:hRule="exact" w:val="480"/>
                    </w:trPr>
                    <w:tc>
                      <w:tcPr>
                        <w:tcW w:w="2698" w:type="dxa"/>
                      </w:tcPr>
                      <w:p w14:paraId="3D393A0B" w14:textId="77777777" w:rsidR="00673FFA" w:rsidRPr="00004F6F" w:rsidRDefault="00673FFA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  <w:lang w:val="cs-CZ"/>
                          </w:rPr>
                        </w:pPr>
                      </w:p>
                      <w:p w14:paraId="577482C6" w14:textId="77777777" w:rsidR="00673FFA" w:rsidRPr="00004F6F" w:rsidRDefault="00000000">
                        <w:pPr>
                          <w:pStyle w:val="TableParagraph"/>
                          <w:ind w:left="322" w:right="322"/>
                          <w:jc w:val="center"/>
                          <w:rPr>
                            <w:sz w:val="12"/>
                            <w:lang w:val="cs-CZ"/>
                          </w:rPr>
                        </w:pPr>
                        <w:r w:rsidRPr="00004F6F">
                          <w:rPr>
                            <w:sz w:val="12"/>
                            <w:lang w:val="cs-CZ"/>
                          </w:rPr>
                          <w:t>Cena navrhovaných Změn záporných</w:t>
                        </w:r>
                      </w:p>
                    </w:tc>
                    <w:tc>
                      <w:tcPr>
                        <w:tcW w:w="1870" w:type="dxa"/>
                      </w:tcPr>
                      <w:p w14:paraId="2BC9CA69" w14:textId="77777777" w:rsidR="00673FFA" w:rsidRPr="00004F6F" w:rsidRDefault="00000000">
                        <w:pPr>
                          <w:pStyle w:val="TableParagraph"/>
                          <w:spacing w:before="82" w:line="264" w:lineRule="auto"/>
                          <w:ind w:left="689" w:right="218" w:hanging="485"/>
                          <w:rPr>
                            <w:sz w:val="12"/>
                            <w:lang w:val="cs-CZ"/>
                          </w:rPr>
                        </w:pPr>
                        <w:r w:rsidRPr="00004F6F">
                          <w:rPr>
                            <w:sz w:val="12"/>
                            <w:lang w:val="cs-CZ"/>
                          </w:rPr>
                          <w:t>Cena navrhovaných Změn kladných</w:t>
                        </w:r>
                      </w:p>
                    </w:tc>
                    <w:tc>
                      <w:tcPr>
                        <w:tcW w:w="1836" w:type="dxa"/>
                      </w:tcPr>
                      <w:p w14:paraId="7766E7DF" w14:textId="77777777" w:rsidR="00673FFA" w:rsidRPr="00004F6F" w:rsidRDefault="00000000">
                        <w:pPr>
                          <w:pStyle w:val="TableParagraph"/>
                          <w:spacing w:before="5" w:line="264" w:lineRule="auto"/>
                          <w:ind w:left="139" w:right="168"/>
                          <w:jc w:val="center"/>
                          <w:rPr>
                            <w:sz w:val="12"/>
                            <w:lang w:val="cs-CZ"/>
                          </w:rPr>
                        </w:pPr>
                        <w:r w:rsidRPr="00004F6F">
                          <w:rPr>
                            <w:sz w:val="12"/>
                            <w:lang w:val="cs-CZ"/>
                          </w:rPr>
                          <w:t>Cena navrhovaných Změn záporných a Změn kladných celkem</w:t>
                        </w:r>
                      </w:p>
                    </w:tc>
                  </w:tr>
                  <w:tr w:rsidR="00673FFA" w:rsidRPr="00004F6F" w14:paraId="33F6CA45" w14:textId="77777777">
                    <w:trPr>
                      <w:trHeight w:hRule="exact" w:val="480"/>
                    </w:trPr>
                    <w:tc>
                      <w:tcPr>
                        <w:tcW w:w="2698" w:type="dxa"/>
                      </w:tcPr>
                      <w:p w14:paraId="6EA35F50" w14:textId="77777777" w:rsidR="00673FFA" w:rsidRPr="00004F6F" w:rsidRDefault="00673FFA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  <w:lang w:val="cs-CZ"/>
                          </w:rPr>
                        </w:pPr>
                      </w:p>
                      <w:p w14:paraId="0C8C77CD" w14:textId="77777777" w:rsidR="00673FFA" w:rsidRPr="00004F6F" w:rsidRDefault="00000000">
                        <w:pPr>
                          <w:pStyle w:val="TableParagraph"/>
                          <w:ind w:left="322" w:right="322"/>
                          <w:jc w:val="center"/>
                          <w:rPr>
                            <w:b/>
                            <w:sz w:val="12"/>
                            <w:lang w:val="cs-CZ"/>
                          </w:rPr>
                        </w:pPr>
                        <w:r w:rsidRPr="00004F6F">
                          <w:rPr>
                            <w:b/>
                            <w:sz w:val="12"/>
                            <w:lang w:val="cs-CZ"/>
                          </w:rPr>
                          <w:t>0,00 Kč</w:t>
                        </w:r>
                      </w:p>
                    </w:tc>
                    <w:tc>
                      <w:tcPr>
                        <w:tcW w:w="1870" w:type="dxa"/>
                      </w:tcPr>
                      <w:p w14:paraId="03DCB125" w14:textId="77777777" w:rsidR="00673FFA" w:rsidRPr="00004F6F" w:rsidRDefault="00673FFA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  <w:lang w:val="cs-CZ"/>
                          </w:rPr>
                        </w:pPr>
                      </w:p>
                      <w:p w14:paraId="4484785C" w14:textId="77777777" w:rsidR="00673FFA" w:rsidRPr="00004F6F" w:rsidRDefault="00000000">
                        <w:pPr>
                          <w:pStyle w:val="TableParagraph"/>
                          <w:ind w:left="238" w:right="236"/>
                          <w:jc w:val="center"/>
                          <w:rPr>
                            <w:b/>
                            <w:sz w:val="12"/>
                            <w:lang w:val="cs-CZ"/>
                          </w:rPr>
                        </w:pPr>
                        <w:r w:rsidRPr="00004F6F">
                          <w:rPr>
                            <w:b/>
                            <w:sz w:val="12"/>
                            <w:lang w:val="cs-CZ"/>
                          </w:rPr>
                          <w:t>7 629 314,56 Kč</w:t>
                        </w:r>
                      </w:p>
                    </w:tc>
                    <w:tc>
                      <w:tcPr>
                        <w:tcW w:w="1836" w:type="dxa"/>
                      </w:tcPr>
                      <w:p w14:paraId="290A49CC" w14:textId="77777777" w:rsidR="00673FFA" w:rsidRPr="00004F6F" w:rsidRDefault="00673FFA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  <w:lang w:val="cs-CZ"/>
                          </w:rPr>
                        </w:pPr>
                      </w:p>
                      <w:p w14:paraId="0ABDF1ED" w14:textId="77777777" w:rsidR="00673FFA" w:rsidRPr="00004F6F" w:rsidRDefault="00000000">
                        <w:pPr>
                          <w:pStyle w:val="TableParagraph"/>
                          <w:ind w:left="463"/>
                          <w:rPr>
                            <w:b/>
                            <w:sz w:val="12"/>
                            <w:lang w:val="cs-CZ"/>
                          </w:rPr>
                        </w:pPr>
                        <w:r w:rsidRPr="00004F6F">
                          <w:rPr>
                            <w:b/>
                            <w:sz w:val="12"/>
                            <w:lang w:val="cs-CZ"/>
                          </w:rPr>
                          <w:t>7 629 314,56 Kč</w:t>
                        </w:r>
                      </w:p>
                    </w:tc>
                  </w:tr>
                  <w:tr w:rsidR="00673FFA" w:rsidRPr="00004F6F" w14:paraId="1E71C1FD" w14:textId="77777777">
                    <w:trPr>
                      <w:trHeight w:hRule="exact" w:val="480"/>
                    </w:trPr>
                    <w:tc>
                      <w:tcPr>
                        <w:tcW w:w="2698" w:type="dxa"/>
                      </w:tcPr>
                      <w:p w14:paraId="1DBA833F" w14:textId="77777777" w:rsidR="00673FFA" w:rsidRPr="00004F6F" w:rsidRDefault="00000000">
                        <w:pPr>
                          <w:pStyle w:val="TableParagraph"/>
                          <w:spacing w:before="82" w:line="264" w:lineRule="auto"/>
                          <w:ind w:left="1125" w:right="128" w:hanging="1023"/>
                          <w:rPr>
                            <w:sz w:val="12"/>
                            <w:lang w:val="cs-CZ"/>
                          </w:rPr>
                        </w:pPr>
                        <w:r w:rsidRPr="00004F6F">
                          <w:rPr>
                            <w:sz w:val="12"/>
                            <w:lang w:val="cs-CZ"/>
                          </w:rPr>
                          <w:t>Časový vliv na termín dokončení / uvedení do provozu</w:t>
                        </w:r>
                      </w:p>
                    </w:tc>
                    <w:tc>
                      <w:tcPr>
                        <w:tcW w:w="1870" w:type="dxa"/>
                      </w:tcPr>
                      <w:p w14:paraId="1749DAFC" w14:textId="77777777" w:rsidR="00673FFA" w:rsidRPr="00004F6F" w:rsidRDefault="00673FFA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  <w:lang w:val="cs-CZ"/>
                          </w:rPr>
                        </w:pPr>
                      </w:p>
                      <w:p w14:paraId="0762B9E3" w14:textId="77777777" w:rsidR="00673FFA" w:rsidRPr="00004F6F" w:rsidRDefault="00000000">
                        <w:pPr>
                          <w:pStyle w:val="TableParagraph"/>
                          <w:ind w:left="238" w:right="238"/>
                          <w:jc w:val="center"/>
                          <w:rPr>
                            <w:b/>
                            <w:sz w:val="12"/>
                            <w:lang w:val="cs-CZ"/>
                          </w:rPr>
                        </w:pPr>
                        <w:r w:rsidRPr="00004F6F">
                          <w:rPr>
                            <w:b/>
                            <w:sz w:val="12"/>
                            <w:lang w:val="cs-CZ"/>
                          </w:rPr>
                          <w:t>řešen v Dohodě č. 1,2,3</w:t>
                        </w:r>
                      </w:p>
                    </w:tc>
                    <w:tc>
                      <w:tcPr>
                        <w:tcW w:w="1836" w:type="dxa"/>
                      </w:tcPr>
                      <w:p w14:paraId="7181DFC0" w14:textId="77777777" w:rsidR="00673FFA" w:rsidRPr="00004F6F" w:rsidRDefault="00673FFA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</w:tbl>
                <w:p w14:paraId="0D2BB67E" w14:textId="77777777" w:rsidR="00673FFA" w:rsidRPr="00004F6F" w:rsidRDefault="00673FFA">
                  <w:pPr>
                    <w:rPr>
                      <w:lang w:val="cs-CZ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986"/>
        <w:gridCol w:w="1606"/>
        <w:gridCol w:w="430"/>
        <w:gridCol w:w="1186"/>
        <w:gridCol w:w="540"/>
        <w:gridCol w:w="2712"/>
      </w:tblGrid>
      <w:tr w:rsidR="00673FFA" w:rsidRPr="009418F2" w14:paraId="7076A53F" w14:textId="77777777">
        <w:trPr>
          <w:trHeight w:hRule="exact" w:val="4121"/>
        </w:trPr>
        <w:tc>
          <w:tcPr>
            <w:tcW w:w="9768" w:type="dxa"/>
            <w:gridSpan w:val="7"/>
            <w:tcBorders>
              <w:top w:val="nil"/>
            </w:tcBorders>
          </w:tcPr>
          <w:p w14:paraId="4E984BD1" w14:textId="77777777" w:rsidR="009418F2" w:rsidRDefault="009418F2">
            <w:pPr>
              <w:pStyle w:val="TableParagraph"/>
              <w:spacing w:before="5" w:line="259" w:lineRule="auto"/>
              <w:ind w:left="324" w:right="80"/>
              <w:rPr>
                <w:sz w:val="13"/>
                <w:lang w:val="cs-CZ"/>
              </w:rPr>
            </w:pPr>
          </w:p>
          <w:p w14:paraId="3CF41745" w14:textId="5FBD2EEB" w:rsidR="00673FFA" w:rsidRPr="009418F2" w:rsidRDefault="00000000">
            <w:pPr>
              <w:pStyle w:val="TableParagraph"/>
              <w:spacing w:before="5" w:line="259" w:lineRule="auto"/>
              <w:ind w:left="324" w:right="8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Dle výše uvedených dohod a událostí oznámil Zhotovitel Správci stavby, že nebylo ze strany Zhotovitele možné ani při vynaložení řádné a odborné péče jakkoli ovlivnit či přizpůsobit načasování provádění Díla. Současně Zhotovitel tuto okolnost označil v souladu s Pod-čl. 20.1 OP/ZP (dále analogicky s Pod-čl. 2.1 a 8.5 OP/ZP) za události, které mohou vyvolat jeho nárok na prodloužení Doby pro dokončení a na dodatečnou platbu (to vše dále jen „Událost“ nebo "Časový nárok č. 1,2,3"). V návaznosti na zmíněné rovněž Zhotovitel předložil v souladu s Pod-čl. 8.3 OP/ZP řádně aktualizovaný harmonogram, ze kterého v</w:t>
            </w:r>
            <w:r w:rsidR="00A47900">
              <w:rPr>
                <w:sz w:val="13"/>
                <w:lang w:val="cs-CZ"/>
              </w:rPr>
              <w:t>y</w:t>
            </w:r>
            <w:r w:rsidRPr="009418F2">
              <w:rPr>
                <w:sz w:val="13"/>
                <w:lang w:val="cs-CZ"/>
              </w:rPr>
              <w:t>plývá dopad Události na Dobu pro dokončení.</w:t>
            </w:r>
          </w:p>
          <w:p w14:paraId="7B2D8802" w14:textId="77777777" w:rsidR="00673FFA" w:rsidRPr="009418F2" w:rsidRDefault="00000000">
            <w:pPr>
              <w:pStyle w:val="TableParagraph"/>
              <w:spacing w:line="259" w:lineRule="auto"/>
              <w:ind w:left="324" w:right="176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Zhotovitel vyčíslil svůj nárok na prodloužení Doby pro dokončení stanovené v Dohody o určení č.1, 2 a 3 (celkové prodloužení Doby pro dokončení Díla – stavby 005B ve smyslu Pod-článku 1.1.3.3 Smluvních podmínek o 41 týdnů a celkové prodloužení Doby pro uvedení stavby 005B do provozu ve smyslu Pod-článku</w:t>
            </w:r>
          </w:p>
          <w:p w14:paraId="1CC79BAE" w14:textId="52673FEF" w:rsidR="00673FFA" w:rsidRPr="009418F2" w:rsidRDefault="00000000">
            <w:pPr>
              <w:pStyle w:val="TableParagraph"/>
              <w:spacing w:line="149" w:lineRule="exact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 xml:space="preserve">1.1.3.10 Smluvních podmínek o 37 týdnů), což bylo </w:t>
            </w:r>
            <w:r w:rsidR="00A47900">
              <w:rPr>
                <w:sz w:val="13"/>
                <w:lang w:val="cs-CZ"/>
              </w:rPr>
              <w:t>vypořádáno</w:t>
            </w:r>
            <w:r w:rsidRPr="009418F2">
              <w:rPr>
                <w:sz w:val="13"/>
                <w:lang w:val="cs-CZ"/>
              </w:rPr>
              <w:t xml:space="preserve"> Dohodou o změně závazku č. 1,2 a 3.</w:t>
            </w:r>
          </w:p>
          <w:p w14:paraId="30AC2BDE" w14:textId="48B20B63" w:rsidR="00673FFA" w:rsidRPr="009418F2" w:rsidRDefault="00000000">
            <w:pPr>
              <w:pStyle w:val="TableParagraph"/>
              <w:spacing w:before="11" w:line="259" w:lineRule="auto"/>
              <w:ind w:left="32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 xml:space="preserve">V souvislosti s výše uvedenými Událostmi a jimi </w:t>
            </w:r>
            <w:r w:rsidR="00A47900">
              <w:rPr>
                <w:sz w:val="13"/>
                <w:lang w:val="cs-CZ"/>
              </w:rPr>
              <w:t>vyvolaným</w:t>
            </w:r>
            <w:r w:rsidRPr="009418F2">
              <w:rPr>
                <w:sz w:val="13"/>
                <w:lang w:val="cs-CZ"/>
              </w:rPr>
              <w:t xml:space="preserve"> prodloužením Doby pro dokončení Zhotovitel po Objednateli nárokuje dodatečnou platbu vyčíslenou v Oznámení Závěrečného claimu ze dne 13.12.2022, jež je přílohou této dohody.</w:t>
            </w:r>
          </w:p>
          <w:p w14:paraId="581BAC54" w14:textId="77777777" w:rsidR="00673FFA" w:rsidRPr="009418F2" w:rsidRDefault="00000000">
            <w:pPr>
              <w:pStyle w:val="TableParagraph"/>
              <w:spacing w:line="259" w:lineRule="auto"/>
              <w:ind w:left="324" w:right="212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Smluvní strany se v souladu s Pod-čl. 3.5 OP/ZP dohodly, že zhotovitel na výše uvedenou dodatečnou platbu specifikovanou v přílohách této dohody má nárok. Smluvní strany jsou rovněž ve společném konsensu, že smluvní riziko vyplývá z Pod-čl. 2.1 OP/ZP.</w:t>
            </w:r>
          </w:p>
          <w:p w14:paraId="38AEF3B3" w14:textId="77777777" w:rsidR="00673FFA" w:rsidRPr="009418F2" w:rsidRDefault="00673FFA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2AC7E40F" w14:textId="77777777" w:rsidR="00673FFA" w:rsidRPr="009418F2" w:rsidRDefault="00673FFA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  <w:p w14:paraId="5184D89B" w14:textId="77777777" w:rsidR="00673FFA" w:rsidRPr="009418F2" w:rsidRDefault="00000000">
            <w:pPr>
              <w:pStyle w:val="TableParagraph"/>
              <w:tabs>
                <w:tab w:val="left" w:pos="2702"/>
              </w:tabs>
              <w:spacing w:before="109"/>
              <w:ind w:right="405"/>
              <w:jc w:val="center"/>
              <w:rPr>
                <w:sz w:val="12"/>
                <w:lang w:val="cs-CZ"/>
              </w:rPr>
            </w:pPr>
            <w:r w:rsidRPr="009418F2">
              <w:rPr>
                <w:w w:val="110"/>
                <w:position w:val="2"/>
                <w:sz w:val="8"/>
                <w:lang w:val="cs-CZ"/>
              </w:rPr>
              <w:t>Údaje v Kč</w:t>
            </w:r>
            <w:r w:rsidRPr="009418F2">
              <w:rPr>
                <w:spacing w:val="-11"/>
                <w:w w:val="110"/>
                <w:position w:val="2"/>
                <w:sz w:val="8"/>
                <w:lang w:val="cs-CZ"/>
              </w:rPr>
              <w:t xml:space="preserve"> </w:t>
            </w:r>
            <w:r w:rsidRPr="009418F2">
              <w:rPr>
                <w:w w:val="110"/>
                <w:position w:val="2"/>
                <w:sz w:val="8"/>
                <w:lang w:val="cs-CZ"/>
              </w:rPr>
              <w:t>bez</w:t>
            </w:r>
            <w:r w:rsidRPr="009418F2">
              <w:rPr>
                <w:spacing w:val="-6"/>
                <w:w w:val="110"/>
                <w:position w:val="2"/>
                <w:sz w:val="8"/>
                <w:lang w:val="cs-CZ"/>
              </w:rPr>
              <w:t xml:space="preserve"> </w:t>
            </w:r>
            <w:r w:rsidRPr="009418F2">
              <w:rPr>
                <w:w w:val="110"/>
                <w:position w:val="2"/>
                <w:sz w:val="8"/>
                <w:lang w:val="cs-CZ"/>
              </w:rPr>
              <w:t>DPH:</w:t>
            </w:r>
            <w:r w:rsidRPr="009418F2">
              <w:rPr>
                <w:w w:val="110"/>
                <w:position w:val="2"/>
                <w:sz w:val="8"/>
                <w:lang w:val="cs-CZ"/>
              </w:rPr>
              <w:tab/>
            </w:r>
            <w:r w:rsidRPr="009418F2">
              <w:rPr>
                <w:w w:val="110"/>
                <w:sz w:val="12"/>
                <w:lang w:val="cs-CZ"/>
              </w:rPr>
              <w:t>;</w:t>
            </w:r>
          </w:p>
        </w:tc>
      </w:tr>
      <w:tr w:rsidR="00673FFA" w:rsidRPr="009418F2" w14:paraId="44DF3628" w14:textId="77777777">
        <w:trPr>
          <w:trHeight w:hRule="exact" w:val="163"/>
        </w:trPr>
        <w:tc>
          <w:tcPr>
            <w:tcW w:w="9768" w:type="dxa"/>
            <w:gridSpan w:val="7"/>
          </w:tcPr>
          <w:p w14:paraId="12AE5428" w14:textId="77777777" w:rsidR="00673FFA" w:rsidRPr="009418F2" w:rsidRDefault="00000000">
            <w:pPr>
              <w:pStyle w:val="TableParagraph"/>
              <w:spacing w:before="16"/>
              <w:ind w:left="321"/>
              <w:rPr>
                <w:b/>
                <w:sz w:val="10"/>
                <w:lang w:val="cs-CZ"/>
              </w:rPr>
            </w:pPr>
            <w:r w:rsidRPr="009418F2">
              <w:rPr>
                <w:b/>
                <w:w w:val="110"/>
                <w:sz w:val="10"/>
                <w:lang w:val="cs-CZ"/>
              </w:rPr>
              <w:t>Podpis vyjadřuje Dohodu a záznam o změně závazku:</w:t>
            </w:r>
          </w:p>
        </w:tc>
      </w:tr>
      <w:tr w:rsidR="00673FFA" w:rsidRPr="009418F2" w14:paraId="247ECA47" w14:textId="77777777">
        <w:trPr>
          <w:trHeight w:hRule="exact" w:val="468"/>
        </w:trPr>
        <w:tc>
          <w:tcPr>
            <w:tcW w:w="3295" w:type="dxa"/>
            <w:gridSpan w:val="2"/>
            <w:tcBorders>
              <w:right w:val="single" w:sz="4" w:space="0" w:color="000000"/>
            </w:tcBorders>
          </w:tcPr>
          <w:p w14:paraId="422D7C24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66004239" w14:textId="77777777" w:rsidR="00673FFA" w:rsidRPr="009418F2" w:rsidRDefault="00000000">
            <w:pPr>
              <w:pStyle w:val="TableParagraph"/>
              <w:ind w:left="321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Správce stavby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2F97A0C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27CBE312" w14:textId="7EF71579" w:rsidR="00673FFA" w:rsidRPr="009418F2" w:rsidRDefault="00004F6F">
            <w:pPr>
              <w:pStyle w:val="TableParagraph"/>
              <w:ind w:left="16"/>
              <w:rPr>
                <w:sz w:val="10"/>
                <w:lang w:val="cs-CZ"/>
              </w:rPr>
            </w:pPr>
            <w:r>
              <w:rPr>
                <w:w w:val="110"/>
                <w:sz w:val="10"/>
                <w:lang w:val="cs-CZ"/>
              </w:rPr>
              <w:t>xxxxxxxxxxxxxx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53D2F2AB" w14:textId="77777777" w:rsidR="00673FFA" w:rsidRPr="009418F2" w:rsidRDefault="00673FFA">
            <w:pPr>
              <w:pStyle w:val="TableParagraph"/>
              <w:spacing w:before="8"/>
              <w:rPr>
                <w:rFonts w:ascii="Times New Roman"/>
                <w:sz w:val="13"/>
                <w:lang w:val="cs-CZ"/>
              </w:rPr>
            </w:pPr>
          </w:p>
          <w:p w14:paraId="5EB46EC0" w14:textId="77777777" w:rsidR="00673FFA" w:rsidRPr="009418F2" w:rsidRDefault="00000000">
            <w:pPr>
              <w:pStyle w:val="TableParagraph"/>
              <w:spacing w:before="1"/>
              <w:ind w:left="16"/>
              <w:rPr>
                <w:sz w:val="10"/>
                <w:lang w:val="cs-CZ"/>
              </w:rPr>
            </w:pPr>
            <w:r w:rsidRPr="009418F2">
              <w:rPr>
                <w:sz w:val="10"/>
                <w:lang w:val="cs-CZ"/>
              </w:rPr>
              <w:t>datum: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14:paraId="4B09936A" w14:textId="77777777" w:rsidR="00673FFA" w:rsidRPr="009418F2" w:rsidRDefault="00673FFA">
            <w:pPr>
              <w:rPr>
                <w:lang w:val="cs-CZ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49693747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647A7C9A" w14:textId="77777777" w:rsidR="00673FFA" w:rsidRPr="009418F2" w:rsidRDefault="00000000">
            <w:pPr>
              <w:pStyle w:val="TableParagraph"/>
              <w:ind w:left="16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Podpis: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14:paraId="4A0B09AB" w14:textId="77777777" w:rsidR="00673FFA" w:rsidRPr="009418F2" w:rsidRDefault="00673FFA">
            <w:pPr>
              <w:rPr>
                <w:lang w:val="cs-CZ"/>
              </w:rPr>
            </w:pPr>
          </w:p>
        </w:tc>
      </w:tr>
      <w:tr w:rsidR="00673FFA" w:rsidRPr="009418F2" w14:paraId="49EF861F" w14:textId="77777777">
        <w:trPr>
          <w:trHeight w:hRule="exact" w:val="468"/>
        </w:trPr>
        <w:tc>
          <w:tcPr>
            <w:tcW w:w="3295" w:type="dxa"/>
            <w:gridSpan w:val="2"/>
            <w:tcBorders>
              <w:right w:val="single" w:sz="4" w:space="0" w:color="000000"/>
            </w:tcBorders>
          </w:tcPr>
          <w:p w14:paraId="2F22C183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63668F83" w14:textId="77777777" w:rsidR="00673FFA" w:rsidRPr="009418F2" w:rsidRDefault="00000000">
            <w:pPr>
              <w:pStyle w:val="TableParagraph"/>
              <w:ind w:left="321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Zhotovitel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09C7505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3D423841" w14:textId="432CFFD2" w:rsidR="00673FFA" w:rsidRPr="009418F2" w:rsidRDefault="00004F6F">
            <w:pPr>
              <w:pStyle w:val="TableParagraph"/>
              <w:ind w:left="16"/>
              <w:rPr>
                <w:sz w:val="10"/>
                <w:lang w:val="cs-CZ"/>
              </w:rPr>
            </w:pPr>
            <w:r>
              <w:rPr>
                <w:w w:val="110"/>
                <w:sz w:val="10"/>
                <w:lang w:val="cs-CZ"/>
              </w:rPr>
              <w:t>xxxxxxxxxxxxxx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3074DDC5" w14:textId="77777777" w:rsidR="00673FFA" w:rsidRPr="009418F2" w:rsidRDefault="00673FFA">
            <w:pPr>
              <w:pStyle w:val="TableParagraph"/>
              <w:spacing w:before="8"/>
              <w:rPr>
                <w:rFonts w:ascii="Times New Roman"/>
                <w:sz w:val="13"/>
                <w:lang w:val="cs-CZ"/>
              </w:rPr>
            </w:pPr>
          </w:p>
          <w:p w14:paraId="0E6CA556" w14:textId="77777777" w:rsidR="00673FFA" w:rsidRPr="009418F2" w:rsidRDefault="00000000">
            <w:pPr>
              <w:pStyle w:val="TableParagraph"/>
              <w:spacing w:before="1"/>
              <w:ind w:left="16"/>
              <w:rPr>
                <w:sz w:val="10"/>
                <w:lang w:val="cs-CZ"/>
              </w:rPr>
            </w:pPr>
            <w:r w:rsidRPr="009418F2">
              <w:rPr>
                <w:sz w:val="10"/>
                <w:lang w:val="cs-CZ"/>
              </w:rPr>
              <w:t>datum: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14:paraId="790F94C1" w14:textId="77777777" w:rsidR="00673FFA" w:rsidRPr="009418F2" w:rsidRDefault="00673FFA">
            <w:pPr>
              <w:rPr>
                <w:lang w:val="cs-CZ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65CA9903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285CED52" w14:textId="77777777" w:rsidR="00673FFA" w:rsidRPr="009418F2" w:rsidRDefault="00000000">
            <w:pPr>
              <w:pStyle w:val="TableParagraph"/>
              <w:ind w:left="16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Podpis: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14:paraId="1009257A" w14:textId="77777777" w:rsidR="00673FFA" w:rsidRPr="009418F2" w:rsidRDefault="00673FFA">
            <w:pPr>
              <w:rPr>
                <w:lang w:val="cs-CZ"/>
              </w:rPr>
            </w:pPr>
          </w:p>
        </w:tc>
      </w:tr>
      <w:tr w:rsidR="00673FFA" w:rsidRPr="009418F2" w14:paraId="02D28E3B" w14:textId="77777777">
        <w:trPr>
          <w:trHeight w:hRule="exact" w:val="468"/>
        </w:trPr>
        <w:tc>
          <w:tcPr>
            <w:tcW w:w="3295" w:type="dxa"/>
            <w:gridSpan w:val="2"/>
            <w:tcBorders>
              <w:right w:val="single" w:sz="4" w:space="0" w:color="000000"/>
            </w:tcBorders>
          </w:tcPr>
          <w:p w14:paraId="04F93413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674F6416" w14:textId="77777777" w:rsidR="00673FFA" w:rsidRPr="009418F2" w:rsidRDefault="00000000">
            <w:pPr>
              <w:pStyle w:val="TableParagraph"/>
              <w:ind w:left="321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Objednatel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BBFA01E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316E8FF7" w14:textId="14ABDACF" w:rsidR="00673FFA" w:rsidRPr="009418F2" w:rsidRDefault="00004F6F">
            <w:pPr>
              <w:pStyle w:val="TableParagraph"/>
              <w:ind w:left="16"/>
              <w:rPr>
                <w:sz w:val="10"/>
                <w:lang w:val="cs-CZ"/>
              </w:rPr>
            </w:pPr>
            <w:r>
              <w:rPr>
                <w:w w:val="110"/>
                <w:sz w:val="10"/>
                <w:lang w:val="cs-CZ"/>
              </w:rPr>
              <w:t>xxxxxxxxxxxxxx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7995D450" w14:textId="77777777" w:rsidR="00673FFA" w:rsidRPr="009418F2" w:rsidRDefault="00673FFA">
            <w:pPr>
              <w:pStyle w:val="TableParagraph"/>
              <w:spacing w:before="8"/>
              <w:rPr>
                <w:rFonts w:ascii="Times New Roman"/>
                <w:sz w:val="13"/>
                <w:lang w:val="cs-CZ"/>
              </w:rPr>
            </w:pPr>
          </w:p>
          <w:p w14:paraId="03FEFC40" w14:textId="77777777" w:rsidR="00673FFA" w:rsidRPr="009418F2" w:rsidRDefault="00000000">
            <w:pPr>
              <w:pStyle w:val="TableParagraph"/>
              <w:spacing w:before="1"/>
              <w:ind w:left="16"/>
              <w:rPr>
                <w:sz w:val="10"/>
                <w:lang w:val="cs-CZ"/>
              </w:rPr>
            </w:pPr>
            <w:r w:rsidRPr="009418F2">
              <w:rPr>
                <w:sz w:val="10"/>
                <w:lang w:val="cs-CZ"/>
              </w:rPr>
              <w:t>datum: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14:paraId="681FC80A" w14:textId="77777777" w:rsidR="00673FFA" w:rsidRPr="009418F2" w:rsidRDefault="00673FFA">
            <w:pPr>
              <w:rPr>
                <w:lang w:val="cs-CZ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264A0898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01386459" w14:textId="77777777" w:rsidR="00673FFA" w:rsidRPr="009418F2" w:rsidRDefault="00000000">
            <w:pPr>
              <w:pStyle w:val="TableParagraph"/>
              <w:ind w:left="16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Podpis: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14:paraId="6B6E557D" w14:textId="77777777" w:rsidR="00673FFA" w:rsidRPr="009418F2" w:rsidRDefault="00673FFA">
            <w:pPr>
              <w:rPr>
                <w:lang w:val="cs-CZ"/>
              </w:rPr>
            </w:pPr>
          </w:p>
        </w:tc>
      </w:tr>
      <w:tr w:rsidR="00673FFA" w:rsidRPr="009418F2" w14:paraId="203CC804" w14:textId="77777777">
        <w:trPr>
          <w:trHeight w:hRule="exact" w:val="468"/>
        </w:trPr>
        <w:tc>
          <w:tcPr>
            <w:tcW w:w="3295" w:type="dxa"/>
            <w:gridSpan w:val="2"/>
            <w:tcBorders>
              <w:right w:val="single" w:sz="4" w:space="0" w:color="000000"/>
            </w:tcBorders>
          </w:tcPr>
          <w:p w14:paraId="62A72926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41E28E18" w14:textId="77777777" w:rsidR="00673FFA" w:rsidRPr="009418F2" w:rsidRDefault="00000000">
            <w:pPr>
              <w:pStyle w:val="TableParagraph"/>
              <w:ind w:left="321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Objednatel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B71FFCB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4F6ED6C0" w14:textId="384E5543" w:rsidR="00673FFA" w:rsidRPr="009418F2" w:rsidRDefault="00004F6F">
            <w:pPr>
              <w:pStyle w:val="TableParagraph"/>
              <w:ind w:left="16"/>
              <w:rPr>
                <w:sz w:val="10"/>
                <w:lang w:val="cs-CZ"/>
              </w:rPr>
            </w:pPr>
            <w:r>
              <w:rPr>
                <w:w w:val="110"/>
                <w:sz w:val="10"/>
                <w:lang w:val="cs-CZ"/>
              </w:rPr>
              <w:t>xxxxxxxxxxxxxx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6A3172F1" w14:textId="77777777" w:rsidR="00673FFA" w:rsidRPr="009418F2" w:rsidRDefault="00673FFA">
            <w:pPr>
              <w:pStyle w:val="TableParagraph"/>
              <w:spacing w:before="6"/>
              <w:rPr>
                <w:rFonts w:ascii="Times New Roman"/>
                <w:sz w:val="14"/>
                <w:lang w:val="cs-CZ"/>
              </w:rPr>
            </w:pPr>
          </w:p>
          <w:p w14:paraId="061376AC" w14:textId="77777777" w:rsidR="00673FFA" w:rsidRPr="009418F2" w:rsidRDefault="00000000">
            <w:pPr>
              <w:pStyle w:val="TableParagraph"/>
              <w:spacing w:before="1"/>
              <w:ind w:left="16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datum: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14:paraId="33BC6646" w14:textId="77777777" w:rsidR="00673FFA" w:rsidRPr="009418F2" w:rsidRDefault="00673FFA">
            <w:pPr>
              <w:rPr>
                <w:lang w:val="cs-CZ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5DAC5156" w14:textId="77777777" w:rsidR="00673FFA" w:rsidRPr="009418F2" w:rsidRDefault="00673FFA">
            <w:pPr>
              <w:pStyle w:val="TableParagraph"/>
              <w:spacing w:before="2"/>
              <w:rPr>
                <w:rFonts w:ascii="Times New Roman"/>
                <w:sz w:val="14"/>
                <w:lang w:val="cs-CZ"/>
              </w:rPr>
            </w:pPr>
          </w:p>
          <w:p w14:paraId="36B93C24" w14:textId="77777777" w:rsidR="00673FFA" w:rsidRPr="009418F2" w:rsidRDefault="00000000">
            <w:pPr>
              <w:pStyle w:val="TableParagraph"/>
              <w:ind w:left="16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Podpis: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14:paraId="7B44FA21" w14:textId="77777777" w:rsidR="00673FFA" w:rsidRPr="009418F2" w:rsidRDefault="00673FFA">
            <w:pPr>
              <w:rPr>
                <w:lang w:val="cs-CZ"/>
              </w:rPr>
            </w:pPr>
          </w:p>
        </w:tc>
      </w:tr>
      <w:tr w:rsidR="00673FFA" w:rsidRPr="009418F2" w14:paraId="408DCECC" w14:textId="77777777" w:rsidTr="00991A0A">
        <w:trPr>
          <w:trHeight w:hRule="exact" w:val="1634"/>
        </w:trPr>
        <w:tc>
          <w:tcPr>
            <w:tcW w:w="9768" w:type="dxa"/>
            <w:gridSpan w:val="7"/>
          </w:tcPr>
          <w:p w14:paraId="65CEFA58" w14:textId="77777777" w:rsidR="00991A0A" w:rsidRDefault="00991A0A">
            <w:pPr>
              <w:pStyle w:val="TableParagraph"/>
              <w:spacing w:before="12" w:line="259" w:lineRule="auto"/>
              <w:ind w:left="14" w:right="46"/>
              <w:rPr>
                <w:sz w:val="13"/>
                <w:lang w:val="cs-CZ"/>
              </w:rPr>
            </w:pPr>
          </w:p>
          <w:p w14:paraId="56D1F707" w14:textId="47F03931" w:rsidR="00673FFA" w:rsidRPr="009418F2" w:rsidRDefault="00000000">
            <w:pPr>
              <w:pStyle w:val="TableParagraph"/>
              <w:spacing w:before="12" w:line="259" w:lineRule="auto"/>
              <w:ind w:left="14" w:right="46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Správce stavby, Objednatel a Zhotovitel se dohodli, že na výše uvedeném Díle dojde ke řešení/narovnání smluvních kompenzačních nároků (claimů), jež jsou podrobně popsány, zdůvodněny, dokladovány v této Dohodě.</w:t>
            </w:r>
          </w:p>
          <w:p w14:paraId="4FFE9C83" w14:textId="77777777" w:rsidR="00673FFA" w:rsidRPr="009418F2" w:rsidRDefault="00000000">
            <w:pPr>
              <w:pStyle w:val="TableParagraph"/>
              <w:spacing w:line="149" w:lineRule="exact"/>
              <w:ind w:left="1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Tato Dohoda je zároveň záznam o změně závazku - jedná se o vyhrazenou změnu závazku dle § 100 ZZVZ odst. (1).</w:t>
            </w:r>
          </w:p>
          <w:p w14:paraId="75C726AD" w14:textId="77777777" w:rsidR="00673FFA" w:rsidRPr="009418F2" w:rsidRDefault="00000000">
            <w:pPr>
              <w:pStyle w:val="TableParagraph"/>
              <w:spacing w:before="11" w:line="259" w:lineRule="auto"/>
              <w:ind w:left="14" w:right="52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Na důkaz toho připojují příslušné osoby oprávněné jednat jménem nebo v zastoupení Objednatele a Zhotovitele své podpisy a prohlašují, že tato Dohoda byla uzavřena podle jejich pravé, svobodné a vážné vůle.</w:t>
            </w:r>
          </w:p>
          <w:p w14:paraId="7423B9EC" w14:textId="77777777" w:rsidR="00673FFA" w:rsidRPr="009418F2" w:rsidRDefault="00000000">
            <w:pPr>
              <w:pStyle w:val="TableParagraph"/>
              <w:spacing w:line="259" w:lineRule="auto"/>
              <w:ind w:left="14" w:right="250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Tato Dohoda nabývá platnosti dnem podpisu oběma Smluvními stranami a účinnosti dnem uveřejnění v registru smluv. Ostatní ustanovení Smlouvy zůstávají touto Dohodou nedotčena.</w:t>
            </w:r>
          </w:p>
          <w:p w14:paraId="2B90D2A4" w14:textId="6DEDA788" w:rsidR="00673FFA" w:rsidRDefault="00000000">
            <w:pPr>
              <w:pStyle w:val="TableParagraph"/>
              <w:spacing w:line="149" w:lineRule="exact"/>
              <w:ind w:left="14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Tato Dohoda je vyhotovena ve čtyřech stejnopisech, z nichž jeden obdrží Správce stavby, jeden Objednatel a dva Zhotovitel.</w:t>
            </w:r>
          </w:p>
          <w:p w14:paraId="5140F0F6" w14:textId="77777777" w:rsidR="00991A0A" w:rsidRDefault="00991A0A">
            <w:pPr>
              <w:pStyle w:val="TableParagraph"/>
              <w:spacing w:line="149" w:lineRule="exact"/>
              <w:ind w:left="14"/>
              <w:rPr>
                <w:sz w:val="13"/>
                <w:lang w:val="cs-CZ"/>
              </w:rPr>
            </w:pPr>
          </w:p>
          <w:p w14:paraId="19A09556" w14:textId="3963250A" w:rsidR="00991A0A" w:rsidRPr="009418F2" w:rsidRDefault="00991A0A">
            <w:pPr>
              <w:pStyle w:val="TableParagraph"/>
              <w:spacing w:line="149" w:lineRule="exact"/>
              <w:ind w:left="14"/>
              <w:rPr>
                <w:sz w:val="13"/>
                <w:lang w:val="cs-CZ"/>
              </w:rPr>
            </w:pPr>
          </w:p>
        </w:tc>
      </w:tr>
      <w:tr w:rsidR="00673FFA" w:rsidRPr="009418F2" w14:paraId="467EA8C9" w14:textId="77777777">
        <w:trPr>
          <w:trHeight w:hRule="exact" w:val="362"/>
        </w:trPr>
        <w:tc>
          <w:tcPr>
            <w:tcW w:w="310" w:type="dxa"/>
            <w:tcBorders>
              <w:right w:val="single" w:sz="4" w:space="0" w:color="000000"/>
            </w:tcBorders>
          </w:tcPr>
          <w:p w14:paraId="1B4337B0" w14:textId="77777777" w:rsidR="00673FFA" w:rsidRPr="009418F2" w:rsidRDefault="00673FFA">
            <w:pPr>
              <w:rPr>
                <w:lang w:val="cs-CZ"/>
              </w:rPr>
            </w:pPr>
          </w:p>
        </w:tc>
        <w:tc>
          <w:tcPr>
            <w:tcW w:w="2986" w:type="dxa"/>
            <w:tcBorders>
              <w:left w:val="single" w:sz="4" w:space="0" w:color="000000"/>
              <w:right w:val="single" w:sz="4" w:space="0" w:color="000000"/>
            </w:tcBorders>
          </w:tcPr>
          <w:p w14:paraId="7CBC0AAA" w14:textId="77777777" w:rsidR="00673FFA" w:rsidRPr="009418F2" w:rsidRDefault="00000000">
            <w:pPr>
              <w:pStyle w:val="TableParagraph"/>
              <w:spacing w:before="89"/>
              <w:ind w:left="19"/>
              <w:rPr>
                <w:i/>
                <w:sz w:val="13"/>
                <w:lang w:val="cs-CZ"/>
              </w:rPr>
            </w:pPr>
            <w:r w:rsidRPr="009418F2">
              <w:rPr>
                <w:i/>
                <w:sz w:val="13"/>
                <w:lang w:val="cs-CZ"/>
              </w:rPr>
              <w:t>číslo smlouvy : S/ŘVC/052/R/SOD/2020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F210A5" w14:textId="77777777" w:rsidR="00673FFA" w:rsidRPr="009418F2" w:rsidRDefault="00000000">
            <w:pPr>
              <w:pStyle w:val="TableParagraph"/>
              <w:spacing w:before="7" w:line="261" w:lineRule="auto"/>
              <w:ind w:left="849" w:hanging="812"/>
              <w:rPr>
                <w:i/>
                <w:sz w:val="13"/>
                <w:lang w:val="cs-CZ"/>
              </w:rPr>
            </w:pPr>
            <w:r w:rsidRPr="009418F2">
              <w:rPr>
                <w:i/>
                <w:sz w:val="13"/>
                <w:lang w:val="cs-CZ"/>
              </w:rPr>
              <w:t>předpokládaný výdaj v Kč včetně DPH: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14:paraId="65757191" w14:textId="77777777" w:rsidR="00673FFA" w:rsidRPr="009418F2" w:rsidRDefault="00000000">
            <w:pPr>
              <w:pStyle w:val="TableParagraph"/>
              <w:spacing w:before="7" w:line="261" w:lineRule="auto"/>
              <w:ind w:left="180" w:right="173" w:hanging="53"/>
              <w:rPr>
                <w:i/>
                <w:sz w:val="13"/>
                <w:lang w:val="cs-CZ"/>
              </w:rPr>
            </w:pPr>
            <w:r w:rsidRPr="009418F2">
              <w:rPr>
                <w:i/>
                <w:w w:val="95"/>
                <w:sz w:val="13"/>
                <w:lang w:val="cs-CZ"/>
              </w:rPr>
              <w:t xml:space="preserve">Předpokládaný </w:t>
            </w:r>
            <w:r w:rsidRPr="009418F2">
              <w:rPr>
                <w:i/>
                <w:sz w:val="13"/>
                <w:lang w:val="cs-CZ"/>
              </w:rPr>
              <w:t>termín úhrady</w:t>
            </w:r>
          </w:p>
        </w:tc>
        <w:tc>
          <w:tcPr>
            <w:tcW w:w="3252" w:type="dxa"/>
            <w:gridSpan w:val="2"/>
            <w:tcBorders>
              <w:left w:val="single" w:sz="4" w:space="0" w:color="000000"/>
            </w:tcBorders>
          </w:tcPr>
          <w:p w14:paraId="6592A988" w14:textId="77777777" w:rsidR="00673FFA" w:rsidRPr="009418F2" w:rsidRDefault="00000000">
            <w:pPr>
              <w:pStyle w:val="TableParagraph"/>
              <w:spacing w:before="98"/>
              <w:ind w:left="1147" w:right="1450"/>
              <w:jc w:val="center"/>
              <w:rPr>
                <w:sz w:val="12"/>
                <w:lang w:val="cs-CZ"/>
              </w:rPr>
            </w:pPr>
            <w:r w:rsidRPr="009418F2">
              <w:rPr>
                <w:sz w:val="12"/>
                <w:lang w:val="cs-CZ"/>
              </w:rPr>
              <w:t>31.12.2022</w:t>
            </w:r>
          </w:p>
        </w:tc>
      </w:tr>
      <w:tr w:rsidR="00673FFA" w:rsidRPr="009418F2" w14:paraId="4B2808FF" w14:textId="77777777">
        <w:trPr>
          <w:trHeight w:hRule="exact" w:val="518"/>
        </w:trPr>
        <w:tc>
          <w:tcPr>
            <w:tcW w:w="310" w:type="dxa"/>
            <w:tcBorders>
              <w:right w:val="single" w:sz="4" w:space="0" w:color="000000"/>
            </w:tcBorders>
          </w:tcPr>
          <w:p w14:paraId="041E13D2" w14:textId="77777777" w:rsidR="00673FFA" w:rsidRPr="009418F2" w:rsidRDefault="00673FFA">
            <w:pPr>
              <w:rPr>
                <w:lang w:val="cs-CZ"/>
              </w:rPr>
            </w:pPr>
          </w:p>
        </w:tc>
        <w:tc>
          <w:tcPr>
            <w:tcW w:w="2986" w:type="dxa"/>
            <w:tcBorders>
              <w:left w:val="single" w:sz="4" w:space="0" w:color="000000"/>
              <w:right w:val="single" w:sz="4" w:space="0" w:color="000000"/>
            </w:tcBorders>
          </w:tcPr>
          <w:p w14:paraId="10EB08E1" w14:textId="77777777" w:rsidR="00673FFA" w:rsidRPr="009418F2" w:rsidRDefault="00673FFA">
            <w:pPr>
              <w:pStyle w:val="TableParagraph"/>
              <w:spacing w:before="7"/>
              <w:rPr>
                <w:rFonts w:ascii="Times New Roman"/>
                <w:sz w:val="14"/>
                <w:lang w:val="cs-CZ"/>
              </w:rPr>
            </w:pPr>
          </w:p>
          <w:p w14:paraId="23C04BF3" w14:textId="77777777" w:rsidR="00673FFA" w:rsidRPr="009418F2" w:rsidRDefault="00000000">
            <w:pPr>
              <w:pStyle w:val="TableParagraph"/>
              <w:ind w:left="19"/>
              <w:rPr>
                <w:i/>
                <w:sz w:val="13"/>
                <w:lang w:val="cs-CZ"/>
              </w:rPr>
            </w:pPr>
            <w:r w:rsidRPr="009418F2">
              <w:rPr>
                <w:i/>
                <w:sz w:val="13"/>
                <w:lang w:val="cs-CZ"/>
              </w:rPr>
              <w:t>týká se Pod-čl. 20.1 Claimy zhotovitele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2E6333" w14:textId="77777777" w:rsidR="00673FFA" w:rsidRPr="009418F2" w:rsidRDefault="00673FFA">
            <w:pPr>
              <w:pStyle w:val="TableParagraph"/>
              <w:spacing w:before="7"/>
              <w:rPr>
                <w:rFonts w:ascii="Times New Roman"/>
                <w:sz w:val="14"/>
                <w:lang w:val="cs-CZ"/>
              </w:rPr>
            </w:pPr>
          </w:p>
          <w:p w14:paraId="45A05EAA" w14:textId="77777777" w:rsidR="00673FFA" w:rsidRPr="009418F2" w:rsidRDefault="00000000">
            <w:pPr>
              <w:pStyle w:val="TableParagraph"/>
              <w:ind w:left="628"/>
              <w:rPr>
                <w:i/>
                <w:sz w:val="13"/>
                <w:lang w:val="cs-CZ"/>
              </w:rPr>
            </w:pPr>
            <w:r w:rsidRPr="009418F2">
              <w:rPr>
                <w:i/>
                <w:sz w:val="13"/>
                <w:lang w:val="cs-CZ"/>
              </w:rPr>
              <w:t>9 231 470,62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14:paraId="345C7002" w14:textId="77777777" w:rsidR="00673FFA" w:rsidRPr="009418F2" w:rsidRDefault="00000000">
            <w:pPr>
              <w:pStyle w:val="TableParagraph"/>
              <w:spacing w:before="89" w:line="259" w:lineRule="auto"/>
              <w:ind w:left="367" w:hanging="310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60 dní od podpisu Dohody</w:t>
            </w:r>
          </w:p>
        </w:tc>
        <w:tc>
          <w:tcPr>
            <w:tcW w:w="3252" w:type="dxa"/>
            <w:gridSpan w:val="2"/>
            <w:tcBorders>
              <w:left w:val="single" w:sz="4" w:space="0" w:color="000000"/>
            </w:tcBorders>
          </w:tcPr>
          <w:p w14:paraId="5941C4CE" w14:textId="77777777" w:rsidR="00673FFA" w:rsidRPr="009418F2" w:rsidRDefault="00673FFA">
            <w:pPr>
              <w:rPr>
                <w:lang w:val="cs-CZ"/>
              </w:rPr>
            </w:pPr>
          </w:p>
        </w:tc>
      </w:tr>
      <w:tr w:rsidR="00673FFA" w:rsidRPr="009418F2" w14:paraId="162BC4AE" w14:textId="77777777">
        <w:trPr>
          <w:trHeight w:hRule="exact" w:val="362"/>
        </w:trPr>
        <w:tc>
          <w:tcPr>
            <w:tcW w:w="3295" w:type="dxa"/>
            <w:gridSpan w:val="2"/>
            <w:tcBorders>
              <w:right w:val="single" w:sz="4" w:space="0" w:color="000000"/>
            </w:tcBorders>
          </w:tcPr>
          <w:p w14:paraId="59EE09A2" w14:textId="77777777" w:rsidR="00673FFA" w:rsidRPr="009418F2" w:rsidRDefault="00000000">
            <w:pPr>
              <w:pStyle w:val="TableParagraph"/>
              <w:spacing w:before="7" w:line="266" w:lineRule="auto"/>
              <w:ind w:left="324" w:right="22"/>
              <w:rPr>
                <w:b/>
                <w:sz w:val="13"/>
                <w:lang w:val="cs-CZ"/>
              </w:rPr>
            </w:pPr>
            <w:r w:rsidRPr="009418F2">
              <w:rPr>
                <w:b/>
                <w:sz w:val="13"/>
                <w:lang w:val="cs-CZ"/>
              </w:rPr>
              <w:t>Objednatel (oprávněná osoba Objednatele podle interního pověření)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BF47461" w14:textId="77777777" w:rsidR="00673FFA" w:rsidRPr="009418F2" w:rsidRDefault="00000000">
            <w:pPr>
              <w:pStyle w:val="TableParagraph"/>
              <w:spacing w:before="91"/>
              <w:ind w:left="19"/>
              <w:rPr>
                <w:sz w:val="13"/>
                <w:lang w:val="cs-CZ"/>
              </w:rPr>
            </w:pPr>
            <w:r w:rsidRPr="009418F2">
              <w:rPr>
                <w:sz w:val="13"/>
                <w:lang w:val="cs-CZ"/>
              </w:rPr>
              <w:t>Ing. Lubomír Fojtů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0C216FA1" w14:textId="77777777" w:rsidR="00673FFA" w:rsidRPr="009418F2" w:rsidRDefault="00673FFA">
            <w:pPr>
              <w:pStyle w:val="TableParagraph"/>
              <w:rPr>
                <w:rFonts w:ascii="Times New Roman"/>
                <w:sz w:val="10"/>
                <w:lang w:val="cs-CZ"/>
              </w:rPr>
            </w:pPr>
          </w:p>
          <w:p w14:paraId="79C4246A" w14:textId="77777777" w:rsidR="00673FFA" w:rsidRPr="009418F2" w:rsidRDefault="00000000">
            <w:pPr>
              <w:pStyle w:val="TableParagraph"/>
              <w:ind w:left="16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datum: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14:paraId="74B5E7CC" w14:textId="77777777" w:rsidR="00673FFA" w:rsidRPr="009418F2" w:rsidRDefault="00673FFA">
            <w:pPr>
              <w:rPr>
                <w:lang w:val="cs-CZ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018A6F87" w14:textId="77777777" w:rsidR="00673FFA" w:rsidRPr="009418F2" w:rsidRDefault="00000000">
            <w:pPr>
              <w:pStyle w:val="TableParagraph"/>
              <w:spacing w:before="100"/>
              <w:ind w:left="16"/>
              <w:rPr>
                <w:sz w:val="10"/>
                <w:lang w:val="cs-CZ"/>
              </w:rPr>
            </w:pPr>
            <w:r w:rsidRPr="009418F2">
              <w:rPr>
                <w:sz w:val="10"/>
                <w:lang w:val="cs-CZ"/>
              </w:rPr>
              <w:t>Podpis: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14:paraId="36E54F9B" w14:textId="77777777" w:rsidR="00673FFA" w:rsidRPr="009418F2" w:rsidRDefault="00673FFA">
            <w:pPr>
              <w:rPr>
                <w:lang w:val="cs-CZ"/>
              </w:rPr>
            </w:pPr>
          </w:p>
        </w:tc>
      </w:tr>
      <w:tr w:rsidR="00673FFA" w:rsidRPr="009418F2" w14:paraId="597D0A20" w14:textId="77777777">
        <w:trPr>
          <w:trHeight w:hRule="exact" w:val="518"/>
        </w:trPr>
        <w:tc>
          <w:tcPr>
            <w:tcW w:w="3295" w:type="dxa"/>
            <w:gridSpan w:val="2"/>
            <w:tcBorders>
              <w:right w:val="single" w:sz="4" w:space="0" w:color="000000"/>
            </w:tcBorders>
          </w:tcPr>
          <w:p w14:paraId="2824FE36" w14:textId="77777777" w:rsidR="00673FFA" w:rsidRPr="009418F2" w:rsidRDefault="00673FFA">
            <w:pPr>
              <w:pStyle w:val="TableParagraph"/>
              <w:spacing w:before="7"/>
              <w:rPr>
                <w:rFonts w:ascii="Times New Roman"/>
                <w:sz w:val="14"/>
                <w:lang w:val="cs-CZ"/>
              </w:rPr>
            </w:pPr>
          </w:p>
          <w:p w14:paraId="2E391D88" w14:textId="77777777" w:rsidR="00673FFA" w:rsidRPr="009418F2" w:rsidRDefault="00000000">
            <w:pPr>
              <w:pStyle w:val="TableParagraph"/>
              <w:ind w:left="324"/>
              <w:rPr>
                <w:b/>
                <w:sz w:val="13"/>
                <w:lang w:val="cs-CZ"/>
              </w:rPr>
            </w:pPr>
            <w:r w:rsidRPr="009418F2">
              <w:rPr>
                <w:b/>
                <w:sz w:val="13"/>
                <w:lang w:val="cs-CZ"/>
              </w:rPr>
              <w:t>Zhotovitel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02EC1EC" w14:textId="77777777" w:rsidR="00673FFA" w:rsidRPr="009418F2" w:rsidRDefault="00673FFA">
            <w:pPr>
              <w:pStyle w:val="TableParagraph"/>
              <w:spacing w:before="7"/>
              <w:rPr>
                <w:rFonts w:ascii="Times New Roman"/>
                <w:sz w:val="14"/>
                <w:lang w:val="cs-CZ"/>
              </w:rPr>
            </w:pPr>
          </w:p>
          <w:p w14:paraId="7CD25A90" w14:textId="6A1381BE" w:rsidR="00673FFA" w:rsidRPr="009418F2" w:rsidRDefault="00004F6F">
            <w:pPr>
              <w:pStyle w:val="TableParagraph"/>
              <w:ind w:left="19"/>
              <w:rPr>
                <w:sz w:val="13"/>
                <w:lang w:val="cs-CZ"/>
              </w:rPr>
            </w:pPr>
            <w:r>
              <w:rPr>
                <w:sz w:val="13"/>
                <w:lang w:val="cs-CZ"/>
              </w:rPr>
              <w:t>xxxxxxxxxxxxxx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2CE952BB" w14:textId="77777777" w:rsidR="00673FFA" w:rsidRPr="009418F2" w:rsidRDefault="00673FFA">
            <w:pPr>
              <w:pStyle w:val="TableParagraph"/>
              <w:spacing w:before="9"/>
              <w:rPr>
                <w:rFonts w:ascii="Times New Roman"/>
                <w:sz w:val="15"/>
                <w:lang w:val="cs-CZ"/>
              </w:rPr>
            </w:pPr>
          </w:p>
          <w:p w14:paraId="0E1792B3" w14:textId="77777777" w:rsidR="00673FFA" w:rsidRPr="009418F2" w:rsidRDefault="00000000">
            <w:pPr>
              <w:pStyle w:val="TableParagraph"/>
              <w:spacing w:before="1"/>
              <w:ind w:left="16"/>
              <w:rPr>
                <w:sz w:val="10"/>
                <w:lang w:val="cs-CZ"/>
              </w:rPr>
            </w:pPr>
            <w:r w:rsidRPr="009418F2">
              <w:rPr>
                <w:sz w:val="10"/>
                <w:lang w:val="cs-CZ"/>
              </w:rPr>
              <w:t>datum: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14:paraId="39638A6F" w14:textId="77777777" w:rsidR="00673FFA" w:rsidRPr="009418F2" w:rsidRDefault="00673FFA">
            <w:pPr>
              <w:rPr>
                <w:lang w:val="cs-CZ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3AC2A103" w14:textId="77777777" w:rsidR="00673FFA" w:rsidRPr="009418F2" w:rsidRDefault="00673FFA">
            <w:pPr>
              <w:pStyle w:val="TableParagraph"/>
              <w:spacing w:before="3"/>
              <w:rPr>
                <w:rFonts w:ascii="Times New Roman"/>
                <w:sz w:val="16"/>
                <w:lang w:val="cs-CZ"/>
              </w:rPr>
            </w:pPr>
          </w:p>
          <w:p w14:paraId="57A7BE04" w14:textId="77777777" w:rsidR="00673FFA" w:rsidRPr="009418F2" w:rsidRDefault="00000000">
            <w:pPr>
              <w:pStyle w:val="TableParagraph"/>
              <w:ind w:left="16"/>
              <w:rPr>
                <w:sz w:val="10"/>
                <w:lang w:val="cs-CZ"/>
              </w:rPr>
            </w:pPr>
            <w:r w:rsidRPr="009418F2">
              <w:rPr>
                <w:w w:val="110"/>
                <w:sz w:val="10"/>
                <w:lang w:val="cs-CZ"/>
              </w:rPr>
              <w:t>Podpis: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14:paraId="593175B2" w14:textId="77777777" w:rsidR="00673FFA" w:rsidRPr="009418F2" w:rsidRDefault="00673FFA">
            <w:pPr>
              <w:rPr>
                <w:lang w:val="cs-CZ"/>
              </w:rPr>
            </w:pPr>
          </w:p>
        </w:tc>
      </w:tr>
    </w:tbl>
    <w:p w14:paraId="2CFA4D03" w14:textId="77777777" w:rsidR="00BD2E34" w:rsidRPr="009418F2" w:rsidRDefault="00BD2E34">
      <w:pPr>
        <w:rPr>
          <w:lang w:val="cs-CZ"/>
        </w:rPr>
      </w:pPr>
    </w:p>
    <w:sectPr w:rsidR="00BD2E34" w:rsidRPr="009418F2">
      <w:pgSz w:w="11910" w:h="16840"/>
      <w:pgMar w:top="104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7AEB"/>
    <w:multiLevelType w:val="hybridMultilevel"/>
    <w:tmpl w:val="BCB63D26"/>
    <w:lvl w:ilvl="0" w:tplc="23CC8FC6">
      <w:start w:val="2"/>
      <w:numFmt w:val="decimal"/>
      <w:lvlText w:val="%1."/>
      <w:lvlJc w:val="left"/>
      <w:pPr>
        <w:ind w:left="468" w:hanging="145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</w:rPr>
    </w:lvl>
    <w:lvl w:ilvl="1" w:tplc="41165E26">
      <w:numFmt w:val="bullet"/>
      <w:lvlText w:val="•"/>
      <w:lvlJc w:val="left"/>
      <w:pPr>
        <w:ind w:left="1388" w:hanging="145"/>
      </w:pPr>
      <w:rPr>
        <w:rFonts w:hint="default"/>
      </w:rPr>
    </w:lvl>
    <w:lvl w:ilvl="2" w:tplc="73CAA730">
      <w:numFmt w:val="bullet"/>
      <w:lvlText w:val="•"/>
      <w:lvlJc w:val="left"/>
      <w:pPr>
        <w:ind w:left="2317" w:hanging="145"/>
      </w:pPr>
      <w:rPr>
        <w:rFonts w:hint="default"/>
      </w:rPr>
    </w:lvl>
    <w:lvl w:ilvl="3" w:tplc="4D6C8184">
      <w:numFmt w:val="bullet"/>
      <w:lvlText w:val="•"/>
      <w:lvlJc w:val="left"/>
      <w:pPr>
        <w:ind w:left="3246" w:hanging="145"/>
      </w:pPr>
      <w:rPr>
        <w:rFonts w:hint="default"/>
      </w:rPr>
    </w:lvl>
    <w:lvl w:ilvl="4" w:tplc="1DC6B44A">
      <w:numFmt w:val="bullet"/>
      <w:lvlText w:val="•"/>
      <w:lvlJc w:val="left"/>
      <w:pPr>
        <w:ind w:left="4175" w:hanging="145"/>
      </w:pPr>
      <w:rPr>
        <w:rFonts w:hint="default"/>
      </w:rPr>
    </w:lvl>
    <w:lvl w:ilvl="5" w:tplc="2AF205C0">
      <w:numFmt w:val="bullet"/>
      <w:lvlText w:val="•"/>
      <w:lvlJc w:val="left"/>
      <w:pPr>
        <w:ind w:left="5104" w:hanging="145"/>
      </w:pPr>
      <w:rPr>
        <w:rFonts w:hint="default"/>
      </w:rPr>
    </w:lvl>
    <w:lvl w:ilvl="6" w:tplc="0B786B08">
      <w:numFmt w:val="bullet"/>
      <w:lvlText w:val="•"/>
      <w:lvlJc w:val="left"/>
      <w:pPr>
        <w:ind w:left="6033" w:hanging="145"/>
      </w:pPr>
      <w:rPr>
        <w:rFonts w:hint="default"/>
      </w:rPr>
    </w:lvl>
    <w:lvl w:ilvl="7" w:tplc="73F87096">
      <w:numFmt w:val="bullet"/>
      <w:lvlText w:val="•"/>
      <w:lvlJc w:val="left"/>
      <w:pPr>
        <w:ind w:left="6962" w:hanging="145"/>
      </w:pPr>
      <w:rPr>
        <w:rFonts w:hint="default"/>
      </w:rPr>
    </w:lvl>
    <w:lvl w:ilvl="8" w:tplc="A7AE7206">
      <w:numFmt w:val="bullet"/>
      <w:lvlText w:val="•"/>
      <w:lvlJc w:val="left"/>
      <w:pPr>
        <w:ind w:left="7891" w:hanging="145"/>
      </w:pPr>
      <w:rPr>
        <w:rFonts w:hint="default"/>
      </w:rPr>
    </w:lvl>
  </w:abstractNum>
  <w:abstractNum w:abstractNumId="1" w15:restartNumberingAfterBreak="0">
    <w:nsid w:val="2E1C1339"/>
    <w:multiLevelType w:val="hybridMultilevel"/>
    <w:tmpl w:val="4B8A3B12"/>
    <w:lvl w:ilvl="0" w:tplc="89C82B3C">
      <w:start w:val="1"/>
      <w:numFmt w:val="decimal"/>
      <w:lvlText w:val="%1."/>
      <w:lvlJc w:val="left"/>
      <w:pPr>
        <w:ind w:left="828" w:hanging="145"/>
        <w:jc w:val="left"/>
      </w:pPr>
      <w:rPr>
        <w:rFonts w:ascii="Arial" w:eastAsia="Arial" w:hAnsi="Arial" w:cs="Arial" w:hint="default"/>
        <w:w w:val="99"/>
        <w:sz w:val="13"/>
        <w:szCs w:val="13"/>
      </w:rPr>
    </w:lvl>
    <w:lvl w:ilvl="1" w:tplc="106A306E">
      <w:numFmt w:val="bullet"/>
      <w:lvlText w:val="•"/>
      <w:lvlJc w:val="left"/>
      <w:pPr>
        <w:ind w:left="1410" w:hanging="145"/>
      </w:pPr>
      <w:rPr>
        <w:rFonts w:hint="default"/>
      </w:rPr>
    </w:lvl>
    <w:lvl w:ilvl="2" w:tplc="7922A96A">
      <w:numFmt w:val="bullet"/>
      <w:lvlText w:val="•"/>
      <w:lvlJc w:val="left"/>
      <w:pPr>
        <w:ind w:left="2001" w:hanging="145"/>
      </w:pPr>
      <w:rPr>
        <w:rFonts w:hint="default"/>
      </w:rPr>
    </w:lvl>
    <w:lvl w:ilvl="3" w:tplc="EEDC1ECA">
      <w:numFmt w:val="bullet"/>
      <w:lvlText w:val="•"/>
      <w:lvlJc w:val="left"/>
      <w:pPr>
        <w:ind w:left="2592" w:hanging="145"/>
      </w:pPr>
      <w:rPr>
        <w:rFonts w:hint="default"/>
      </w:rPr>
    </w:lvl>
    <w:lvl w:ilvl="4" w:tplc="AA365794">
      <w:numFmt w:val="bullet"/>
      <w:lvlText w:val="•"/>
      <w:lvlJc w:val="left"/>
      <w:pPr>
        <w:ind w:left="3182" w:hanging="145"/>
      </w:pPr>
      <w:rPr>
        <w:rFonts w:hint="default"/>
      </w:rPr>
    </w:lvl>
    <w:lvl w:ilvl="5" w:tplc="21D8B7A0">
      <w:numFmt w:val="bullet"/>
      <w:lvlText w:val="•"/>
      <w:lvlJc w:val="left"/>
      <w:pPr>
        <w:ind w:left="3773" w:hanging="145"/>
      </w:pPr>
      <w:rPr>
        <w:rFonts w:hint="default"/>
      </w:rPr>
    </w:lvl>
    <w:lvl w:ilvl="6" w:tplc="F612CB6E">
      <w:numFmt w:val="bullet"/>
      <w:lvlText w:val="•"/>
      <w:lvlJc w:val="left"/>
      <w:pPr>
        <w:ind w:left="4364" w:hanging="145"/>
      </w:pPr>
      <w:rPr>
        <w:rFonts w:hint="default"/>
      </w:rPr>
    </w:lvl>
    <w:lvl w:ilvl="7" w:tplc="B18A9494">
      <w:numFmt w:val="bullet"/>
      <w:lvlText w:val="•"/>
      <w:lvlJc w:val="left"/>
      <w:pPr>
        <w:ind w:left="4955" w:hanging="145"/>
      </w:pPr>
      <w:rPr>
        <w:rFonts w:hint="default"/>
      </w:rPr>
    </w:lvl>
    <w:lvl w:ilvl="8" w:tplc="6088D412">
      <w:numFmt w:val="bullet"/>
      <w:lvlText w:val="•"/>
      <w:lvlJc w:val="left"/>
      <w:pPr>
        <w:ind w:left="5545" w:hanging="145"/>
      </w:pPr>
      <w:rPr>
        <w:rFonts w:hint="default"/>
      </w:rPr>
    </w:lvl>
  </w:abstractNum>
  <w:abstractNum w:abstractNumId="2" w15:restartNumberingAfterBreak="0">
    <w:nsid w:val="5FFF7442"/>
    <w:multiLevelType w:val="hybridMultilevel"/>
    <w:tmpl w:val="A57030D8"/>
    <w:lvl w:ilvl="0" w:tplc="28D86434">
      <w:start w:val="1"/>
      <w:numFmt w:val="decimal"/>
      <w:lvlText w:val="%1"/>
      <w:lvlJc w:val="left"/>
      <w:pPr>
        <w:ind w:left="814" w:hanging="337"/>
        <w:jc w:val="left"/>
      </w:pPr>
      <w:rPr>
        <w:rFonts w:ascii="Arial" w:eastAsia="Arial" w:hAnsi="Arial" w:cs="Arial" w:hint="default"/>
        <w:w w:val="108"/>
        <w:position w:val="-5"/>
        <w:sz w:val="8"/>
        <w:szCs w:val="8"/>
      </w:rPr>
    </w:lvl>
    <w:lvl w:ilvl="1" w:tplc="BB089E4E">
      <w:numFmt w:val="bullet"/>
      <w:lvlText w:val="•"/>
      <w:lvlJc w:val="left"/>
      <w:pPr>
        <w:ind w:left="1000" w:hanging="337"/>
      </w:pPr>
      <w:rPr>
        <w:rFonts w:hint="default"/>
      </w:rPr>
    </w:lvl>
    <w:lvl w:ilvl="2" w:tplc="80BADD10">
      <w:numFmt w:val="bullet"/>
      <w:lvlText w:val="•"/>
      <w:lvlJc w:val="left"/>
      <w:pPr>
        <w:ind w:left="1180" w:hanging="337"/>
      </w:pPr>
      <w:rPr>
        <w:rFonts w:hint="default"/>
      </w:rPr>
    </w:lvl>
    <w:lvl w:ilvl="3" w:tplc="5B74D182">
      <w:numFmt w:val="bullet"/>
      <w:lvlText w:val="•"/>
      <w:lvlJc w:val="left"/>
      <w:pPr>
        <w:ind w:left="1360" w:hanging="337"/>
      </w:pPr>
      <w:rPr>
        <w:rFonts w:hint="default"/>
      </w:rPr>
    </w:lvl>
    <w:lvl w:ilvl="4" w:tplc="122C9AFE">
      <w:numFmt w:val="bullet"/>
      <w:lvlText w:val="•"/>
      <w:lvlJc w:val="left"/>
      <w:pPr>
        <w:ind w:left="1541" w:hanging="337"/>
      </w:pPr>
      <w:rPr>
        <w:rFonts w:hint="default"/>
      </w:rPr>
    </w:lvl>
    <w:lvl w:ilvl="5" w:tplc="9272C1E4">
      <w:numFmt w:val="bullet"/>
      <w:lvlText w:val="•"/>
      <w:lvlJc w:val="left"/>
      <w:pPr>
        <w:ind w:left="1721" w:hanging="337"/>
      </w:pPr>
      <w:rPr>
        <w:rFonts w:hint="default"/>
      </w:rPr>
    </w:lvl>
    <w:lvl w:ilvl="6" w:tplc="CE76449C">
      <w:numFmt w:val="bullet"/>
      <w:lvlText w:val="•"/>
      <w:lvlJc w:val="left"/>
      <w:pPr>
        <w:ind w:left="1901" w:hanging="337"/>
      </w:pPr>
      <w:rPr>
        <w:rFonts w:hint="default"/>
      </w:rPr>
    </w:lvl>
    <w:lvl w:ilvl="7" w:tplc="77684234">
      <w:numFmt w:val="bullet"/>
      <w:lvlText w:val="•"/>
      <w:lvlJc w:val="left"/>
      <w:pPr>
        <w:ind w:left="2082" w:hanging="337"/>
      </w:pPr>
      <w:rPr>
        <w:rFonts w:hint="default"/>
      </w:rPr>
    </w:lvl>
    <w:lvl w:ilvl="8" w:tplc="4AF04F1C">
      <w:numFmt w:val="bullet"/>
      <w:lvlText w:val="•"/>
      <w:lvlJc w:val="left"/>
      <w:pPr>
        <w:ind w:left="2262" w:hanging="337"/>
      </w:pPr>
      <w:rPr>
        <w:rFonts w:hint="default"/>
      </w:rPr>
    </w:lvl>
  </w:abstractNum>
  <w:num w:numId="1" w16cid:durableId="949120712">
    <w:abstractNumId w:val="0"/>
  </w:num>
  <w:num w:numId="2" w16cid:durableId="690110488">
    <w:abstractNumId w:val="2"/>
  </w:num>
  <w:num w:numId="3" w16cid:durableId="191077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FFA"/>
    <w:rsid w:val="00004F6F"/>
    <w:rsid w:val="00383342"/>
    <w:rsid w:val="00673FFA"/>
    <w:rsid w:val="008C4853"/>
    <w:rsid w:val="009418F2"/>
    <w:rsid w:val="00991A0A"/>
    <w:rsid w:val="009A3FC9"/>
    <w:rsid w:val="00A47900"/>
    <w:rsid w:val="00BD2E34"/>
    <w:rsid w:val="00D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6398F55"/>
  <w15:docId w15:val="{1849CD5B-48A1-4A7F-A8C7-BC0CF50E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991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1A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1A0A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1A0A"/>
    <w:rPr>
      <w:rFonts w:ascii="Arial" w:eastAsia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91A0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1318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9</cp:revision>
  <dcterms:created xsi:type="dcterms:W3CDTF">2023-01-12T18:03:00Z</dcterms:created>
  <dcterms:modified xsi:type="dcterms:W3CDTF">2023-01-13T15:02:00Z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2023-01-12T00:00:00Z</vt:filetime>
  </property>
</Properties>
</file>