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198D" w14:textId="77777777" w:rsidR="00C81227" w:rsidRPr="00984DA2" w:rsidRDefault="00C81227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bookmarkStart w:id="0" w:name="_MON_1732346877"/>
    <w:bookmarkEnd w:id="0"/>
    <w:p w14:paraId="4B0CE8BB" w14:textId="553C0044" w:rsidR="00B44BF6" w:rsidRPr="00984DA2" w:rsidRDefault="007C3777" w:rsidP="00313763">
      <w:pPr>
        <w:spacing w:after="0" w:line="240" w:lineRule="auto"/>
        <w:jc w:val="center"/>
        <w:rPr>
          <w:rFonts w:ascii="Times New Roman" w:hAnsi="Times New Roman"/>
        </w:rPr>
      </w:pPr>
      <w:r w:rsidRPr="007C3777">
        <w:rPr>
          <w:rFonts w:ascii="Times New Roman" w:hAnsi="Times New Roman"/>
        </w:rPr>
        <w:object w:dxaOrig="9072" w:dyaOrig="13863" w14:anchorId="2F702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3pt" o:ole="">
            <v:imagedata r:id="rId8" o:title=""/>
          </v:shape>
          <o:OLEObject Type="Embed" ProgID="Word.Document.12" ShapeID="_x0000_i1025" DrawAspect="Content" ObjectID="_1734518923" r:id="rId9">
            <o:FieldCodes>\s</o:FieldCodes>
          </o:OLEObject>
        </w:object>
      </w: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lastRenderedPageBreak/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</w:t>
      </w:r>
      <w:proofErr w:type="gramStart"/>
      <w:r w:rsidR="00C01D0A">
        <w:rPr>
          <w:rFonts w:ascii="Times New Roman" w:hAnsi="Times New Roman"/>
        </w:rPr>
        <w:t>6b</w:t>
      </w:r>
      <w:proofErr w:type="gramEnd"/>
      <w:r w:rsidR="00C01D0A">
        <w:rPr>
          <w:rFonts w:ascii="Times New Roman" w:hAnsi="Times New Roman"/>
        </w:rPr>
        <w:t xml:space="preserve">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6FADCFD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CD2839">
        <w:rPr>
          <w:rFonts w:ascii="Times New Roman" w:hAnsi="Times New Roman"/>
          <w:b/>
        </w:rPr>
        <w:t>2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16DB15D4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CD2839">
        <w:rPr>
          <w:rFonts w:ascii="Times New Roman" w:hAnsi="Times New Roman"/>
        </w:rPr>
        <w:t>2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</w:t>
      </w:r>
      <w:proofErr w:type="gramStart"/>
      <w:r w:rsidR="00AE0C25">
        <w:rPr>
          <w:rFonts w:ascii="Times New Roman" w:hAnsi="Times New Roman"/>
        </w:rPr>
        <w:t>přehledu  osob</w:t>
      </w:r>
      <w:proofErr w:type="gramEnd"/>
      <w:r w:rsidR="00AE0C25">
        <w:rPr>
          <w:rFonts w:ascii="Times New Roman" w:hAnsi="Times New Roman"/>
        </w:rPr>
        <w:t xml:space="preserve">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4744AAC0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67169D">
        <w:rPr>
          <w:rFonts w:ascii="Times New Roman" w:hAnsi="Times New Roman"/>
          <w:b/>
        </w:rPr>
        <w:t>31. 12</w:t>
      </w:r>
      <w:r w:rsidR="00776443">
        <w:rPr>
          <w:rFonts w:ascii="Times New Roman" w:hAnsi="Times New Roman"/>
          <w:b/>
        </w:rPr>
        <w:t xml:space="preserve">. </w:t>
      </w:r>
      <w:r w:rsidR="009E65EB" w:rsidRPr="00F327A7">
        <w:rPr>
          <w:rFonts w:ascii="Times New Roman" w:hAnsi="Times New Roman"/>
          <w:b/>
        </w:rPr>
        <w:t>202</w:t>
      </w:r>
      <w:r w:rsidR="008C24E8" w:rsidRPr="00F327A7">
        <w:rPr>
          <w:rFonts w:ascii="Times New Roman" w:hAnsi="Times New Roman"/>
          <w:b/>
        </w:rPr>
        <w:t>3</w:t>
      </w:r>
      <w:r w:rsidR="009E65EB">
        <w:rPr>
          <w:rFonts w:ascii="Times New Roman" w:hAnsi="Times New Roman"/>
        </w:rPr>
        <w:t>.</w:t>
      </w:r>
    </w:p>
    <w:p w14:paraId="54E79A6B" w14:textId="124214DF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CD2839">
        <w:rPr>
          <w:rFonts w:ascii="Times New Roman" w:hAnsi="Times New Roman"/>
        </w:rPr>
        <w:t>2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62C9FD83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CD2839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78AE8401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Dodatek č. 2 nabývá platnosti podpisem smluvních stran, účinnosti dne 01.01.2023.</w:t>
      </w:r>
    </w:p>
    <w:p w14:paraId="7CC097FF" w14:textId="335C71F5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je vyhotoven ve třech stejnopisech, z nichž ubytovatel obdrží jeden a objednatel dva stejnopisy. Každý stejnopis má právní sílu originálu. </w:t>
      </w:r>
    </w:p>
    <w:p w14:paraId="46895769" w14:textId="73B9CE05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CD2839">
        <w:rPr>
          <w:rFonts w:ascii="Times New Roman" w:hAnsi="Times New Roman"/>
        </w:rPr>
        <w:t>2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</w:t>
      </w:r>
      <w:proofErr w:type="gramStart"/>
      <w:r w:rsidR="002837ED" w:rsidRPr="00984DA2">
        <w:rPr>
          <w:rFonts w:ascii="Times New Roman" w:hAnsi="Times New Roman"/>
        </w:rPr>
        <w:t>…….</w:t>
      </w:r>
      <w:proofErr w:type="gramEnd"/>
      <w:r w:rsidR="002837ED" w:rsidRPr="00984DA2">
        <w:rPr>
          <w:rFonts w:ascii="Times New Roman" w:hAnsi="Times New Roman"/>
        </w:rPr>
        <w:t>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6F53A7E1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807225D" w14:textId="7777777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bookmarkStart w:id="1" w:name="_GoBack"/>
      <w:bookmarkEnd w:id="1"/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</w:t>
      </w:r>
      <w:proofErr w:type="gramStart"/>
      <w:r>
        <w:rPr>
          <w:rFonts w:ascii="Times New Roman" w:hAnsi="Times New Roman"/>
          <w:sz w:val="28"/>
          <w:szCs w:val="28"/>
        </w:rPr>
        <w:t>_  dne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10"/>
      <w:footerReference w:type="default" r:id="rId11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93306" w14:textId="2D906EE6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8122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8122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55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65D4" w14:textId="77777777" w:rsidR="00460DAC" w:rsidRDefault="00555302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4D849B21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CD2839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2B768851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776443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C81227">
      <w:rPr>
        <w:rFonts w:ascii="Times New Roman" w:hAnsi="Times New Roman"/>
        <w:b/>
        <w:bCs/>
        <w:color w:val="595959" w:themeColor="text1" w:themeTint="A6"/>
        <w:sz w:val="20"/>
        <w:szCs w:val="20"/>
      </w:rPr>
      <w:t>02628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BB18A7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65F2A"/>
    <w:rsid w:val="001B435B"/>
    <w:rsid w:val="002211E7"/>
    <w:rsid w:val="002333D9"/>
    <w:rsid w:val="00235F9B"/>
    <w:rsid w:val="002539C0"/>
    <w:rsid w:val="00253C82"/>
    <w:rsid w:val="002837ED"/>
    <w:rsid w:val="00293A2D"/>
    <w:rsid w:val="002C1083"/>
    <w:rsid w:val="00313763"/>
    <w:rsid w:val="0031560C"/>
    <w:rsid w:val="003358D7"/>
    <w:rsid w:val="00363492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1033C"/>
    <w:rsid w:val="0051092B"/>
    <w:rsid w:val="00555302"/>
    <w:rsid w:val="005655B0"/>
    <w:rsid w:val="005B3111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7169D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76443"/>
    <w:rsid w:val="00780831"/>
    <w:rsid w:val="007B26D4"/>
    <w:rsid w:val="007C0824"/>
    <w:rsid w:val="007C194F"/>
    <w:rsid w:val="007C3777"/>
    <w:rsid w:val="007D2AD1"/>
    <w:rsid w:val="007F4981"/>
    <w:rsid w:val="00801449"/>
    <w:rsid w:val="00805A42"/>
    <w:rsid w:val="0082264E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84DA2"/>
    <w:rsid w:val="009950C5"/>
    <w:rsid w:val="009C49BB"/>
    <w:rsid w:val="009E65EB"/>
    <w:rsid w:val="009E7FE8"/>
    <w:rsid w:val="009F6476"/>
    <w:rsid w:val="00A31CF9"/>
    <w:rsid w:val="00A47795"/>
    <w:rsid w:val="00A642E6"/>
    <w:rsid w:val="00AB17E1"/>
    <w:rsid w:val="00AC5CF0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81ADD"/>
    <w:rsid w:val="00BB18A7"/>
    <w:rsid w:val="00BB3A0F"/>
    <w:rsid w:val="00BC3265"/>
    <w:rsid w:val="00BE53D6"/>
    <w:rsid w:val="00C01D0A"/>
    <w:rsid w:val="00C14D0B"/>
    <w:rsid w:val="00C54F41"/>
    <w:rsid w:val="00C56218"/>
    <w:rsid w:val="00C61457"/>
    <w:rsid w:val="00C65DFF"/>
    <w:rsid w:val="00C70C72"/>
    <w:rsid w:val="00C81227"/>
    <w:rsid w:val="00C90477"/>
    <w:rsid w:val="00CC4B33"/>
    <w:rsid w:val="00CD2839"/>
    <w:rsid w:val="00CD4A9A"/>
    <w:rsid w:val="00CF459A"/>
    <w:rsid w:val="00CF7AAE"/>
    <w:rsid w:val="00D23A95"/>
    <w:rsid w:val="00D32BA4"/>
    <w:rsid w:val="00D46EFD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327A7"/>
    <w:rsid w:val="00F70BBB"/>
    <w:rsid w:val="00F75FD0"/>
    <w:rsid w:val="00F76540"/>
    <w:rsid w:val="00F9055B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4C5C-233E-4852-A764-391AF23A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Kořán Petr</cp:lastModifiedBy>
  <cp:revision>6</cp:revision>
  <cp:lastPrinted>2023-01-06T13:01:00Z</cp:lastPrinted>
  <dcterms:created xsi:type="dcterms:W3CDTF">2022-12-10T07:44:00Z</dcterms:created>
  <dcterms:modified xsi:type="dcterms:W3CDTF">2023-01-06T13:02:00Z</dcterms:modified>
</cp:coreProperties>
</file>