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FA356" w14:textId="77777777" w:rsidR="00150617" w:rsidRDefault="00FA4E6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F302757" wp14:editId="3562017C">
                <wp:simplePos x="0" y="0"/>
                <wp:positionH relativeFrom="page">
                  <wp:posOffset>671195</wp:posOffset>
                </wp:positionH>
                <wp:positionV relativeFrom="page">
                  <wp:posOffset>10084435</wp:posOffset>
                </wp:positionV>
                <wp:extent cx="615696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96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52.850000000000001pt;margin-top:794.04999999999995pt;width:484.80000000000001pt;height:0;z-index:-251658240;mso-position-horizontal-relative:page;mso-position-vertical-relative:page">
                <v:stroke weight="0.69999999999999996pt"/>
              </v:shape>
            </w:pict>
          </mc:Fallback>
        </mc:AlternateContent>
      </w:r>
    </w:p>
    <w:p w14:paraId="3949F1E9" w14:textId="77777777" w:rsidR="00150617" w:rsidRDefault="00FA4E64">
      <w:pPr>
        <w:pStyle w:val="Nadpis10"/>
        <w:framePr w:w="10339" w:h="696" w:hRule="exact" w:wrap="none" w:vAnchor="page" w:hAnchor="page" w:x="1034" w:y="1511"/>
        <w:shd w:val="clear" w:color="auto" w:fill="auto"/>
        <w:spacing w:after="0"/>
      </w:pPr>
      <w:bookmarkStart w:id="0" w:name="bookmark0"/>
      <w:bookmarkStart w:id="1" w:name="bookmark1"/>
      <w:r>
        <w:t>Dodatek č. 7 ke Smlouvě o předání a převzetí odpadů</w:t>
      </w:r>
      <w:r>
        <w:br/>
        <w:t>za účelem jejich dalšího zpracování č. 30-05-11-16/042</w:t>
      </w:r>
      <w:bookmarkEnd w:id="0"/>
      <w:bookmarkEnd w:id="1"/>
    </w:p>
    <w:p w14:paraId="64D23F0D" w14:textId="77777777" w:rsidR="00150617" w:rsidRDefault="00FA4E64">
      <w:pPr>
        <w:pStyle w:val="Nadpis20"/>
        <w:framePr w:w="10339" w:h="2813" w:hRule="exact" w:wrap="none" w:vAnchor="page" w:hAnchor="page" w:x="1034" w:y="2461"/>
        <w:shd w:val="clear" w:color="auto" w:fill="auto"/>
        <w:spacing w:line="202" w:lineRule="auto"/>
      </w:pPr>
      <w:bookmarkStart w:id="2" w:name="bookmark2"/>
      <w:bookmarkStart w:id="3" w:name="bookmark3"/>
      <w:proofErr w:type="spellStart"/>
      <w:r>
        <w:t>Recovera</w:t>
      </w:r>
      <w:proofErr w:type="spellEnd"/>
      <w:r>
        <w:t xml:space="preserve"> Využití zdrojů </w:t>
      </w:r>
      <w:proofErr w:type="spellStart"/>
      <w:r>
        <w:t>a.s</w:t>
      </w:r>
      <w:bookmarkEnd w:id="2"/>
      <w:bookmarkEnd w:id="3"/>
      <w:proofErr w:type="spellEnd"/>
    </w:p>
    <w:p w14:paraId="70C9B388" w14:textId="77777777" w:rsidR="00150617" w:rsidRDefault="00FA4E64">
      <w:pPr>
        <w:pStyle w:val="Zkladntext1"/>
        <w:framePr w:w="10339" w:h="2813" w:hRule="exact" w:wrap="none" w:vAnchor="page" w:hAnchor="page" w:x="1034" w:y="2461"/>
        <w:shd w:val="clear" w:color="auto" w:fill="auto"/>
      </w:pPr>
      <w:r>
        <w:t xml:space="preserve">Španělská 1073/10, 120 00 Praha 2 Vinohrady zápis v OR pod </w:t>
      </w:r>
      <w:proofErr w:type="spellStart"/>
      <w:r>
        <w:t>spis.zn</w:t>
      </w:r>
      <w:proofErr w:type="spellEnd"/>
      <w:r>
        <w:t>.: B 9378 u MS v Praze IČO: 25638955</w:t>
      </w:r>
    </w:p>
    <w:p w14:paraId="04F95222" w14:textId="77777777" w:rsidR="00150617" w:rsidRDefault="00FA4E64">
      <w:pPr>
        <w:pStyle w:val="Zkladntext1"/>
        <w:framePr w:w="10339" w:h="2813" w:hRule="exact" w:wrap="none" w:vAnchor="page" w:hAnchor="page" w:x="1034" w:y="2461"/>
        <w:shd w:val="clear" w:color="auto" w:fill="auto"/>
      </w:pPr>
      <w:r>
        <w:t xml:space="preserve">DIČ: </w:t>
      </w:r>
      <w:r>
        <w:t>CZ25638955</w:t>
      </w:r>
    </w:p>
    <w:p w14:paraId="6BD0A137" w14:textId="77777777" w:rsidR="00150617" w:rsidRDefault="00FA4E64">
      <w:pPr>
        <w:pStyle w:val="Zkladntext1"/>
        <w:framePr w:w="10339" w:h="2813" w:hRule="exact" w:wrap="none" w:vAnchor="page" w:hAnchor="page" w:x="1034" w:y="2461"/>
        <w:shd w:val="clear" w:color="auto" w:fill="auto"/>
        <w:spacing w:after="220"/>
      </w:pPr>
      <w:r>
        <w:t xml:space="preserve">zastupuje: Miloš </w:t>
      </w:r>
      <w:proofErr w:type="spellStart"/>
      <w:r>
        <w:t>Krýda</w:t>
      </w:r>
      <w:proofErr w:type="spellEnd"/>
      <w:r>
        <w:t>, MBA, oblastní manažer obchodu bankovní spojení: Komerční banka, a.s., Praha číslo účtu: 27-9328790297/0100</w:t>
      </w:r>
    </w:p>
    <w:p w14:paraId="3DC5A408" w14:textId="77777777" w:rsidR="00150617" w:rsidRDefault="00FA4E64">
      <w:pPr>
        <w:pStyle w:val="Zkladntext1"/>
        <w:framePr w:w="10339" w:h="2813" w:hRule="exact" w:wrap="none" w:vAnchor="page" w:hAnchor="page" w:x="1034" w:y="2461"/>
        <w:shd w:val="clear" w:color="auto" w:fill="auto"/>
        <w:spacing w:after="220"/>
      </w:pPr>
      <w:r>
        <w:t xml:space="preserve">(dále jen </w:t>
      </w:r>
      <w:r>
        <w:rPr>
          <w:b/>
          <w:bCs/>
        </w:rPr>
        <w:t>„zhotovitel“)</w:t>
      </w:r>
    </w:p>
    <w:p w14:paraId="623293DB" w14:textId="77777777" w:rsidR="00150617" w:rsidRDefault="00FA4E64">
      <w:pPr>
        <w:pStyle w:val="Zkladntext1"/>
        <w:framePr w:w="10339" w:h="2813" w:hRule="exact" w:wrap="none" w:vAnchor="page" w:hAnchor="page" w:x="1034" w:y="2461"/>
        <w:shd w:val="clear" w:color="auto" w:fill="auto"/>
      </w:pPr>
      <w:r>
        <w:rPr>
          <w:b/>
          <w:bCs/>
        </w:rPr>
        <w:t>a</w:t>
      </w:r>
    </w:p>
    <w:p w14:paraId="495F274D" w14:textId="77777777" w:rsidR="00150617" w:rsidRDefault="00FA4E64">
      <w:pPr>
        <w:pStyle w:val="Nadpis20"/>
        <w:framePr w:w="10339" w:h="3566" w:hRule="exact" w:wrap="none" w:vAnchor="page" w:hAnchor="page" w:x="1034" w:y="5754"/>
        <w:shd w:val="clear" w:color="auto" w:fill="auto"/>
        <w:spacing w:line="192" w:lineRule="auto"/>
      </w:pPr>
      <w:bookmarkStart w:id="4" w:name="bookmark4"/>
      <w:bookmarkStart w:id="5" w:name="bookmark5"/>
      <w:r>
        <w:t>Domov pro seniory „SKALKA“ v Chebu, příspěvková organizace</w:t>
      </w:r>
      <w:bookmarkEnd w:id="4"/>
      <w:bookmarkEnd w:id="5"/>
    </w:p>
    <w:p w14:paraId="6273A0A5" w14:textId="77777777" w:rsidR="00150617" w:rsidRDefault="00FA4E64">
      <w:pPr>
        <w:pStyle w:val="Zkladntext1"/>
        <w:framePr w:w="10339" w:h="3566" w:hRule="exact" w:wrap="none" w:vAnchor="page" w:hAnchor="page" w:x="1034" w:y="5754"/>
        <w:shd w:val="clear" w:color="auto" w:fill="auto"/>
        <w:spacing w:line="230" w:lineRule="auto"/>
      </w:pPr>
      <w:r>
        <w:t>Americká 52, 350 02 Cheb - Sk</w:t>
      </w:r>
      <w:r>
        <w:t>alka</w:t>
      </w:r>
    </w:p>
    <w:p w14:paraId="08E6B475" w14:textId="77777777" w:rsidR="00150617" w:rsidRDefault="00FA4E64">
      <w:pPr>
        <w:pStyle w:val="Zkladntext1"/>
        <w:framePr w:w="10339" w:h="3566" w:hRule="exact" w:wrap="none" w:vAnchor="page" w:hAnchor="page" w:x="1034" w:y="5754"/>
        <w:shd w:val="clear" w:color="auto" w:fill="auto"/>
        <w:spacing w:line="230" w:lineRule="auto"/>
      </w:pPr>
      <w:r>
        <w:t xml:space="preserve">zapsaná v </w:t>
      </w:r>
      <w:proofErr w:type="spellStart"/>
      <w:r>
        <w:t>OR:Krajský</w:t>
      </w:r>
      <w:proofErr w:type="spellEnd"/>
      <w:r>
        <w:t xml:space="preserve"> soud v Plzni, spisová značka </w:t>
      </w:r>
      <w:proofErr w:type="spellStart"/>
      <w:r>
        <w:t>Pr</w:t>
      </w:r>
      <w:proofErr w:type="spellEnd"/>
      <w:r>
        <w:t xml:space="preserve"> 512</w:t>
      </w:r>
    </w:p>
    <w:p w14:paraId="15A5B02B" w14:textId="77777777" w:rsidR="00150617" w:rsidRDefault="00FA4E64">
      <w:pPr>
        <w:pStyle w:val="Zkladntext1"/>
        <w:framePr w:w="10339" w:h="3566" w:hRule="exact" w:wrap="none" w:vAnchor="page" w:hAnchor="page" w:x="1034" w:y="5754"/>
        <w:shd w:val="clear" w:color="auto" w:fill="auto"/>
        <w:spacing w:line="230" w:lineRule="auto"/>
      </w:pPr>
      <w:r>
        <w:t>IČ: 711 75 245</w:t>
      </w:r>
    </w:p>
    <w:p w14:paraId="106415ED" w14:textId="77777777" w:rsidR="00150617" w:rsidRDefault="00FA4E64">
      <w:pPr>
        <w:pStyle w:val="Zkladntext1"/>
        <w:framePr w:w="10339" w:h="3566" w:hRule="exact" w:wrap="none" w:vAnchor="page" w:hAnchor="page" w:x="1034" w:y="5754"/>
        <w:shd w:val="clear" w:color="auto" w:fill="auto"/>
        <w:spacing w:line="230" w:lineRule="auto"/>
      </w:pPr>
      <w:r>
        <w:t>Zastupuje: Mgr. Alena Samuelově, ředitelka</w:t>
      </w:r>
    </w:p>
    <w:p w14:paraId="6AA9D054" w14:textId="77777777" w:rsidR="00150617" w:rsidRDefault="00FA4E64">
      <w:pPr>
        <w:pStyle w:val="Zkladntext1"/>
        <w:framePr w:w="10339" w:h="3566" w:hRule="exact" w:wrap="none" w:vAnchor="page" w:hAnchor="page" w:x="1034" w:y="5754"/>
        <w:shd w:val="clear" w:color="auto" w:fill="auto"/>
        <w:spacing w:after="220" w:line="230" w:lineRule="auto"/>
      </w:pPr>
      <w:r>
        <w:t xml:space="preserve">adresa pro zasílání korespondence: Domov pro seniory „SKALKA" v Chebu, </w:t>
      </w:r>
      <w:proofErr w:type="spellStart"/>
      <w:r>
        <w:t>p.o</w:t>
      </w:r>
      <w:proofErr w:type="spellEnd"/>
      <w:r>
        <w:t>., Americká 52, 350 02 Cheb - Skalka</w:t>
      </w:r>
    </w:p>
    <w:p w14:paraId="0FAA1F4E" w14:textId="77777777" w:rsidR="00150617" w:rsidRDefault="00FA4E64">
      <w:pPr>
        <w:pStyle w:val="Zkladntext1"/>
        <w:framePr w:w="10339" w:h="3566" w:hRule="exact" w:wrap="none" w:vAnchor="page" w:hAnchor="page" w:x="1034" w:y="5754"/>
        <w:shd w:val="clear" w:color="auto" w:fill="auto"/>
        <w:spacing w:after="220" w:line="230" w:lineRule="auto"/>
      </w:pPr>
      <w:r>
        <w:t xml:space="preserve">(dále jen </w:t>
      </w:r>
      <w:r>
        <w:rPr>
          <w:b/>
          <w:bCs/>
        </w:rPr>
        <w:t>„objednatel“)</w:t>
      </w:r>
    </w:p>
    <w:p w14:paraId="0C7F9F53" w14:textId="77777777" w:rsidR="00150617" w:rsidRDefault="00FA4E64">
      <w:pPr>
        <w:pStyle w:val="Nadpis30"/>
        <w:framePr w:w="10339" w:h="3566" w:hRule="exact" w:wrap="none" w:vAnchor="page" w:hAnchor="page" w:x="1034" w:y="5754"/>
        <w:shd w:val="clear" w:color="auto" w:fill="auto"/>
        <w:spacing w:line="230" w:lineRule="auto"/>
      </w:pPr>
      <w:bookmarkStart w:id="6" w:name="bookmark6"/>
      <w:bookmarkStart w:id="7" w:name="bookmark7"/>
      <w:r>
        <w:rPr>
          <w:u w:val="none"/>
        </w:rPr>
        <w:t>Preambule</w:t>
      </w:r>
      <w:bookmarkEnd w:id="6"/>
      <w:bookmarkEnd w:id="7"/>
    </w:p>
    <w:p w14:paraId="170FD82B" w14:textId="77777777" w:rsidR="00150617" w:rsidRDefault="00FA4E64">
      <w:pPr>
        <w:pStyle w:val="Zkladntext1"/>
        <w:framePr w:w="10339" w:h="3566" w:hRule="exact" w:wrap="none" w:vAnchor="page" w:hAnchor="page" w:x="1034" w:y="5754"/>
        <w:shd w:val="clear" w:color="auto" w:fill="auto"/>
      </w:pPr>
      <w:r>
        <w:t xml:space="preserve">Zhotovitel s účinností od 19.4. 2022 změnil zhotovitel obchodní jméno a dále vystupuje jako </w:t>
      </w:r>
      <w:proofErr w:type="spellStart"/>
      <w:r>
        <w:t>Recovera</w:t>
      </w:r>
      <w:proofErr w:type="spellEnd"/>
    </w:p>
    <w:p w14:paraId="55E4B91E" w14:textId="77777777" w:rsidR="00150617" w:rsidRDefault="00FA4E64">
      <w:pPr>
        <w:pStyle w:val="Zkladntext1"/>
        <w:framePr w:w="10339" w:h="3566" w:hRule="exact" w:wrap="none" w:vAnchor="page" w:hAnchor="page" w:x="1034" w:y="5754"/>
        <w:shd w:val="clear" w:color="auto" w:fill="auto"/>
      </w:pPr>
      <w:r>
        <w:t>Využití zdrojů a.s. Změna názvu společnosti nijak nemění stávající podmínky a povahu uzavřených smluv ani dosavadní způsob poskytov</w:t>
      </w:r>
      <w:r>
        <w:t>ání služeb. Veškeré stávající smlouvy zůstávají zachovány v jejich původním znění.</w:t>
      </w:r>
    </w:p>
    <w:p w14:paraId="429EA963" w14:textId="77777777" w:rsidR="00150617" w:rsidRDefault="00FA4E64">
      <w:pPr>
        <w:pStyle w:val="Nadpis30"/>
        <w:framePr w:w="10339" w:h="1421" w:hRule="exact" w:wrap="none" w:vAnchor="page" w:hAnchor="page" w:x="1034" w:y="9642"/>
        <w:pBdr>
          <w:bottom w:val="single" w:sz="4" w:space="0" w:color="auto"/>
        </w:pBdr>
        <w:shd w:val="clear" w:color="auto" w:fill="auto"/>
      </w:pPr>
      <w:bookmarkStart w:id="8" w:name="bookmark8"/>
      <w:bookmarkStart w:id="9" w:name="bookmark9"/>
      <w:r>
        <w:rPr>
          <w:u w:val="none"/>
        </w:rPr>
        <w:t>II.</w:t>
      </w:r>
      <w:r>
        <w:rPr>
          <w:u w:val="none"/>
        </w:rPr>
        <w:br/>
      </w:r>
      <w:r>
        <w:t>Předmět dodatku</w:t>
      </w:r>
      <w:bookmarkEnd w:id="8"/>
      <w:bookmarkEnd w:id="9"/>
    </w:p>
    <w:p w14:paraId="5BD50D9C" w14:textId="77777777" w:rsidR="00150617" w:rsidRDefault="00FA4E64">
      <w:pPr>
        <w:pStyle w:val="Zkladntext1"/>
        <w:framePr w:w="10339" w:h="1421" w:hRule="exact" w:wrap="none" w:vAnchor="page" w:hAnchor="page" w:x="1034" w:y="9642"/>
        <w:numPr>
          <w:ilvl w:val="0"/>
          <w:numId w:val="1"/>
        </w:numPr>
        <w:shd w:val="clear" w:color="auto" w:fill="auto"/>
        <w:tabs>
          <w:tab w:val="left" w:pos="330"/>
        </w:tabs>
        <w:spacing w:after="100"/>
      </w:pPr>
      <w:r>
        <w:t xml:space="preserve">Objednatel a zhotovitel uzavřeli </w:t>
      </w:r>
      <w:proofErr w:type="spellStart"/>
      <w:r>
        <w:t>dnesmlouvu</w:t>
      </w:r>
      <w:proofErr w:type="spellEnd"/>
      <w:r>
        <w:t xml:space="preserve"> o dílo, číslo: 30-05-11-16/042 (dále jen „smlouva“).</w:t>
      </w:r>
    </w:p>
    <w:p w14:paraId="177800ED" w14:textId="77777777" w:rsidR="00150617" w:rsidRDefault="00FA4E64">
      <w:pPr>
        <w:pStyle w:val="Zkladntext1"/>
        <w:framePr w:w="10339" w:h="1421" w:hRule="exact" w:wrap="none" w:vAnchor="page" w:hAnchor="page" w:x="1034" w:y="9642"/>
        <w:numPr>
          <w:ilvl w:val="0"/>
          <w:numId w:val="1"/>
        </w:numPr>
        <w:shd w:val="clear" w:color="auto" w:fill="auto"/>
        <w:tabs>
          <w:tab w:val="left" w:pos="349"/>
        </w:tabs>
      </w:pPr>
      <w:r>
        <w:t xml:space="preserve">Předmětem tohoto dodatku je úprava článku II. </w:t>
      </w:r>
      <w:r>
        <w:t>Předmět smlouvy, cenové podmínky, který nově zní</w:t>
      </w:r>
    </w:p>
    <w:p w14:paraId="71C8431C" w14:textId="77777777" w:rsidR="00150617" w:rsidRDefault="00FA4E64">
      <w:pPr>
        <w:pStyle w:val="Zkladntext1"/>
        <w:framePr w:w="10339" w:h="1421" w:hRule="exact" w:wrap="none" w:vAnchor="page" w:hAnchor="page" w:x="1034" w:y="9642"/>
        <w:shd w:val="clear" w:color="auto" w:fill="auto"/>
        <w:ind w:firstLine="760"/>
      </w:pPr>
      <w:r>
        <w:t>následovně:</w:t>
      </w:r>
    </w:p>
    <w:p w14:paraId="2AC38029" w14:textId="77777777" w:rsidR="00150617" w:rsidRDefault="00FA4E64">
      <w:pPr>
        <w:pStyle w:val="Nadpis30"/>
        <w:framePr w:w="10339" w:h="2112" w:hRule="exact" w:wrap="none" w:vAnchor="page" w:hAnchor="page" w:x="1034" w:y="11380"/>
        <w:shd w:val="clear" w:color="auto" w:fill="auto"/>
        <w:spacing w:after="220"/>
      </w:pPr>
      <w:bookmarkStart w:id="10" w:name="bookmark10"/>
      <w:bookmarkStart w:id="11" w:name="bookmark11"/>
      <w:r>
        <w:t>Předmět smlouvy, cenové podmínky</w:t>
      </w:r>
      <w:bookmarkEnd w:id="10"/>
      <w:bookmarkEnd w:id="11"/>
    </w:p>
    <w:p w14:paraId="29186975" w14:textId="77777777" w:rsidR="00150617" w:rsidRDefault="00FA4E64">
      <w:pPr>
        <w:pStyle w:val="Zkladntext1"/>
        <w:framePr w:w="10339" w:h="2112" w:hRule="exact" w:wrap="none" w:vAnchor="page" w:hAnchor="page" w:x="1034" w:y="11380"/>
        <w:shd w:val="clear" w:color="auto" w:fill="auto"/>
        <w:spacing w:after="220"/>
      </w:pPr>
      <w:r>
        <w:t>Zhotovitel je provozovatelem zařízení určeného pro nakládání s odpady plně oprávněným podnikat v odpadovém hospodářství dle zákona č. 541/2020 Sb., o odpadech (dá</w:t>
      </w:r>
      <w:r>
        <w:t>le jen „zákon o odpadech“).</w:t>
      </w:r>
    </w:p>
    <w:p w14:paraId="289268B3" w14:textId="77777777" w:rsidR="00150617" w:rsidRDefault="00FA4E64">
      <w:pPr>
        <w:pStyle w:val="Zkladntext1"/>
        <w:framePr w:w="10339" w:h="2112" w:hRule="exact" w:wrap="none" w:vAnchor="page" w:hAnchor="page" w:x="1034" w:y="11380"/>
        <w:shd w:val="clear" w:color="auto" w:fill="auto"/>
      </w:pPr>
      <w:r>
        <w:t>Zhotovitel se touto smlouvou zavazuje, že bude od objednatele přebírat odpady za účelem jejich dalšího zpracování dle zákona o odpadech a poskytovat mu další sjednaná související plnění za dohodnuté ceny a v dohodnutém místě:</w:t>
      </w:r>
    </w:p>
    <w:p w14:paraId="13C7618A" w14:textId="77777777" w:rsidR="00150617" w:rsidRDefault="00FA4E64">
      <w:pPr>
        <w:pStyle w:val="Zkladntext1"/>
        <w:framePr w:w="10339" w:h="2112" w:hRule="exact" w:wrap="none" w:vAnchor="page" w:hAnchor="page" w:x="1034" w:y="11380"/>
        <w:shd w:val="clear" w:color="auto" w:fill="auto"/>
      </w:pPr>
      <w:r>
        <w:rPr>
          <w:b/>
          <w:bCs/>
        </w:rPr>
        <w:t>Do</w:t>
      </w:r>
      <w:r>
        <w:rPr>
          <w:b/>
          <w:bCs/>
        </w:rPr>
        <w:t xml:space="preserve">mov pro seniory „SKALKA“ v Chebu, </w:t>
      </w:r>
      <w:proofErr w:type="spellStart"/>
      <w:r>
        <w:rPr>
          <w:b/>
          <w:bCs/>
        </w:rPr>
        <w:t>p.o</w:t>
      </w:r>
      <w:proofErr w:type="spellEnd"/>
      <w:r>
        <w:rPr>
          <w:b/>
          <w:bCs/>
        </w:rPr>
        <w:t>., Americká 52, 350 02 Cheb - Skalka</w:t>
      </w:r>
    </w:p>
    <w:p w14:paraId="62F59BAF" w14:textId="77777777" w:rsidR="00150617" w:rsidRDefault="00FA4E64">
      <w:pPr>
        <w:pStyle w:val="Zkladntext1"/>
        <w:framePr w:w="10339" w:h="499" w:hRule="exact" w:wrap="none" w:vAnchor="page" w:hAnchor="page" w:x="1034" w:y="14125"/>
        <w:shd w:val="clear" w:color="auto" w:fill="auto"/>
      </w:pPr>
      <w:r>
        <w:t>Objednatel se zavazuje odpady zhotoviteli předávat, další poskytnutá plnění přijímat a zaplatit zhotoviteli sjednanou cenu.</w:t>
      </w:r>
    </w:p>
    <w:p w14:paraId="03627D64" w14:textId="77777777" w:rsidR="00150617" w:rsidRDefault="00FA4E64">
      <w:pPr>
        <w:pStyle w:val="Zhlavnebozpat0"/>
        <w:framePr w:wrap="none" w:vAnchor="page" w:hAnchor="page" w:x="1067" w:y="15863"/>
        <w:shd w:val="clear" w:color="auto" w:fill="auto"/>
      </w:pPr>
      <w:proofErr w:type="spellStart"/>
      <w:r>
        <w:t>Recovera</w:t>
      </w:r>
      <w:proofErr w:type="spellEnd"/>
      <w:r>
        <w:t xml:space="preserve"> Využití zdrojů a.s.</w:t>
      </w:r>
    </w:p>
    <w:p w14:paraId="74711F9F" w14:textId="77777777" w:rsidR="00150617" w:rsidRDefault="00FA4E64">
      <w:pPr>
        <w:pStyle w:val="Zhlavnebozpat0"/>
        <w:framePr w:wrap="none" w:vAnchor="page" w:hAnchor="page" w:x="9237" w:y="15872"/>
        <w:shd w:val="clear" w:color="auto" w:fill="auto"/>
      </w:pPr>
      <w:r>
        <w:t>strana číslo 1 ze 2</w:t>
      </w:r>
    </w:p>
    <w:p w14:paraId="32D6FCBE" w14:textId="77777777" w:rsidR="00150617" w:rsidRDefault="00150617">
      <w:pPr>
        <w:spacing w:line="1" w:lineRule="exact"/>
        <w:sectPr w:rsidR="001506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AAC0BD" w14:textId="77777777" w:rsidR="00150617" w:rsidRDefault="00FA4E64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BDFB376" wp14:editId="1FF47F4D">
                <wp:simplePos x="0" y="0"/>
                <wp:positionH relativeFrom="page">
                  <wp:posOffset>674370</wp:posOffset>
                </wp:positionH>
                <wp:positionV relativeFrom="page">
                  <wp:posOffset>626745</wp:posOffset>
                </wp:positionV>
                <wp:extent cx="6126480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53.100000000000001pt;margin-top:49.350000000000001pt;width:482.39999999999998pt;height:0;z-index:-251658240;mso-position-horizontal-relative:page;mso-position-vertical-relative:page">
                <v:stroke weight="0.69999999999999996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1C460C1" wp14:editId="65C06CEE">
                <wp:simplePos x="0" y="0"/>
                <wp:positionH relativeFrom="page">
                  <wp:posOffset>655955</wp:posOffset>
                </wp:positionH>
                <wp:positionV relativeFrom="page">
                  <wp:posOffset>10230485</wp:posOffset>
                </wp:positionV>
                <wp:extent cx="6147435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743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51.649999999999999pt;margin-top:805.54999999999995pt;width:484.05000000000001pt;height:0;z-index:-251658240;mso-position-horizontal-relative:page;mso-position-vertical-relative:page">
                <v:stroke weight="0.69999999999999996pt"/>
              </v:shape>
            </w:pict>
          </mc:Fallback>
        </mc:AlternateContent>
      </w:r>
    </w:p>
    <w:p w14:paraId="3DB109F2" w14:textId="77777777" w:rsidR="00150617" w:rsidRDefault="00FA4E64">
      <w:pPr>
        <w:pStyle w:val="Zhlavnebozpat0"/>
        <w:framePr w:wrap="none" w:vAnchor="page" w:hAnchor="page" w:x="1063" w:y="546"/>
        <w:shd w:val="clear" w:color="auto" w:fill="auto"/>
      </w:pPr>
      <w:r>
        <w:t xml:space="preserve">Smlouva o předání a převzetí odpadu č. 30-05-11-16/042 Domov pro seniory „SKALKA“ v Chebu, </w:t>
      </w:r>
      <w:proofErr w:type="spellStart"/>
      <w:r>
        <w:t>p.o</w:t>
      </w:r>
      <w:proofErr w:type="spellEnd"/>
      <w:r>
        <w:t>.</w:t>
      </w:r>
    </w:p>
    <w:p w14:paraId="4BD76959" w14:textId="77777777" w:rsidR="00150617" w:rsidRDefault="00FA4E64">
      <w:pPr>
        <w:pStyle w:val="Zhlavnebozpat0"/>
        <w:framePr w:wrap="none" w:vAnchor="page" w:hAnchor="page" w:x="9453" w:y="762"/>
        <w:shd w:val="clear" w:color="auto" w:fill="auto"/>
      </w:pPr>
      <w:r>
        <w:t>změna číslo 07</w:t>
      </w:r>
    </w:p>
    <w:p w14:paraId="21F14C68" w14:textId="77777777" w:rsidR="00150617" w:rsidRDefault="00FA4E64">
      <w:pPr>
        <w:pStyle w:val="Zkladntext1"/>
        <w:framePr w:wrap="none" w:vAnchor="page" w:hAnchor="page" w:x="1034" w:y="1511"/>
        <w:shd w:val="clear" w:color="auto" w:fill="auto"/>
      </w:pPr>
      <w:r>
        <w:t>Sjednaná plnění:</w:t>
      </w:r>
    </w:p>
    <w:p w14:paraId="410CF9CA" w14:textId="77777777" w:rsidR="00150617" w:rsidRDefault="00FA4E64">
      <w:pPr>
        <w:pStyle w:val="Titulektabulky0"/>
        <w:framePr w:wrap="none" w:vAnchor="page" w:hAnchor="page" w:x="1063" w:y="1972"/>
        <w:shd w:val="clear" w:color="auto" w:fill="auto"/>
      </w:pPr>
      <w:r>
        <w:rPr>
          <w:b/>
          <w:bCs/>
        </w:rPr>
        <w:t>1. Převzetí odpadů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571"/>
        <w:gridCol w:w="6125"/>
        <w:gridCol w:w="538"/>
        <w:gridCol w:w="1253"/>
      </w:tblGrid>
      <w:tr w:rsidR="00150617" w14:paraId="6FDAB602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78337" w14:textId="77777777" w:rsidR="00150617" w:rsidRDefault="00FA4E64">
            <w:pPr>
              <w:pStyle w:val="Jin0"/>
              <w:framePr w:w="10042" w:h="2011" w:wrap="none" w:vAnchor="page" w:hAnchor="page" w:x="1072" w:y="2332"/>
              <w:shd w:val="clear" w:color="auto" w:fill="auto"/>
              <w:ind w:firstLine="180"/>
            </w:pPr>
            <w:proofErr w:type="spellStart"/>
            <w:r>
              <w:rPr>
                <w:b/>
                <w:bCs/>
              </w:rPr>
              <w:t>Katal</w:t>
            </w:r>
            <w:proofErr w:type="spellEnd"/>
            <w:r>
              <w:rPr>
                <w:b/>
                <w:bCs/>
              </w:rPr>
              <w:t>. č. dle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19DBC" w14:textId="77777777" w:rsidR="00150617" w:rsidRDefault="00FA4E64">
            <w:pPr>
              <w:pStyle w:val="Jin0"/>
              <w:framePr w:w="10042" w:h="2011" w:wrap="none" w:vAnchor="page" w:hAnchor="page" w:x="1072" w:y="2332"/>
              <w:shd w:val="clear" w:color="auto" w:fill="auto"/>
              <w:jc w:val="center"/>
            </w:pPr>
            <w:r>
              <w:rPr>
                <w:b/>
                <w:bCs/>
              </w:rPr>
              <w:t>Kat.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D1D73" w14:textId="77777777" w:rsidR="00150617" w:rsidRDefault="00FA4E64">
            <w:pPr>
              <w:pStyle w:val="Jin0"/>
              <w:framePr w:w="10042" w:h="2011" w:wrap="none" w:vAnchor="page" w:hAnchor="page" w:x="1072" w:y="2332"/>
              <w:shd w:val="clear" w:color="auto" w:fill="auto"/>
              <w:jc w:val="center"/>
            </w:pPr>
            <w:r>
              <w:rPr>
                <w:b/>
                <w:bCs/>
              </w:rPr>
              <w:t>Název odpadu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F8AAF" w14:textId="77777777" w:rsidR="00150617" w:rsidRDefault="00FA4E64">
            <w:pPr>
              <w:pStyle w:val="Jin0"/>
              <w:framePr w:w="10042" w:h="2011" w:wrap="none" w:vAnchor="page" w:hAnchor="page" w:x="1072" w:y="2332"/>
              <w:shd w:val="clear" w:color="auto" w:fill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F84779" w14:textId="77777777" w:rsidR="00150617" w:rsidRDefault="00FA4E64">
            <w:pPr>
              <w:pStyle w:val="Jin0"/>
              <w:framePr w:w="10042" w:h="2011" w:wrap="none" w:vAnchor="page" w:hAnchor="page" w:x="1072" w:y="2332"/>
              <w:shd w:val="clear" w:color="auto" w:fill="auto"/>
              <w:spacing w:line="226" w:lineRule="auto"/>
              <w:jc w:val="center"/>
            </w:pPr>
            <w:r>
              <w:rPr>
                <w:b/>
                <w:bCs/>
              </w:rPr>
              <w:t>Cena (Kč/MJ)</w:t>
            </w:r>
          </w:p>
        </w:tc>
      </w:tr>
      <w:tr w:rsidR="00150617" w14:paraId="695B71F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856EC0" w14:textId="77777777" w:rsidR="00150617" w:rsidRDefault="00FA4E64">
            <w:pPr>
              <w:pStyle w:val="Jin0"/>
              <w:framePr w:w="10042" w:h="2011" w:wrap="none" w:vAnchor="page" w:hAnchor="page" w:x="1072" w:y="2332"/>
              <w:shd w:val="clear" w:color="auto" w:fill="auto"/>
              <w:ind w:firstLine="340"/>
              <w:jc w:val="both"/>
            </w:pPr>
            <w:r>
              <w:rPr>
                <w:b/>
                <w:bCs/>
              </w:rPr>
              <w:t>18 01 Ol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697AF" w14:textId="77777777" w:rsidR="00150617" w:rsidRDefault="00FA4E64">
            <w:pPr>
              <w:pStyle w:val="Jin0"/>
              <w:framePr w:w="10042" w:h="2011" w:wrap="none" w:vAnchor="page" w:hAnchor="page" w:x="1072" w:y="2332"/>
              <w:shd w:val="clear" w:color="auto" w:fill="auto"/>
              <w:ind w:firstLine="220"/>
              <w:jc w:val="both"/>
            </w:pPr>
            <w:r>
              <w:t>N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60FE7" w14:textId="77777777" w:rsidR="00150617" w:rsidRDefault="00FA4E64">
            <w:pPr>
              <w:pStyle w:val="Jin0"/>
              <w:framePr w:w="10042" w:h="2011" w:wrap="none" w:vAnchor="page" w:hAnchor="page" w:x="1072" w:y="2332"/>
              <w:shd w:val="clear" w:color="auto" w:fill="auto"/>
            </w:pPr>
            <w:r>
              <w:t xml:space="preserve">Ostré předměty </w:t>
            </w:r>
            <w:r>
              <w:t>(kromě čísla 180103)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D1085" w14:textId="77777777" w:rsidR="00150617" w:rsidRDefault="00FA4E64">
            <w:pPr>
              <w:pStyle w:val="Jin0"/>
              <w:framePr w:w="10042" w:h="2011" w:wrap="none" w:vAnchor="page" w:hAnchor="page" w:x="1072" w:y="2332"/>
              <w:shd w:val="clear" w:color="auto" w:fill="auto"/>
              <w:jc w:val="center"/>
            </w:pPr>
            <w:proofErr w:type="spellStart"/>
            <w:r>
              <w:t>kq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AFA50B" w14:textId="77777777" w:rsidR="00150617" w:rsidRDefault="00FA4E64">
            <w:pPr>
              <w:pStyle w:val="Jin0"/>
              <w:framePr w:w="10042" w:h="2011" w:wrap="none" w:vAnchor="page" w:hAnchor="page" w:x="1072" w:y="2332"/>
              <w:shd w:val="clear" w:color="auto" w:fill="auto"/>
              <w:jc w:val="center"/>
            </w:pPr>
            <w:r>
              <w:rPr>
                <w:b/>
                <w:bCs/>
              </w:rPr>
              <w:t>16,80</w:t>
            </w:r>
          </w:p>
        </w:tc>
      </w:tr>
      <w:tr w:rsidR="00150617" w14:paraId="1ED42F77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FB179" w14:textId="77777777" w:rsidR="00150617" w:rsidRDefault="00FA4E64">
            <w:pPr>
              <w:pStyle w:val="Jin0"/>
              <w:framePr w:w="10042" w:h="2011" w:wrap="none" w:vAnchor="page" w:hAnchor="page" w:x="1072" w:y="2332"/>
              <w:shd w:val="clear" w:color="auto" w:fill="auto"/>
              <w:ind w:firstLine="340"/>
              <w:jc w:val="both"/>
            </w:pPr>
            <w:r>
              <w:rPr>
                <w:b/>
                <w:bCs/>
              </w:rPr>
              <w:t>18 01 03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85741" w14:textId="77777777" w:rsidR="00150617" w:rsidRDefault="00FA4E64">
            <w:pPr>
              <w:pStyle w:val="Jin0"/>
              <w:framePr w:w="10042" w:h="2011" w:wrap="none" w:vAnchor="page" w:hAnchor="page" w:x="1072" w:y="2332"/>
              <w:shd w:val="clear" w:color="auto" w:fill="auto"/>
              <w:ind w:firstLine="220"/>
              <w:jc w:val="both"/>
            </w:pPr>
            <w:r>
              <w:t>N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852D3" w14:textId="77777777" w:rsidR="00150617" w:rsidRDefault="00FA4E64">
            <w:pPr>
              <w:pStyle w:val="Jin0"/>
              <w:framePr w:w="10042" w:h="2011" w:wrap="none" w:vAnchor="page" w:hAnchor="page" w:x="1072" w:y="2332"/>
              <w:shd w:val="clear" w:color="auto" w:fill="auto"/>
              <w:spacing w:line="230" w:lineRule="auto"/>
            </w:pPr>
            <w:r>
              <w:t>Odpady, na jejichž sběr a odstraňování jsou kladeny zvi. požadavky s ohledem na prevenci infekce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E25F1" w14:textId="77777777" w:rsidR="00150617" w:rsidRDefault="00FA4E64">
            <w:pPr>
              <w:pStyle w:val="Jin0"/>
              <w:framePr w:w="10042" w:h="2011" w:wrap="none" w:vAnchor="page" w:hAnchor="page" w:x="1072" w:y="2332"/>
              <w:shd w:val="clear" w:color="auto" w:fill="auto"/>
              <w:jc w:val="center"/>
            </w:pPr>
            <w:r>
              <w:t>kg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27EB8" w14:textId="77777777" w:rsidR="00150617" w:rsidRDefault="00FA4E64">
            <w:pPr>
              <w:pStyle w:val="Jin0"/>
              <w:framePr w:w="10042" w:h="2011" w:wrap="none" w:vAnchor="page" w:hAnchor="page" w:x="1072" w:y="2332"/>
              <w:shd w:val="clear" w:color="auto" w:fill="auto"/>
              <w:jc w:val="center"/>
            </w:pPr>
            <w:r>
              <w:rPr>
                <w:b/>
                <w:bCs/>
              </w:rPr>
              <w:t>16,80</w:t>
            </w:r>
          </w:p>
        </w:tc>
      </w:tr>
      <w:tr w:rsidR="00150617" w14:paraId="3428E4B2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D9ACE" w14:textId="77777777" w:rsidR="00150617" w:rsidRDefault="00FA4E64">
            <w:pPr>
              <w:pStyle w:val="Jin0"/>
              <w:framePr w:w="10042" w:h="2011" w:wrap="none" w:vAnchor="page" w:hAnchor="page" w:x="1072" w:y="2332"/>
              <w:shd w:val="clear" w:color="auto" w:fill="auto"/>
              <w:ind w:firstLine="340"/>
              <w:jc w:val="both"/>
            </w:pPr>
            <w:r>
              <w:rPr>
                <w:b/>
                <w:bCs/>
              </w:rPr>
              <w:t>18 Ol 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8C1FA" w14:textId="77777777" w:rsidR="00150617" w:rsidRDefault="00FA4E64">
            <w:pPr>
              <w:pStyle w:val="Jin0"/>
              <w:framePr w:w="10042" w:h="2011" w:wrap="none" w:vAnchor="page" w:hAnchor="page" w:x="1072" w:y="2332"/>
              <w:shd w:val="clear" w:color="auto" w:fill="auto"/>
              <w:ind w:firstLine="220"/>
              <w:jc w:val="both"/>
            </w:pPr>
            <w:r>
              <w:t>N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6784D" w14:textId="77777777" w:rsidR="00150617" w:rsidRDefault="00FA4E64">
            <w:pPr>
              <w:pStyle w:val="Jin0"/>
              <w:framePr w:w="10042" w:h="2011" w:wrap="none" w:vAnchor="page" w:hAnchor="page" w:x="1072" w:y="2332"/>
              <w:shd w:val="clear" w:color="auto" w:fill="auto"/>
            </w:pPr>
            <w:r>
              <w:t>Jiná nepoužitelná léčiva neuvedená pod číslem 180108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1EBB4" w14:textId="77777777" w:rsidR="00150617" w:rsidRDefault="00FA4E64">
            <w:pPr>
              <w:pStyle w:val="Jin0"/>
              <w:framePr w:w="10042" w:h="2011" w:wrap="none" w:vAnchor="page" w:hAnchor="page" w:x="1072" w:y="2332"/>
              <w:shd w:val="clear" w:color="auto" w:fill="auto"/>
              <w:jc w:val="center"/>
            </w:pPr>
            <w:r>
              <w:t>kg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C2809" w14:textId="77777777" w:rsidR="00150617" w:rsidRDefault="00FA4E64">
            <w:pPr>
              <w:pStyle w:val="Jin0"/>
              <w:framePr w:w="10042" w:h="2011" w:wrap="none" w:vAnchor="page" w:hAnchor="page" w:x="1072" w:y="2332"/>
              <w:shd w:val="clear" w:color="auto" w:fill="auto"/>
              <w:jc w:val="center"/>
            </w:pPr>
            <w:r>
              <w:rPr>
                <w:b/>
                <w:bCs/>
              </w:rPr>
              <w:t>16,80</w:t>
            </w:r>
          </w:p>
        </w:tc>
      </w:tr>
      <w:tr w:rsidR="00150617" w14:paraId="3839777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14:paraId="1FDA4B38" w14:textId="77777777" w:rsidR="00150617" w:rsidRDefault="00FA4E64">
            <w:pPr>
              <w:pStyle w:val="Jin0"/>
              <w:framePr w:w="10042" w:h="2011" w:wrap="none" w:vAnchor="page" w:hAnchor="page" w:x="1072" w:y="2332"/>
              <w:shd w:val="clear" w:color="auto" w:fill="auto"/>
            </w:pPr>
            <w:r>
              <w:t>Služba a cena za</w:t>
            </w:r>
          </w:p>
        </w:tc>
        <w:tc>
          <w:tcPr>
            <w:tcW w:w="84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472EC" w14:textId="77777777" w:rsidR="00150617" w:rsidRDefault="00FA4E64">
            <w:pPr>
              <w:pStyle w:val="Jin0"/>
              <w:framePr w:w="10042" w:h="2011" w:wrap="none" w:vAnchor="page" w:hAnchor="page" w:x="1072" w:y="2332"/>
              <w:shd w:val="clear" w:color="auto" w:fill="auto"/>
            </w:pPr>
            <w:proofErr w:type="spellStart"/>
            <w:r>
              <w:t>trnuje</w:t>
            </w:r>
            <w:proofErr w:type="spellEnd"/>
            <w:r>
              <w:t>:</w:t>
            </w:r>
          </w:p>
        </w:tc>
      </w:tr>
    </w:tbl>
    <w:p w14:paraId="0FA8DEC2" w14:textId="77777777" w:rsidR="00150617" w:rsidRDefault="00FA4E64">
      <w:pPr>
        <w:pStyle w:val="Titulektabulky0"/>
        <w:framePr w:w="10334" w:h="480" w:hRule="exact" w:wrap="none" w:vAnchor="page" w:hAnchor="page" w:x="1039" w:y="4304"/>
        <w:shd w:val="clear" w:color="auto" w:fill="auto"/>
        <w:ind w:left="9" w:right="10"/>
      </w:pPr>
      <w:r>
        <w:t>Přepravu odpadu krytým automobilem dle podmínek ADR z prostoru domova do spalovny, a to s četností 3x</w:t>
      </w:r>
      <w:r>
        <w:br/>
        <w:t>týdně v kapacitě, která zajistí odvoz veškerého zdravotnického odpadu.</w:t>
      </w:r>
    </w:p>
    <w:p w14:paraId="5C7679BD" w14:textId="77777777" w:rsidR="00150617" w:rsidRDefault="00FA4E64">
      <w:pPr>
        <w:pStyle w:val="Zkladntext1"/>
        <w:framePr w:w="10339" w:h="2294" w:hRule="exact" w:wrap="none" w:vAnchor="page" w:hAnchor="page" w:x="1034" w:y="5044"/>
        <w:shd w:val="clear" w:color="auto" w:fill="auto"/>
      </w:pPr>
      <w:r>
        <w:t>Předmětem smlouvy je dále:</w:t>
      </w:r>
    </w:p>
    <w:p w14:paraId="48292984" w14:textId="77777777" w:rsidR="00150617" w:rsidRDefault="00FA4E64">
      <w:pPr>
        <w:pStyle w:val="Zkladntext1"/>
        <w:framePr w:w="10339" w:h="2294" w:hRule="exact" w:wrap="none" w:vAnchor="page" w:hAnchor="page" w:x="1034" w:y="5044"/>
        <w:shd w:val="clear" w:color="auto" w:fill="auto"/>
      </w:pPr>
      <w:r>
        <w:t xml:space="preserve">Dodávka pytlů z PVC velikosti 550 x 1000mm </w:t>
      </w:r>
      <w:proofErr w:type="spellStart"/>
      <w:r>
        <w:t>tl</w:t>
      </w:r>
      <w:proofErr w:type="spellEnd"/>
      <w:r>
        <w:t>. 0,05mm na</w:t>
      </w:r>
      <w:r>
        <w:t xml:space="preserve"> odpady, v počtu odpovídajícímu množství likvidovaného odpadu, uvažováno 8kg na 1 pytel.</w:t>
      </w:r>
    </w:p>
    <w:p w14:paraId="6E2A8F55" w14:textId="77777777" w:rsidR="00150617" w:rsidRDefault="00FA4E64">
      <w:pPr>
        <w:pStyle w:val="Zkladntext1"/>
        <w:framePr w:w="10339" w:h="2294" w:hRule="exact" w:wrap="none" w:vAnchor="page" w:hAnchor="page" w:x="1034" w:y="5044"/>
        <w:shd w:val="clear" w:color="auto" w:fill="auto"/>
        <w:spacing w:after="220"/>
      </w:pPr>
      <w:r>
        <w:t>V případě další potřeby pytlů nad rámec bude účtována cena 9,- Kč/ks.</w:t>
      </w:r>
    </w:p>
    <w:p w14:paraId="71C99CAC" w14:textId="77777777" w:rsidR="00150617" w:rsidRDefault="00FA4E64">
      <w:pPr>
        <w:pStyle w:val="Zkladntext1"/>
        <w:framePr w:w="10339" w:h="2294" w:hRule="exact" w:wrap="none" w:vAnchor="page" w:hAnchor="page" w:x="1034" w:y="5044"/>
        <w:shd w:val="clear" w:color="auto" w:fill="auto"/>
        <w:spacing w:after="220"/>
      </w:pPr>
      <w:r>
        <w:t>Minimální účtovaná částka za každou jednotlivou samostatnou dodávku služeb nebo zboží je 150,- Kč</w:t>
      </w:r>
      <w:r>
        <w:t>.</w:t>
      </w:r>
    </w:p>
    <w:p w14:paraId="5E8C68CB" w14:textId="77777777" w:rsidR="00150617" w:rsidRDefault="00FA4E64">
      <w:pPr>
        <w:pStyle w:val="Zkladntext1"/>
        <w:framePr w:w="10339" w:h="2294" w:hRule="exact" w:wrap="none" w:vAnchor="page" w:hAnchor="page" w:x="1034" w:y="5044"/>
        <w:shd w:val="clear" w:color="auto" w:fill="auto"/>
      </w:pPr>
      <w:r>
        <w:t>Celková cena k vyúčtování zhotovitelem objednateli odpovídá násobku výše uvedených jednotkových cen a příslušných měrných jednotek. Všechny ceny uvedené ve smlouvě jsou bez DPH, která se připočte v souladu s příslušnými platnými předpisy.</w:t>
      </w:r>
    </w:p>
    <w:p w14:paraId="4B9D2CC1" w14:textId="77777777" w:rsidR="00150617" w:rsidRDefault="00FA4E64">
      <w:pPr>
        <w:pStyle w:val="Nadpis30"/>
        <w:framePr w:w="10339" w:h="3168" w:hRule="exact" w:wrap="none" w:vAnchor="page" w:hAnchor="page" w:x="1034" w:y="7520"/>
        <w:shd w:val="clear" w:color="auto" w:fill="auto"/>
        <w:spacing w:after="0"/>
      </w:pPr>
      <w:bookmarkStart w:id="12" w:name="bookmark12"/>
      <w:bookmarkStart w:id="13" w:name="bookmark13"/>
      <w:r>
        <w:rPr>
          <w:u w:val="none"/>
        </w:rPr>
        <w:t xml:space="preserve">III. </w:t>
      </w:r>
      <w:r>
        <w:t>Závěrečná</w:t>
      </w:r>
      <w:r>
        <w:t xml:space="preserve"> ujednání</w:t>
      </w:r>
      <w:bookmarkEnd w:id="12"/>
      <w:bookmarkEnd w:id="13"/>
    </w:p>
    <w:p w14:paraId="67CACF5D" w14:textId="77777777" w:rsidR="00150617" w:rsidRDefault="00FA4E64">
      <w:pPr>
        <w:pStyle w:val="Zkladntext1"/>
        <w:framePr w:w="10339" w:h="3168" w:hRule="exact" w:wrap="none" w:vAnchor="page" w:hAnchor="page" w:x="1034" w:y="7520"/>
        <w:numPr>
          <w:ilvl w:val="0"/>
          <w:numId w:val="2"/>
        </w:numPr>
        <w:shd w:val="clear" w:color="auto" w:fill="auto"/>
        <w:tabs>
          <w:tab w:val="left" w:pos="320"/>
        </w:tabs>
      </w:pPr>
      <w:r>
        <w:t>ostatních ustanoveních se výše uvedená smlouva nemění.</w:t>
      </w:r>
    </w:p>
    <w:p w14:paraId="6A820829" w14:textId="77777777" w:rsidR="00150617" w:rsidRDefault="00FA4E64">
      <w:pPr>
        <w:pStyle w:val="Zkladntext1"/>
        <w:framePr w:w="10339" w:h="3168" w:hRule="exact" w:wrap="none" w:vAnchor="page" w:hAnchor="page" w:x="1034" w:y="7520"/>
        <w:shd w:val="clear" w:color="auto" w:fill="auto"/>
      </w:pPr>
      <w:r>
        <w:t xml:space="preserve">Tento dodatek nabývá účinnosti ode dne 01.01.2023. V případě, že se tento dodatek uzavře po datu 01.01.2023, pak se smluvní strany dohodly, že na plnění provedená od 01.01.2023 dle </w:t>
      </w:r>
      <w:r>
        <w:t>smlouvy se hledí jako na plnění provedená dle smlouvy ve znění tohoto dodatku.</w:t>
      </w:r>
    </w:p>
    <w:p w14:paraId="198003E2" w14:textId="77777777" w:rsidR="00150617" w:rsidRDefault="00FA4E64">
      <w:pPr>
        <w:pStyle w:val="Zkladntext1"/>
        <w:framePr w:w="10339" w:h="3168" w:hRule="exact" w:wrap="none" w:vAnchor="page" w:hAnchor="page" w:x="1034" w:y="7520"/>
        <w:shd w:val="clear" w:color="auto" w:fill="auto"/>
      </w:pPr>
      <w:r>
        <w:t>Smluvní strany prohlašují, že si tento dodatek přečetly a s jeho obsahem souhlasí.</w:t>
      </w:r>
    </w:p>
    <w:p w14:paraId="5F21B9A9" w14:textId="77777777" w:rsidR="00150617" w:rsidRDefault="00FA4E64">
      <w:pPr>
        <w:pStyle w:val="Zkladntext1"/>
        <w:framePr w:w="10339" w:h="3168" w:hRule="exact" w:wrap="none" w:vAnchor="page" w:hAnchor="page" w:x="1034" w:y="7520"/>
        <w:shd w:val="clear" w:color="auto" w:fill="auto"/>
      </w:pPr>
      <w:r>
        <w:t>Tento dodatek je projevem jejich úplné, svobodné a vážné vůle.</w:t>
      </w:r>
    </w:p>
    <w:p w14:paraId="2BDC69F4" w14:textId="77777777" w:rsidR="00150617" w:rsidRDefault="00FA4E64">
      <w:pPr>
        <w:pStyle w:val="Zkladntext1"/>
        <w:framePr w:w="10339" w:h="3168" w:hRule="exact" w:wrap="none" w:vAnchor="page" w:hAnchor="page" w:x="1034" w:y="7520"/>
        <w:shd w:val="clear" w:color="auto" w:fill="auto"/>
      </w:pPr>
      <w:r>
        <w:t>Tento dodatek nebyl uzavřen v t</w:t>
      </w:r>
      <w:r>
        <w:t>ísni ani za jednostranně nevýhodných podmínek. -Na důkaz toho připojují své vlastnoruční podpisy.</w:t>
      </w:r>
    </w:p>
    <w:p w14:paraId="41D97C26" w14:textId="77777777" w:rsidR="00150617" w:rsidRDefault="00FA4E64">
      <w:pPr>
        <w:pStyle w:val="Zkladntext1"/>
        <w:framePr w:w="10339" w:h="3168" w:hRule="exact" w:wrap="none" w:vAnchor="page" w:hAnchor="page" w:x="1034" w:y="7520"/>
        <w:shd w:val="clear" w:color="auto" w:fill="auto"/>
      </w:pPr>
      <w:r>
        <w:t>Tento dodatek byl vyhotoven ve dvou exemplářích, z nichž každá ze smluvních stran obdrží po jednom dodatku po jeho podpisu.</w:t>
      </w:r>
    </w:p>
    <w:p w14:paraId="4F7C94B9" w14:textId="77777777" w:rsidR="00150617" w:rsidRDefault="00FA4E64">
      <w:pPr>
        <w:pStyle w:val="Zkladntext1"/>
        <w:framePr w:w="10339" w:h="3168" w:hRule="exact" w:wrap="none" w:vAnchor="page" w:hAnchor="page" w:x="1034" w:y="7520"/>
        <w:shd w:val="clear" w:color="auto" w:fill="auto"/>
      </w:pPr>
      <w:r>
        <w:t>Ostatní ustanovení smlouvy jsou tí</w:t>
      </w:r>
      <w:r>
        <w:t>mto dodatkem nedotčené.</w:t>
      </w:r>
    </w:p>
    <w:p w14:paraId="79624BA7" w14:textId="319BA7C6" w:rsidR="00150617" w:rsidRDefault="00FA4E64">
      <w:pPr>
        <w:pStyle w:val="Zkladntext1"/>
        <w:framePr w:w="10339" w:h="3168" w:hRule="exact" w:wrap="none" w:vAnchor="page" w:hAnchor="page" w:x="1034" w:y="7520"/>
        <w:numPr>
          <w:ilvl w:val="0"/>
          <w:numId w:val="2"/>
        </w:numPr>
        <w:shd w:val="clear" w:color="auto" w:fill="auto"/>
        <w:tabs>
          <w:tab w:val="left" w:pos="334"/>
          <w:tab w:val="left" w:leader="dot" w:pos="422"/>
          <w:tab w:val="left" w:leader="dot" w:pos="1469"/>
          <w:tab w:val="left" w:pos="6504"/>
        </w:tabs>
        <w:spacing w:line="194" w:lineRule="auto"/>
      </w:pPr>
      <w:r>
        <w:rPr>
          <w:i/>
          <w:iCs/>
        </w:rPr>
        <w:tab/>
      </w:r>
      <w:r>
        <w:rPr>
          <w:sz w:val="24"/>
          <w:szCs w:val="24"/>
        </w:rPr>
        <w:t>Plzni</w:t>
      </w:r>
      <w:r>
        <w:rPr>
          <w:sz w:val="24"/>
          <w:szCs w:val="24"/>
        </w:rPr>
        <w:tab/>
      </w:r>
      <w:r>
        <w:rPr>
          <w:i/>
          <w:iCs/>
        </w:rPr>
        <w:t xml:space="preserve">dne             </w:t>
      </w:r>
      <w:r>
        <w:rPr>
          <w:i/>
          <w:iCs/>
        </w:rPr>
        <w:tab/>
      </w:r>
      <w:proofErr w:type="spellStart"/>
      <w:r>
        <w:rPr>
          <w:i/>
          <w:iCs/>
        </w:rPr>
        <w:t>dne</w:t>
      </w:r>
      <w:proofErr w:type="spellEnd"/>
    </w:p>
    <w:p w14:paraId="4AFD4CB0" w14:textId="77777777" w:rsidR="00150617" w:rsidRDefault="00FA4E64">
      <w:pPr>
        <w:pStyle w:val="Zhlavnebozpat0"/>
        <w:framePr w:wrap="none" w:vAnchor="page" w:hAnchor="page" w:x="1043" w:y="16093"/>
        <w:shd w:val="clear" w:color="auto" w:fill="auto"/>
      </w:pPr>
      <w:proofErr w:type="spellStart"/>
      <w:r>
        <w:t>Recovera</w:t>
      </w:r>
      <w:proofErr w:type="spellEnd"/>
      <w:r>
        <w:t xml:space="preserve"> Využití zdrojů a.s.</w:t>
      </w:r>
    </w:p>
    <w:p w14:paraId="7273E210" w14:textId="77777777" w:rsidR="00150617" w:rsidRDefault="00FA4E64">
      <w:pPr>
        <w:pStyle w:val="Zhlavnebozpat0"/>
        <w:framePr w:wrap="none" w:vAnchor="page" w:hAnchor="page" w:x="9199" w:y="16108"/>
        <w:shd w:val="clear" w:color="auto" w:fill="auto"/>
      </w:pPr>
      <w:r>
        <w:t>strana číslo 2 ze 2</w:t>
      </w:r>
    </w:p>
    <w:p w14:paraId="62B46FC1" w14:textId="77777777" w:rsidR="00150617" w:rsidRDefault="00150617">
      <w:pPr>
        <w:spacing w:line="1" w:lineRule="exact"/>
      </w:pPr>
    </w:p>
    <w:sectPr w:rsidR="00150617">
      <w:pgSz w:w="11900" w:h="16840"/>
      <w:pgMar w:top="365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41259" w14:textId="77777777" w:rsidR="00000000" w:rsidRDefault="00FA4E64">
      <w:r>
        <w:separator/>
      </w:r>
    </w:p>
  </w:endnote>
  <w:endnote w:type="continuationSeparator" w:id="0">
    <w:p w14:paraId="64FD4837" w14:textId="77777777" w:rsidR="00000000" w:rsidRDefault="00FA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FD5BC" w14:textId="77777777" w:rsidR="00150617" w:rsidRDefault="00150617"/>
  </w:footnote>
  <w:footnote w:type="continuationSeparator" w:id="0">
    <w:p w14:paraId="424B275C" w14:textId="77777777" w:rsidR="00150617" w:rsidRDefault="001506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71577"/>
    <w:multiLevelType w:val="multilevel"/>
    <w:tmpl w:val="5A4EC392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6949C1"/>
    <w:multiLevelType w:val="multilevel"/>
    <w:tmpl w:val="6DD4C4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2734776">
    <w:abstractNumId w:val="1"/>
  </w:num>
  <w:num w:numId="2" w16cid:durableId="208830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617"/>
    <w:rsid w:val="00150617"/>
    <w:rsid w:val="00FA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DE721"/>
  <w15:docId w15:val="{A95319C2-63E7-4483-ACB3-FFB8B087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197" w:lineRule="auto"/>
      <w:outlineLvl w:val="1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/>
      <w:jc w:val="center"/>
      <w:outlineLvl w:val="2"/>
    </w:pPr>
    <w:rPr>
      <w:rFonts w:ascii="Arial" w:eastAsia="Arial" w:hAnsi="Arial" w:cs="Arial"/>
      <w:b/>
      <w:bCs/>
      <w:sz w:val="20"/>
      <w:szCs w:val="20"/>
      <w:u w:val="singl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Jelínková</cp:lastModifiedBy>
  <cp:revision>2</cp:revision>
  <dcterms:created xsi:type="dcterms:W3CDTF">2023-01-13T08:47:00Z</dcterms:created>
  <dcterms:modified xsi:type="dcterms:W3CDTF">2023-01-13T08:48:00Z</dcterms:modified>
</cp:coreProperties>
</file>