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5D45C1">
        <w:rPr>
          <w:rFonts w:ascii="Palatino Linotype" w:hAnsi="Palatino Linotype"/>
          <w:b/>
          <w:bCs/>
          <w:smallCaps/>
          <w:sz w:val="18"/>
          <w:szCs w:val="18"/>
        </w:rPr>
        <w:t>989/2022</w:t>
      </w:r>
    </w:p>
    <w:p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:rsidR="000B0D90" w:rsidRPr="003F4405" w:rsidRDefault="003F4405" w:rsidP="00113F51">
      <w:pPr>
        <w:rPr>
          <w:rFonts w:ascii="Palatino Linotype" w:hAnsi="Palatino Linotype"/>
          <w:sz w:val="18"/>
          <w:szCs w:val="18"/>
        </w:rPr>
      </w:pPr>
      <w:r w:rsidRPr="003F4405">
        <w:rPr>
          <w:rFonts w:ascii="Palatino Linotype" w:hAnsi="Palatino Linotype"/>
          <w:b/>
          <w:sz w:val="18"/>
          <w:szCs w:val="18"/>
        </w:rPr>
        <w:t>G</w:t>
      </w:r>
      <w:r>
        <w:rPr>
          <w:rFonts w:ascii="Palatino Linotype" w:hAnsi="Palatino Linotype"/>
          <w:b/>
          <w:sz w:val="18"/>
          <w:szCs w:val="18"/>
        </w:rPr>
        <w:t>alerie moderního umě</w:t>
      </w:r>
      <w:r w:rsidRPr="003F4405">
        <w:rPr>
          <w:rFonts w:ascii="Palatino Linotype" w:hAnsi="Palatino Linotype"/>
          <w:b/>
          <w:sz w:val="18"/>
          <w:szCs w:val="18"/>
        </w:rPr>
        <w:t>ní v Hradci Králové</w:t>
      </w:r>
    </w:p>
    <w:p w:rsidR="003F4405" w:rsidRPr="003F4405" w:rsidRDefault="003F4405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3F4405">
        <w:rPr>
          <w:rFonts w:ascii="Palatino Linotype" w:hAnsi="Palatino Linotype"/>
          <w:snapToGrid w:val="0"/>
          <w:sz w:val="18"/>
          <w:szCs w:val="18"/>
        </w:rPr>
        <w:t>Velké náměstí 139/140, 500 03 Hradec Králové</w:t>
      </w:r>
    </w:p>
    <w:p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3F4405">
        <w:rPr>
          <w:rFonts w:ascii="Palatino Linotype" w:hAnsi="Palatino Linotype"/>
          <w:sz w:val="18"/>
          <w:szCs w:val="18"/>
        </w:rPr>
        <w:t>zastoupen</w:t>
      </w:r>
      <w:r w:rsidR="003F4405" w:rsidRPr="003F4405">
        <w:rPr>
          <w:rFonts w:ascii="Palatino Linotype" w:hAnsi="Palatino Linotype"/>
          <w:sz w:val="18"/>
          <w:szCs w:val="18"/>
        </w:rPr>
        <w:t>á</w:t>
      </w:r>
      <w:r w:rsidRPr="003F4405">
        <w:rPr>
          <w:rFonts w:ascii="Palatino Linotype" w:hAnsi="Palatino Linotype"/>
          <w:sz w:val="18"/>
          <w:szCs w:val="18"/>
        </w:rPr>
        <w:t xml:space="preserve"> </w:t>
      </w:r>
      <w:r w:rsidR="003F4405" w:rsidRPr="003F4405">
        <w:rPr>
          <w:rFonts w:ascii="Palatino Linotype" w:hAnsi="Palatino Linotype"/>
          <w:sz w:val="18"/>
          <w:szCs w:val="18"/>
        </w:rPr>
        <w:t>MgA.</w:t>
      </w:r>
      <w:r w:rsidR="003F4405">
        <w:t xml:space="preserve"> </w:t>
      </w:r>
      <w:r w:rsidR="003F4405">
        <w:rPr>
          <w:rFonts w:ascii="Palatino Linotype" w:hAnsi="Palatino Linotype"/>
          <w:sz w:val="18"/>
          <w:szCs w:val="18"/>
        </w:rPr>
        <w:t>Františkem Zachovalem</w:t>
      </w:r>
      <w:r w:rsidRPr="001D381F">
        <w:rPr>
          <w:rFonts w:ascii="Palatino Linotype" w:hAnsi="Palatino Linotype"/>
          <w:sz w:val="18"/>
          <w:szCs w:val="18"/>
        </w:rPr>
        <w:t xml:space="preserve">, </w:t>
      </w:r>
      <w:r w:rsidR="003F4405">
        <w:rPr>
          <w:rFonts w:ascii="Palatino Linotype" w:hAnsi="Palatino Linotype"/>
          <w:sz w:val="18"/>
          <w:szCs w:val="18"/>
        </w:rPr>
        <w:t>ředitelem</w:t>
      </w:r>
      <w:r w:rsidRPr="001D381F">
        <w:rPr>
          <w:rFonts w:ascii="Palatino Linotype" w:hAnsi="Palatino Linotype"/>
          <w:snapToGrid w:val="0"/>
          <w:sz w:val="18"/>
          <w:szCs w:val="18"/>
          <w:highlight w:val="magenta"/>
        </w:rPr>
        <w:t xml:space="preserve"> </w:t>
      </w:r>
    </w:p>
    <w:p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IČ: </w:t>
      </w:r>
      <w:r w:rsidR="003F4405" w:rsidRPr="003F4405">
        <w:rPr>
          <w:rFonts w:ascii="Palatino Linotype" w:hAnsi="Palatino Linotype"/>
          <w:sz w:val="18"/>
          <w:szCs w:val="18"/>
        </w:rPr>
        <w:t>00088404</w:t>
      </w:r>
    </w:p>
    <w:p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3F4405">
        <w:rPr>
          <w:rFonts w:ascii="Palatino Linotype" w:hAnsi="Palatino Linotype"/>
          <w:sz w:val="18"/>
          <w:szCs w:val="18"/>
        </w:rPr>
        <w:t>DIČ: CZ</w:t>
      </w:r>
      <w:r w:rsidR="003F4405" w:rsidRPr="003F4405">
        <w:t xml:space="preserve"> </w:t>
      </w:r>
      <w:r w:rsidR="003F4405" w:rsidRPr="003F4405">
        <w:rPr>
          <w:rFonts w:ascii="Palatino Linotype" w:hAnsi="Palatino Linotype"/>
          <w:sz w:val="18"/>
          <w:szCs w:val="18"/>
        </w:rPr>
        <w:t>00088404</w:t>
      </w:r>
    </w:p>
    <w:p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</w:t>
      </w:r>
      <w:r w:rsidRPr="00604B73">
        <w:rPr>
          <w:rFonts w:ascii="Palatino Linotype" w:hAnsi="Palatino Linotype"/>
          <w:sz w:val="18"/>
          <w:szCs w:val="18"/>
        </w:rPr>
        <w:t>o 1 listu</w:t>
      </w:r>
      <w:r w:rsidR="006C78DB" w:rsidRPr="00604B73">
        <w:rPr>
          <w:rFonts w:ascii="Palatino Linotype" w:hAnsi="Palatino Linotype"/>
          <w:sz w:val="18"/>
          <w:szCs w:val="18"/>
        </w:rPr>
        <w:t xml:space="preserve"> celkem</w:t>
      </w:r>
      <w:r w:rsidRPr="00604B73">
        <w:rPr>
          <w:rFonts w:ascii="Palatino Linotype" w:hAnsi="Palatino Linotype"/>
          <w:sz w:val="18"/>
          <w:szCs w:val="18"/>
        </w:rPr>
        <w:t>, který</w:t>
      </w:r>
      <w:r w:rsidRPr="001D381F">
        <w:rPr>
          <w:rFonts w:ascii="Palatino Linotype" w:hAnsi="Palatino Linotype"/>
          <w:sz w:val="18"/>
          <w:szCs w:val="18"/>
        </w:rPr>
        <w:t xml:space="preserve">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</w:t>
      </w:r>
      <w:r w:rsidRPr="001D381F">
        <w:rPr>
          <w:rFonts w:ascii="Palatino Linotype" w:hAnsi="Palatino Linotype"/>
          <w:sz w:val="18"/>
          <w:szCs w:val="18"/>
        </w:rPr>
        <w:lastRenderedPageBreak/>
        <w:t xml:space="preserve">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</w:t>
      </w:r>
      <w:r w:rsidRPr="00EB4623">
        <w:rPr>
          <w:rFonts w:ascii="Palatino Linotype" w:hAnsi="Palatino Linotype"/>
          <w:sz w:val="18"/>
          <w:szCs w:val="18"/>
        </w:rPr>
        <w:t>uhradit veškeré náklady spojené s realizací výpůjčky</w:t>
      </w:r>
      <w:r w:rsidR="00850BC7" w:rsidRPr="00EB4623">
        <w:rPr>
          <w:rFonts w:ascii="Palatino Linotype" w:hAnsi="Palatino Linotype"/>
          <w:snapToGrid/>
          <w:sz w:val="18"/>
          <w:szCs w:val="18"/>
        </w:rPr>
        <w:t xml:space="preserve"> </w:t>
      </w:r>
      <w:r w:rsidR="005E3D9C" w:rsidRPr="00EB4623">
        <w:rPr>
          <w:rFonts w:ascii="Palatino Linotype" w:hAnsi="Palatino Linotype"/>
          <w:snapToGrid/>
          <w:sz w:val="18"/>
          <w:szCs w:val="18"/>
        </w:rPr>
        <w:t>včetně nákladů uvedených</w:t>
      </w:r>
      <w:r w:rsidR="00850BC7" w:rsidRPr="00EB4623">
        <w:rPr>
          <w:rFonts w:ascii="Palatino Linotype" w:hAnsi="Palatino Linotype"/>
          <w:snapToGrid/>
          <w:sz w:val="18"/>
          <w:szCs w:val="18"/>
        </w:rPr>
        <w:t xml:space="preserve"> v</w:t>
      </w:r>
      <w:r w:rsidR="005E3D9C" w:rsidRPr="00EB4623">
        <w:rPr>
          <w:rFonts w:ascii="Palatino Linotype" w:hAnsi="Palatino Linotype"/>
          <w:snapToGrid/>
          <w:sz w:val="18"/>
          <w:szCs w:val="18"/>
        </w:rPr>
        <w:t> </w:t>
      </w:r>
      <w:r w:rsidR="00850BC7" w:rsidRPr="00EB4623">
        <w:rPr>
          <w:rFonts w:ascii="Palatino Linotype" w:hAnsi="Palatino Linotype"/>
          <w:snapToGrid/>
          <w:sz w:val="18"/>
          <w:szCs w:val="18"/>
        </w:rPr>
        <w:t>příloze</w:t>
      </w:r>
      <w:r w:rsidR="005E3D9C" w:rsidRPr="00EB4623">
        <w:rPr>
          <w:rFonts w:ascii="Palatino Linotype" w:hAnsi="Palatino Linotype"/>
          <w:snapToGrid/>
          <w:sz w:val="18"/>
          <w:szCs w:val="18"/>
        </w:rPr>
        <w:t xml:space="preserve"> č. 1 Smlouvy</w:t>
      </w:r>
      <w:r w:rsidR="00850BC7" w:rsidRPr="00EB4623">
        <w:rPr>
          <w:rFonts w:ascii="Palatino Linotype" w:hAnsi="Palatino Linotype"/>
          <w:snapToGrid/>
          <w:sz w:val="18"/>
          <w:szCs w:val="18"/>
        </w:rPr>
        <w:t>.</w:t>
      </w:r>
      <w:r w:rsidR="0094015E">
        <w:rPr>
          <w:rFonts w:ascii="Palatino Linotype" w:hAnsi="Palatino Linotype"/>
          <w:snapToGrid/>
          <w:sz w:val="18"/>
          <w:szCs w:val="18"/>
        </w:rPr>
        <w:t xml:space="preserve"> 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</w:t>
      </w:r>
      <w:r w:rsidRPr="001D381F">
        <w:rPr>
          <w:rFonts w:ascii="Palatino Linotype" w:hAnsi="Palatino Linotype"/>
          <w:sz w:val="18"/>
          <w:szCs w:val="18"/>
        </w:rPr>
        <w:lastRenderedPageBreak/>
        <w:t>čtyř týdnů vyjádří nesouhlas, bude výše peněžního plnění určena znalcem jmenovaným společně oběma smluvními stranami, ev. příslušným soudem.</w:t>
      </w:r>
    </w:p>
    <w:p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:rsidR="00611D17" w:rsidRPr="001D381F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Předmět výpůjčky bude přepravován</w:t>
      </w:r>
      <w:r w:rsidR="00F03C24">
        <w:rPr>
          <w:rFonts w:ascii="Palatino Linotype" w:hAnsi="Palatino Linotype"/>
          <w:sz w:val="18"/>
          <w:szCs w:val="18"/>
        </w:rPr>
        <w:t xml:space="preserve"> přímým transportem</w:t>
      </w:r>
      <w:r w:rsidRPr="001D381F">
        <w:rPr>
          <w:rFonts w:ascii="Palatino Linotype" w:hAnsi="Palatino Linotype"/>
          <w:sz w:val="18"/>
          <w:szCs w:val="18"/>
        </w:rPr>
        <w:t xml:space="preserve"> v klimatizovaném prostoru při teplotě </w:t>
      </w:r>
      <w:r w:rsidRPr="00F03C24">
        <w:rPr>
          <w:rFonts w:ascii="Palatino Linotype" w:hAnsi="Palatino Linotype"/>
          <w:sz w:val="18"/>
          <w:szCs w:val="18"/>
        </w:rPr>
        <w:t>20°C, odpruženým</w:t>
      </w:r>
      <w:r w:rsidRPr="001D381F">
        <w:rPr>
          <w:rFonts w:ascii="Palatino Linotype" w:hAnsi="Palatino Linotype"/>
          <w:sz w:val="18"/>
          <w:szCs w:val="18"/>
        </w:rPr>
        <w:t xml:space="preserve"> vozem speciálně uprave</w:t>
      </w:r>
      <w:r w:rsidR="00A37D4D">
        <w:rPr>
          <w:rFonts w:ascii="Palatino Linotype" w:hAnsi="Palatino Linotype"/>
          <w:sz w:val="18"/>
          <w:szCs w:val="18"/>
        </w:rPr>
        <w:t xml:space="preserve">ným pro přepravu uměleckých děl. Obraz pod poř. č. </w:t>
      </w:r>
      <w:r w:rsidR="00AF1239">
        <w:rPr>
          <w:rFonts w:ascii="Palatino Linotype" w:hAnsi="Palatino Linotype"/>
          <w:sz w:val="18"/>
          <w:szCs w:val="18"/>
        </w:rPr>
        <w:t>X</w:t>
      </w:r>
      <w:bookmarkStart w:id="0" w:name="_GoBack"/>
      <w:bookmarkEnd w:id="0"/>
      <w:r w:rsidR="00A37D4D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 v balení do </w:t>
      </w:r>
      <w:r w:rsidRPr="00A37D4D">
        <w:rPr>
          <w:rFonts w:ascii="Palatino Linotype" w:hAnsi="Palatino Linotype"/>
          <w:sz w:val="18"/>
          <w:szCs w:val="18"/>
        </w:rPr>
        <w:t>hedvábného papíru v první vrstvě a měkkého materiá</w:t>
      </w:r>
      <w:r w:rsidR="00A37D4D" w:rsidRPr="00A37D4D">
        <w:rPr>
          <w:rFonts w:ascii="Palatino Linotype" w:hAnsi="Palatino Linotype"/>
          <w:sz w:val="18"/>
          <w:szCs w:val="18"/>
        </w:rPr>
        <w:t xml:space="preserve">lu – bublinové folie s důkladně přelepenými spoji. </w:t>
      </w:r>
      <w:r w:rsidR="00AF1239">
        <w:rPr>
          <w:rFonts w:ascii="Palatino Linotype" w:hAnsi="Palatino Linotype"/>
          <w:sz w:val="18"/>
          <w:szCs w:val="18"/>
        </w:rPr>
        <w:t>Plastika pod poř. č. X</w:t>
      </w:r>
      <w:r w:rsidR="00A37D4D">
        <w:rPr>
          <w:rFonts w:ascii="Palatino Linotype" w:hAnsi="Palatino Linotype"/>
          <w:sz w:val="18"/>
          <w:szCs w:val="18"/>
        </w:rPr>
        <w:t xml:space="preserve"> v balení </w:t>
      </w:r>
      <w:r w:rsidR="00A37D4D" w:rsidRPr="001D381F">
        <w:rPr>
          <w:rFonts w:ascii="Palatino Linotype" w:hAnsi="Palatino Linotype"/>
          <w:sz w:val="18"/>
          <w:szCs w:val="18"/>
        </w:rPr>
        <w:t>do</w:t>
      </w:r>
      <w:r w:rsidR="00A37D4D">
        <w:rPr>
          <w:rFonts w:ascii="Palatino Linotype" w:hAnsi="Palatino Linotype"/>
          <w:sz w:val="18"/>
          <w:szCs w:val="18"/>
        </w:rPr>
        <w:t xml:space="preserve"> jemného</w:t>
      </w:r>
      <w:r w:rsidR="00A37D4D" w:rsidRPr="00A37D4D">
        <w:rPr>
          <w:rFonts w:ascii="Palatino Linotype" w:hAnsi="Palatino Linotype"/>
          <w:sz w:val="18"/>
          <w:szCs w:val="18"/>
        </w:rPr>
        <w:t xml:space="preserve"> papíru </w:t>
      </w:r>
      <w:r w:rsidR="00A37D4D">
        <w:rPr>
          <w:rFonts w:ascii="Palatino Linotype" w:hAnsi="Palatino Linotype"/>
          <w:sz w:val="18"/>
          <w:szCs w:val="18"/>
        </w:rPr>
        <w:t>bude transportována v kartonové krabici uvnitř vytěsněné měkkým materiálem.</w:t>
      </w:r>
    </w:p>
    <w:p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EB4623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</w:t>
      </w:r>
      <w:r w:rsidRPr="001D381F">
        <w:rPr>
          <w:rFonts w:ascii="Palatino Linotype" w:hAnsi="Palatino Linotype"/>
          <w:sz w:val="18"/>
          <w:szCs w:val="18"/>
        </w:rPr>
        <w:t xml:space="preserve"> k výstavě knihovně Národní galerie v Praze, a to nejpozději do dvou měsíců od jejich vydání.</w:t>
      </w:r>
    </w:p>
    <w:p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:rsidR="007B463C" w:rsidRPr="001D381F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Výstavní </w:t>
      </w:r>
      <w:r w:rsidRPr="00F03C24">
        <w:rPr>
          <w:rFonts w:ascii="Palatino Linotype" w:hAnsi="Palatino Linotype"/>
          <w:sz w:val="18"/>
          <w:szCs w:val="18"/>
        </w:rPr>
        <w:t xml:space="preserve">podmínky: </w:t>
      </w:r>
      <w:r w:rsidR="000666EC" w:rsidRPr="00F03C24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F03C24">
        <w:rPr>
          <w:rFonts w:ascii="Palatino Linotype" w:hAnsi="Palatino Linotype"/>
          <w:sz w:val="18"/>
          <w:szCs w:val="18"/>
        </w:rPr>
        <w:t>20 ± 2°</w:t>
      </w:r>
      <w:r w:rsidR="000666EC" w:rsidRPr="00F03C24">
        <w:rPr>
          <w:rFonts w:ascii="Palatino Linotype" w:hAnsi="Palatino Linotype"/>
          <w:sz w:val="18"/>
          <w:szCs w:val="18"/>
        </w:rPr>
        <w:t>C</w:t>
      </w:r>
      <w:r w:rsidR="00F03C24" w:rsidRPr="00F03C24">
        <w:rPr>
          <w:rFonts w:ascii="Palatino Linotype" w:hAnsi="Palatino Linotype"/>
          <w:sz w:val="18"/>
          <w:szCs w:val="18"/>
        </w:rPr>
        <w:t>,</w:t>
      </w:r>
      <w:r w:rsidR="000666EC" w:rsidRPr="00F03C24">
        <w:rPr>
          <w:rFonts w:ascii="Palatino Linotype" w:hAnsi="Palatino Linotype"/>
          <w:sz w:val="18"/>
          <w:szCs w:val="18"/>
        </w:rPr>
        <w:t xml:space="preserve"> relativní vlhkosti vzduchu </w:t>
      </w:r>
      <w:r w:rsidR="00850BC7" w:rsidRPr="00F03C24">
        <w:rPr>
          <w:rFonts w:ascii="Palatino Linotype" w:hAnsi="Palatino Linotype"/>
          <w:sz w:val="18"/>
          <w:szCs w:val="18"/>
        </w:rPr>
        <w:t>50</w:t>
      </w:r>
      <w:r w:rsidR="000666EC" w:rsidRPr="00F03C24">
        <w:rPr>
          <w:rFonts w:ascii="Palatino Linotype" w:hAnsi="Palatino Linotype"/>
          <w:sz w:val="18"/>
          <w:szCs w:val="18"/>
        </w:rPr>
        <w:t xml:space="preserve"> </w:t>
      </w:r>
      <w:r w:rsidR="00850BC7" w:rsidRPr="00F03C24">
        <w:rPr>
          <w:rFonts w:ascii="Palatino Linotype" w:hAnsi="Palatino Linotype"/>
          <w:sz w:val="18"/>
          <w:szCs w:val="18"/>
        </w:rPr>
        <w:t xml:space="preserve">± </w:t>
      </w:r>
      <w:r w:rsidR="000666EC" w:rsidRPr="00F03C24">
        <w:rPr>
          <w:rFonts w:ascii="Palatino Linotype" w:hAnsi="Palatino Linotype"/>
          <w:sz w:val="18"/>
          <w:szCs w:val="18"/>
        </w:rPr>
        <w:t>5</w:t>
      </w:r>
      <w:r w:rsidR="00F03C24" w:rsidRPr="00F03C24">
        <w:rPr>
          <w:rFonts w:ascii="Palatino Linotype" w:hAnsi="Palatino Linotype"/>
          <w:sz w:val="18"/>
          <w:szCs w:val="18"/>
        </w:rPr>
        <w:t xml:space="preserve"> % a hladině osvětlení max. 150 luxů</w:t>
      </w:r>
      <w:r w:rsidR="00F03C24">
        <w:rPr>
          <w:rFonts w:ascii="Palatino Linotype" w:hAnsi="Palatino Linotype"/>
          <w:sz w:val="18"/>
          <w:szCs w:val="18"/>
        </w:rPr>
        <w:t>.</w:t>
      </w:r>
    </w:p>
    <w:p w:rsidR="007473C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:rsidR="00A37D4D" w:rsidRPr="00FC1842" w:rsidRDefault="00A37D4D" w:rsidP="00A37D4D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FC1842">
        <w:rPr>
          <w:rFonts w:ascii="Palatino Linotype" w:hAnsi="Palatino Linotype"/>
          <w:sz w:val="18"/>
          <w:szCs w:val="18"/>
        </w:rPr>
        <w:t>Plastika s </w:t>
      </w:r>
      <w:r w:rsidR="00AF1239">
        <w:rPr>
          <w:rFonts w:ascii="Palatino Linotype" w:hAnsi="Palatino Linotype"/>
          <w:sz w:val="18"/>
          <w:szCs w:val="18"/>
        </w:rPr>
        <w:t>XXXXXXX</w:t>
      </w:r>
      <w:r w:rsidRPr="00FC1842">
        <w:rPr>
          <w:rFonts w:ascii="Palatino Linotype" w:hAnsi="Palatino Linotype"/>
          <w:sz w:val="18"/>
          <w:szCs w:val="18"/>
        </w:rPr>
        <w:t xml:space="preserve"> pod poř. č. </w:t>
      </w:r>
      <w:r w:rsidR="00AF1239">
        <w:rPr>
          <w:rFonts w:ascii="Palatino Linotype" w:hAnsi="Palatino Linotype"/>
          <w:sz w:val="18"/>
          <w:szCs w:val="18"/>
        </w:rPr>
        <w:t xml:space="preserve">X </w:t>
      </w:r>
      <w:r w:rsidRPr="00FC1842">
        <w:rPr>
          <w:rFonts w:ascii="Palatino Linotype" w:hAnsi="Palatino Linotype"/>
          <w:sz w:val="18"/>
          <w:szCs w:val="18"/>
        </w:rPr>
        <w:t>bude vystavena ve vitríně</w:t>
      </w:r>
      <w:r w:rsidR="00FC1842" w:rsidRPr="00FC1842">
        <w:rPr>
          <w:rFonts w:ascii="Palatino Linotype" w:hAnsi="Palatino Linotype"/>
          <w:sz w:val="18"/>
          <w:szCs w:val="18"/>
        </w:rPr>
        <w:t xml:space="preserve">, která bude </w:t>
      </w:r>
      <w:r w:rsidR="00FC1842">
        <w:rPr>
          <w:rFonts w:ascii="Palatino Linotype" w:hAnsi="Palatino Linotype"/>
          <w:sz w:val="18"/>
          <w:szCs w:val="18"/>
        </w:rPr>
        <w:t>upevněna</w:t>
      </w:r>
      <w:r w:rsidR="00FC1842" w:rsidRPr="00FC1842">
        <w:rPr>
          <w:rFonts w:ascii="Palatino Linotype" w:hAnsi="Palatino Linotype"/>
          <w:sz w:val="18"/>
          <w:szCs w:val="18"/>
        </w:rPr>
        <w:t xml:space="preserve"> k</w:t>
      </w:r>
      <w:r w:rsidR="00FC1842">
        <w:rPr>
          <w:rFonts w:ascii="Palatino Linotype" w:hAnsi="Palatino Linotype"/>
          <w:sz w:val="18"/>
          <w:szCs w:val="18"/>
        </w:rPr>
        <w:t> </w:t>
      </w:r>
      <w:r w:rsidR="00FC1842" w:rsidRPr="00FC1842">
        <w:rPr>
          <w:rFonts w:ascii="Palatino Linotype" w:hAnsi="Palatino Linotype"/>
          <w:sz w:val="18"/>
          <w:szCs w:val="18"/>
        </w:rPr>
        <w:t>soklu</w:t>
      </w:r>
      <w:r w:rsidR="00FC1842">
        <w:rPr>
          <w:rFonts w:ascii="Palatino Linotype" w:hAnsi="Palatino Linotype"/>
          <w:sz w:val="18"/>
          <w:szCs w:val="18"/>
        </w:rPr>
        <w:t xml:space="preserve"> a</w:t>
      </w:r>
      <w:r w:rsidR="00FC1842" w:rsidRPr="00FC1842">
        <w:rPr>
          <w:rFonts w:ascii="Palatino Linotype" w:hAnsi="Palatino Linotype"/>
          <w:sz w:val="18"/>
          <w:szCs w:val="18"/>
        </w:rPr>
        <w:t xml:space="preserve"> </w:t>
      </w:r>
      <w:r w:rsidR="00FC1842">
        <w:rPr>
          <w:rFonts w:ascii="Palatino Linotype" w:hAnsi="Palatino Linotype"/>
          <w:sz w:val="18"/>
          <w:szCs w:val="18"/>
        </w:rPr>
        <w:t>sokl bude upevněn</w:t>
      </w:r>
      <w:r w:rsidR="00FC1842" w:rsidRPr="00FC1842">
        <w:rPr>
          <w:rFonts w:ascii="Palatino Linotype" w:hAnsi="Palatino Linotype"/>
          <w:sz w:val="18"/>
          <w:szCs w:val="18"/>
        </w:rPr>
        <w:t xml:space="preserve"> k podlaze. Dílo se nesmí lepit.</w:t>
      </w:r>
    </w:p>
    <w:p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>.</w:t>
      </w:r>
    </w:p>
    <w:p w:rsidR="00526F63" w:rsidRPr="00EB4623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EB4623">
        <w:rPr>
          <w:rFonts w:ascii="Palatino Linotype" w:hAnsi="Palatino Linotype"/>
          <w:sz w:val="18"/>
          <w:szCs w:val="18"/>
        </w:rPr>
        <w:lastRenderedPageBreak/>
        <w:t>Uveřejnění Smlouvy v registru smluv</w:t>
      </w:r>
    </w:p>
    <w:p w:rsidR="002D5827" w:rsidRPr="00EB4623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EB4623">
        <w:rPr>
          <w:rFonts w:ascii="Palatino Linotype" w:hAnsi="Palatino Linotype"/>
          <w:sz w:val="18"/>
          <w:szCs w:val="18"/>
        </w:rPr>
        <w:t xml:space="preserve">Tuto </w:t>
      </w:r>
      <w:r w:rsidR="0058488F" w:rsidRPr="00EB4623">
        <w:rPr>
          <w:rFonts w:ascii="Palatino Linotype" w:hAnsi="Palatino Linotype"/>
          <w:sz w:val="18"/>
          <w:szCs w:val="18"/>
        </w:rPr>
        <w:t>S</w:t>
      </w:r>
      <w:r w:rsidRPr="00EB4623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EB4623">
        <w:rPr>
          <w:rFonts w:ascii="Palatino Linotype" w:hAnsi="Palatino Linotype"/>
          <w:sz w:val="18"/>
          <w:szCs w:val="18"/>
        </w:rPr>
        <w:t>Půjčitel. Příloha č. 1 této S</w:t>
      </w:r>
      <w:r w:rsidRPr="00EB4623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EB4623">
        <w:rPr>
          <w:rFonts w:ascii="Palatino Linotype" w:hAnsi="Palatino Linotype"/>
          <w:sz w:val="18"/>
          <w:szCs w:val="18"/>
        </w:rPr>
        <w:t>ědictví a sbírek P</w:t>
      </w:r>
      <w:r w:rsidRPr="00EB4623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EB4623">
        <w:rPr>
          <w:rFonts w:ascii="Palatino Linotype" w:hAnsi="Palatino Linotype"/>
          <w:sz w:val="18"/>
          <w:szCs w:val="18"/>
        </w:rPr>
        <w:t>P</w:t>
      </w:r>
      <w:r w:rsidRPr="00EB4623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EB4623">
        <w:rPr>
          <w:rFonts w:ascii="Palatino Linotype" w:hAnsi="Palatino Linotype"/>
          <w:sz w:val="18"/>
          <w:szCs w:val="18"/>
        </w:rPr>
        <w:t>S</w:t>
      </w:r>
      <w:r w:rsidRPr="00EB4623">
        <w:rPr>
          <w:rFonts w:ascii="Palatino Linotype" w:hAnsi="Palatino Linotype"/>
          <w:sz w:val="18"/>
          <w:szCs w:val="18"/>
        </w:rPr>
        <w:t xml:space="preserve">mlouvy </w:t>
      </w:r>
      <w:r w:rsidR="0058488F" w:rsidRPr="00EB4623">
        <w:rPr>
          <w:rFonts w:ascii="Palatino Linotype" w:hAnsi="Palatino Linotype"/>
          <w:sz w:val="18"/>
          <w:szCs w:val="18"/>
        </w:rPr>
        <w:t>V</w:t>
      </w:r>
      <w:r w:rsidRPr="00EB4623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EB4623">
        <w:rPr>
          <w:rFonts w:ascii="Palatino Linotype" w:hAnsi="Palatino Linotype"/>
          <w:sz w:val="18"/>
          <w:szCs w:val="18"/>
        </w:rPr>
        <w:t>P</w:t>
      </w:r>
      <w:r w:rsidRPr="00EB4623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EB4623">
        <w:rPr>
          <w:rFonts w:ascii="Palatino Linotype" w:hAnsi="Palatino Linotype"/>
          <w:sz w:val="18"/>
          <w:szCs w:val="18"/>
        </w:rPr>
        <w:t>P</w:t>
      </w:r>
      <w:r w:rsidRPr="00EB4623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EB4623">
        <w:rPr>
          <w:rFonts w:ascii="Palatino Linotype" w:hAnsi="Palatino Linotype"/>
          <w:sz w:val="18"/>
          <w:szCs w:val="18"/>
        </w:rPr>
        <w:t>P</w:t>
      </w:r>
      <w:r w:rsidRPr="00EB4623">
        <w:rPr>
          <w:rFonts w:ascii="Palatino Linotype" w:hAnsi="Palatino Linotype"/>
          <w:sz w:val="18"/>
          <w:szCs w:val="18"/>
        </w:rPr>
        <w:t>ůj</w:t>
      </w:r>
      <w:r w:rsidR="0058488F" w:rsidRPr="00EB4623">
        <w:rPr>
          <w:rFonts w:ascii="Palatino Linotype" w:hAnsi="Palatino Linotype"/>
          <w:sz w:val="18"/>
          <w:szCs w:val="18"/>
        </w:rPr>
        <w:t>čitel je dále oprávněn od této S</w:t>
      </w:r>
      <w:r w:rsidRPr="00EB4623">
        <w:rPr>
          <w:rFonts w:ascii="Palatino Linotype" w:hAnsi="Palatino Linotype"/>
          <w:sz w:val="18"/>
          <w:szCs w:val="18"/>
        </w:rPr>
        <w:t>mlouvy odstoupit.</w:t>
      </w:r>
      <w:r w:rsidR="003C4538" w:rsidRPr="00EB4623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EB4623">
        <w:rPr>
          <w:rFonts w:ascii="Palatino Linotype" w:hAnsi="Palatino Linotype"/>
          <w:sz w:val="18"/>
          <w:szCs w:val="18"/>
        </w:rPr>
        <w:t>S</w:t>
      </w:r>
      <w:r w:rsidR="003C4538" w:rsidRPr="00EB4623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EB4623">
        <w:rPr>
          <w:rFonts w:ascii="Palatino Linotype" w:hAnsi="Palatino Linotype"/>
          <w:sz w:val="18"/>
          <w:szCs w:val="18"/>
        </w:rPr>
        <w:t>S</w:t>
      </w:r>
      <w:r w:rsidR="003C4538" w:rsidRPr="00EB4623">
        <w:rPr>
          <w:rFonts w:ascii="Palatino Linotype" w:hAnsi="Palatino Linotype"/>
          <w:sz w:val="18"/>
          <w:szCs w:val="18"/>
        </w:rPr>
        <w:t>mlouvy písemně upozornit.</w:t>
      </w:r>
    </w:p>
    <w:p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 se vyhotovuje ve 2 paré, přičemž každá ze smluvních stran obdrží po jednom.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EB4623">
        <w:rPr>
          <w:rFonts w:ascii="Palatino Linotype" w:hAnsi="Palatino Linotype"/>
          <w:sz w:val="18"/>
          <w:szCs w:val="18"/>
        </w:rPr>
        <w:t xml:space="preserve">Smlouva nabývá platnosti </w:t>
      </w:r>
      <w:r w:rsidR="008757A1" w:rsidRPr="00EB4623">
        <w:rPr>
          <w:rFonts w:ascii="Palatino Linotype" w:hAnsi="Palatino Linotype"/>
          <w:sz w:val="18"/>
          <w:szCs w:val="18"/>
        </w:rPr>
        <w:t>dnem jejího podpisu a účinnosti</w:t>
      </w:r>
      <w:r w:rsidRPr="00EB4623">
        <w:rPr>
          <w:rFonts w:ascii="Palatino Linotype" w:hAnsi="Palatino Linotype"/>
          <w:sz w:val="18"/>
          <w:szCs w:val="18"/>
        </w:rPr>
        <w:t xml:space="preserve"> dnem uveřejnění v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D467AA" w:rsidRPr="003F4405">
        <w:rPr>
          <w:rFonts w:ascii="Palatino Linotype" w:hAnsi="Palatino Linotype"/>
          <w:sz w:val="18"/>
          <w:szCs w:val="18"/>
        </w:rPr>
        <w:t>MgA.</w:t>
      </w:r>
      <w:r w:rsidR="00D467AA">
        <w:t xml:space="preserve"> </w:t>
      </w:r>
      <w:r w:rsidR="00D467AA">
        <w:rPr>
          <w:rFonts w:ascii="Palatino Linotype" w:hAnsi="Palatino Linotype"/>
          <w:sz w:val="18"/>
          <w:szCs w:val="18"/>
        </w:rPr>
        <w:t>František Zachoval</w:t>
      </w:r>
    </w:p>
    <w:p w:rsidR="00BA556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>e sbírk</w:t>
      </w:r>
      <w:r w:rsidR="00106DC1">
        <w:rPr>
          <w:rFonts w:ascii="Palatino Linotype" w:hAnsi="Palatino Linotype"/>
          <w:snapToGrid w:val="0"/>
          <w:sz w:val="18"/>
          <w:szCs w:val="18"/>
        </w:rPr>
        <w:t>ového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D467AA">
        <w:rPr>
          <w:rFonts w:ascii="Palatino Linotype" w:hAnsi="Palatino Linotype"/>
          <w:snapToGrid w:val="0"/>
          <w:sz w:val="18"/>
          <w:szCs w:val="18"/>
        </w:rPr>
        <w:t>ředitel GMU v Hradci Králové</w:t>
      </w:r>
    </w:p>
    <w:p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:rsidR="001B3337" w:rsidRPr="001D381F" w:rsidRDefault="00AA46A6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  <w:sectPr w:rsidR="001B3337" w:rsidRPr="001D381F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</w:p>
    <w:p w:rsidR="001D381F" w:rsidRPr="001D381F" w:rsidRDefault="001D381F" w:rsidP="00E8272E">
      <w:pPr>
        <w:pStyle w:val="jNormln"/>
        <w:spacing w:before="0"/>
        <w:rPr>
          <w:rFonts w:ascii="Palatino Linotype" w:hAnsi="Palatino Linotype"/>
          <w:sz w:val="18"/>
          <w:szCs w:val="18"/>
          <w:highlight w:val="magenta"/>
        </w:rPr>
      </w:pPr>
    </w:p>
    <w:sectPr w:rsidR="001D381F" w:rsidRPr="001D381F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D7" w:rsidRDefault="009E0CD7" w:rsidP="007013F0">
      <w:r>
        <w:separator/>
      </w:r>
    </w:p>
  </w:endnote>
  <w:endnote w:type="continuationSeparator" w:id="0">
    <w:p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AE" w:rsidRDefault="007C29AE">
    <w:pPr>
      <w:pStyle w:val="Zpat"/>
    </w:pPr>
  </w:p>
  <w:p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F0" w:rsidRDefault="007C29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AF1239">
      <w:rPr>
        <w:bCs/>
        <w:noProof/>
      </w:rPr>
      <w:t>5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AF1239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AF1239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AF1239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AF1239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AF1239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D7" w:rsidRDefault="009E0CD7" w:rsidP="007013F0">
      <w:r>
        <w:separator/>
      </w:r>
    </w:p>
  </w:footnote>
  <w:footnote w:type="continuationSeparator" w:id="0">
    <w:p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4377" w:rsidRDefault="00264377" w:rsidP="001D381F">
    <w:pPr>
      <w:pStyle w:val="Zhlav"/>
    </w:pPr>
  </w:p>
  <w:p w:rsidR="001D381F" w:rsidRDefault="001D381F" w:rsidP="001D381F">
    <w:pPr>
      <w:pStyle w:val="Zhlav"/>
    </w:pPr>
  </w:p>
  <w:p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5"/>
  </w:num>
  <w:num w:numId="23">
    <w:abstractNumId w:val="4"/>
  </w:num>
  <w:num w:numId="24">
    <w:abstractNumId w:val="9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3F440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B0D0D"/>
    <w:rsid w:val="005B530D"/>
    <w:rsid w:val="005C23F1"/>
    <w:rsid w:val="005C3E71"/>
    <w:rsid w:val="005D18EF"/>
    <w:rsid w:val="005D45C1"/>
    <w:rsid w:val="005E3D9C"/>
    <w:rsid w:val="005E3F23"/>
    <w:rsid w:val="005E753E"/>
    <w:rsid w:val="005F2041"/>
    <w:rsid w:val="005F524B"/>
    <w:rsid w:val="00600D6C"/>
    <w:rsid w:val="00604B73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9F26BF"/>
    <w:rsid w:val="00A03E99"/>
    <w:rsid w:val="00A07ECC"/>
    <w:rsid w:val="00A131DD"/>
    <w:rsid w:val="00A243E2"/>
    <w:rsid w:val="00A24B3A"/>
    <w:rsid w:val="00A24C99"/>
    <w:rsid w:val="00A271AA"/>
    <w:rsid w:val="00A33252"/>
    <w:rsid w:val="00A37D4D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1239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37AD"/>
    <w:rsid w:val="00BA5565"/>
    <w:rsid w:val="00BB403C"/>
    <w:rsid w:val="00BD632A"/>
    <w:rsid w:val="00BD6A7B"/>
    <w:rsid w:val="00BE109B"/>
    <w:rsid w:val="00BF2498"/>
    <w:rsid w:val="00BF2535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6CB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467AA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253A4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B4623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03C24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A039B"/>
    <w:rsid w:val="00FB0DCE"/>
    <w:rsid w:val="00FB6318"/>
    <w:rsid w:val="00FC1842"/>
    <w:rsid w:val="00FD4E6A"/>
    <w:rsid w:val="00FD52C6"/>
    <w:rsid w:val="00FE50EE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5D135F9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Mariana Kučerová</cp:lastModifiedBy>
  <cp:revision>2</cp:revision>
  <cp:lastPrinted>2017-07-17T15:38:00Z</cp:lastPrinted>
  <dcterms:created xsi:type="dcterms:W3CDTF">2023-01-12T12:33:00Z</dcterms:created>
  <dcterms:modified xsi:type="dcterms:W3CDTF">2023-01-12T12:33:00Z</dcterms:modified>
</cp:coreProperties>
</file>