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261B" w14:textId="3783AD05" w:rsidR="00686E31" w:rsidRDefault="00686E31" w:rsidP="00486A67">
      <w:pPr>
        <w:pStyle w:val="Zkladntext"/>
        <w:spacing w:before="120"/>
        <w:ind w:right="-710"/>
        <w:jc w:val="center"/>
        <w:rPr>
          <w:rFonts w:ascii="Times New Roman" w:hAnsi="Times New Roman"/>
          <w:b/>
          <w:color w:val="auto"/>
          <w:sz w:val="24"/>
          <w:szCs w:val="24"/>
        </w:rPr>
      </w:pPr>
      <w:r>
        <w:rPr>
          <w:rFonts w:ascii="Times New Roman" w:hAnsi="Times New Roman"/>
          <w:b/>
          <w:color w:val="auto"/>
          <w:sz w:val="24"/>
          <w:szCs w:val="24"/>
        </w:rPr>
        <w:t>Dodatek č.</w:t>
      </w:r>
      <w:r w:rsidR="004C17CB">
        <w:rPr>
          <w:rFonts w:ascii="Times New Roman" w:hAnsi="Times New Roman"/>
          <w:b/>
          <w:color w:val="auto"/>
          <w:sz w:val="24"/>
          <w:szCs w:val="24"/>
        </w:rPr>
        <w:t xml:space="preserve"> 3</w:t>
      </w:r>
      <w:r>
        <w:rPr>
          <w:rFonts w:ascii="Times New Roman" w:hAnsi="Times New Roman"/>
          <w:b/>
          <w:color w:val="auto"/>
          <w:sz w:val="24"/>
          <w:szCs w:val="24"/>
        </w:rPr>
        <w:t xml:space="preserve"> </w:t>
      </w:r>
    </w:p>
    <w:p w14:paraId="7DD6C347" w14:textId="677C6CDD" w:rsidR="00486A67" w:rsidRDefault="00686E31" w:rsidP="00486A67">
      <w:pPr>
        <w:pStyle w:val="Zkladntext"/>
        <w:spacing w:before="120"/>
        <w:ind w:right="-710"/>
        <w:jc w:val="center"/>
        <w:rPr>
          <w:rFonts w:ascii="Times New Roman" w:hAnsi="Times New Roman"/>
          <w:b/>
          <w:color w:val="auto"/>
          <w:sz w:val="24"/>
          <w:szCs w:val="24"/>
        </w:rPr>
      </w:pPr>
      <w:r>
        <w:rPr>
          <w:rFonts w:ascii="Times New Roman" w:hAnsi="Times New Roman"/>
          <w:b/>
          <w:color w:val="auto"/>
          <w:sz w:val="24"/>
          <w:szCs w:val="24"/>
        </w:rPr>
        <w:t xml:space="preserve">k </w:t>
      </w:r>
      <w:r w:rsidR="0077211A">
        <w:rPr>
          <w:rFonts w:ascii="Times New Roman" w:hAnsi="Times New Roman"/>
          <w:b/>
          <w:color w:val="auto"/>
          <w:sz w:val="24"/>
          <w:szCs w:val="24"/>
        </w:rPr>
        <w:t>R</w:t>
      </w:r>
      <w:r w:rsidR="00486A67" w:rsidRPr="000640F2">
        <w:rPr>
          <w:rFonts w:ascii="Times New Roman" w:hAnsi="Times New Roman"/>
          <w:b/>
          <w:color w:val="auto"/>
          <w:sz w:val="24"/>
          <w:szCs w:val="24"/>
        </w:rPr>
        <w:t xml:space="preserve"> á m c o v </w:t>
      </w:r>
      <w:r>
        <w:rPr>
          <w:rFonts w:ascii="Times New Roman" w:hAnsi="Times New Roman"/>
          <w:b/>
          <w:color w:val="auto"/>
          <w:sz w:val="24"/>
          <w:szCs w:val="24"/>
        </w:rPr>
        <w:t>é</w:t>
      </w:r>
      <w:r w:rsidR="00486A67" w:rsidRPr="000640F2">
        <w:rPr>
          <w:rFonts w:ascii="Times New Roman" w:hAnsi="Times New Roman"/>
          <w:b/>
          <w:color w:val="auto"/>
          <w:sz w:val="24"/>
          <w:szCs w:val="24"/>
        </w:rPr>
        <w:t xml:space="preserve">    k u p n í    s m l o u v</w:t>
      </w:r>
      <w:r>
        <w:rPr>
          <w:rFonts w:ascii="Times New Roman" w:hAnsi="Times New Roman"/>
          <w:b/>
          <w:color w:val="auto"/>
          <w:sz w:val="24"/>
          <w:szCs w:val="24"/>
        </w:rPr>
        <w:t> </w:t>
      </w:r>
      <w:proofErr w:type="gramStart"/>
      <w:r>
        <w:rPr>
          <w:rFonts w:ascii="Times New Roman" w:hAnsi="Times New Roman"/>
          <w:b/>
          <w:color w:val="auto"/>
          <w:sz w:val="24"/>
          <w:szCs w:val="24"/>
        </w:rPr>
        <w:t xml:space="preserve">ě </w:t>
      </w:r>
      <w:r w:rsidR="0046453C">
        <w:rPr>
          <w:rFonts w:ascii="Times New Roman" w:hAnsi="Times New Roman"/>
          <w:b/>
          <w:color w:val="auto"/>
          <w:sz w:val="24"/>
          <w:szCs w:val="24"/>
        </w:rPr>
        <w:t xml:space="preserve"> č.</w:t>
      </w:r>
      <w:proofErr w:type="gramEnd"/>
      <w:r w:rsidR="0046453C">
        <w:rPr>
          <w:rFonts w:ascii="Times New Roman" w:hAnsi="Times New Roman"/>
          <w:b/>
          <w:color w:val="auto"/>
          <w:sz w:val="24"/>
          <w:szCs w:val="24"/>
        </w:rPr>
        <w:t xml:space="preserve"> </w:t>
      </w:r>
      <w:r w:rsidR="00483CFC">
        <w:rPr>
          <w:rFonts w:ascii="Times New Roman" w:hAnsi="Times New Roman"/>
          <w:b/>
          <w:color w:val="auto"/>
          <w:sz w:val="24"/>
          <w:szCs w:val="24"/>
        </w:rPr>
        <w:t>21</w:t>
      </w:r>
      <w:r w:rsidR="00F65B9A" w:rsidRPr="00F65B9A">
        <w:rPr>
          <w:rFonts w:ascii="Times New Roman" w:hAnsi="Times New Roman"/>
          <w:b/>
          <w:color w:val="auto"/>
          <w:sz w:val="24"/>
          <w:szCs w:val="24"/>
        </w:rPr>
        <w:t>K1MA010000000</w:t>
      </w:r>
      <w:r w:rsidR="000556FF">
        <w:rPr>
          <w:rFonts w:ascii="Times New Roman" w:hAnsi="Times New Roman"/>
          <w:b/>
          <w:color w:val="auto"/>
          <w:sz w:val="24"/>
          <w:szCs w:val="24"/>
        </w:rPr>
        <w:t>1</w:t>
      </w:r>
    </w:p>
    <w:p w14:paraId="6E751832" w14:textId="2B69517F" w:rsidR="002F648E" w:rsidRDefault="002F648E" w:rsidP="00486A67">
      <w:pPr>
        <w:pStyle w:val="Zkladntext"/>
        <w:spacing w:before="120"/>
        <w:ind w:right="-710"/>
        <w:jc w:val="center"/>
        <w:rPr>
          <w:rFonts w:ascii="Times New Roman" w:hAnsi="Times New Roman"/>
          <w:b/>
          <w:color w:val="auto"/>
          <w:sz w:val="24"/>
          <w:szCs w:val="24"/>
        </w:rPr>
      </w:pPr>
      <w:r>
        <w:rPr>
          <w:rFonts w:ascii="Times New Roman" w:hAnsi="Times New Roman"/>
          <w:b/>
          <w:color w:val="auto"/>
          <w:sz w:val="24"/>
          <w:szCs w:val="24"/>
        </w:rPr>
        <w:t xml:space="preserve">evidované v Kemifloc a.s. pod číslem </w:t>
      </w:r>
      <w:r w:rsidRPr="002F648E">
        <w:rPr>
          <w:rFonts w:ascii="Times New Roman" w:hAnsi="Times New Roman"/>
          <w:b/>
          <w:color w:val="auto"/>
          <w:sz w:val="24"/>
          <w:szCs w:val="24"/>
        </w:rPr>
        <w:t>22/KP/</w:t>
      </w:r>
      <w:proofErr w:type="spellStart"/>
      <w:r w:rsidRPr="002F648E">
        <w:rPr>
          <w:rFonts w:ascii="Times New Roman" w:hAnsi="Times New Roman"/>
          <w:b/>
          <w:color w:val="auto"/>
          <w:sz w:val="24"/>
          <w:szCs w:val="24"/>
        </w:rPr>
        <w:t>MaN</w:t>
      </w:r>
      <w:proofErr w:type="spellEnd"/>
      <w:r w:rsidRPr="002F648E">
        <w:rPr>
          <w:rFonts w:ascii="Times New Roman" w:hAnsi="Times New Roman"/>
          <w:b/>
          <w:color w:val="auto"/>
          <w:sz w:val="24"/>
          <w:szCs w:val="24"/>
        </w:rPr>
        <w:t>/02</w:t>
      </w:r>
    </w:p>
    <w:p w14:paraId="02684E9B" w14:textId="5CE60F92" w:rsidR="0077211A" w:rsidRPr="000640F2" w:rsidRDefault="0077211A" w:rsidP="00486A67">
      <w:pPr>
        <w:pStyle w:val="Zkladntext"/>
        <w:spacing w:before="120"/>
        <w:ind w:right="-710"/>
        <w:jc w:val="center"/>
        <w:rPr>
          <w:rFonts w:ascii="Times New Roman" w:hAnsi="Times New Roman"/>
          <w:b/>
          <w:color w:val="auto"/>
          <w:sz w:val="24"/>
          <w:szCs w:val="24"/>
        </w:rPr>
      </w:pPr>
      <w:r>
        <w:rPr>
          <w:rFonts w:ascii="Times New Roman" w:hAnsi="Times New Roman"/>
          <w:b/>
          <w:color w:val="auto"/>
          <w:sz w:val="24"/>
          <w:szCs w:val="24"/>
        </w:rPr>
        <w:t xml:space="preserve">evidované v CHEVAK Cheb, a.s. pod číslem </w:t>
      </w:r>
      <w:r w:rsidR="004C17CB" w:rsidRPr="004C17CB">
        <w:rPr>
          <w:rFonts w:ascii="Times New Roman" w:hAnsi="Times New Roman"/>
          <w:b/>
          <w:color w:val="auto"/>
          <w:sz w:val="24"/>
          <w:szCs w:val="24"/>
        </w:rPr>
        <w:t>SPA-2021-800-000023</w:t>
      </w:r>
    </w:p>
    <w:p w14:paraId="330E7A8C"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4D801B29" w14:textId="77777777" w:rsidR="00486A67" w:rsidRPr="000640F2" w:rsidRDefault="007C7EDC" w:rsidP="007C7EDC">
      <w:pPr>
        <w:pStyle w:val="Zkladntext"/>
        <w:tabs>
          <w:tab w:val="center" w:pos="5174"/>
          <w:tab w:val="left" w:pos="7697"/>
        </w:tabs>
        <w:spacing w:before="120"/>
        <w:ind w:right="-710"/>
        <w:rPr>
          <w:rFonts w:ascii="Times New Roman" w:hAnsi="Times New Roman"/>
          <w:color w:val="auto"/>
          <w:sz w:val="22"/>
          <w:szCs w:val="22"/>
        </w:rPr>
      </w:pPr>
      <w:r>
        <w:rPr>
          <w:rFonts w:ascii="Times New Roman" w:hAnsi="Times New Roman"/>
          <w:color w:val="auto"/>
          <w:sz w:val="22"/>
          <w:szCs w:val="22"/>
        </w:rPr>
        <w:tab/>
      </w:r>
      <w:r w:rsidR="00486A67" w:rsidRPr="000640F2">
        <w:rPr>
          <w:rFonts w:ascii="Times New Roman" w:hAnsi="Times New Roman"/>
          <w:color w:val="auto"/>
          <w:sz w:val="22"/>
          <w:szCs w:val="22"/>
        </w:rPr>
        <w:t>o opakovaných dodávkách zboží,</w:t>
      </w:r>
      <w:r>
        <w:rPr>
          <w:rFonts w:ascii="Times New Roman" w:hAnsi="Times New Roman"/>
          <w:color w:val="auto"/>
          <w:sz w:val="22"/>
          <w:szCs w:val="22"/>
        </w:rPr>
        <w:tab/>
      </w:r>
    </w:p>
    <w:p w14:paraId="469EC69E"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54366341"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kterou uzavřely dále uvedeného dne, měsíce a roku,</w:t>
      </w:r>
    </w:p>
    <w:p w14:paraId="458A95DF"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70A45D02"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níže uvedené smluvní strany:</w:t>
      </w:r>
    </w:p>
    <w:p w14:paraId="6C90FD20"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114BA7F1" w14:textId="77777777" w:rsidR="00486A67" w:rsidRPr="000640F2" w:rsidRDefault="00486A67" w:rsidP="00486A67">
      <w:pPr>
        <w:pStyle w:val="Zkladntext"/>
        <w:spacing w:before="120"/>
        <w:ind w:right="-710"/>
        <w:jc w:val="center"/>
        <w:rPr>
          <w:rFonts w:ascii="Times New Roman" w:hAnsi="Times New Roman"/>
          <w:b/>
          <w:color w:val="auto"/>
          <w:sz w:val="22"/>
          <w:szCs w:val="22"/>
        </w:rPr>
      </w:pPr>
      <w:r w:rsidRPr="000640F2">
        <w:rPr>
          <w:rFonts w:ascii="Times New Roman" w:hAnsi="Times New Roman"/>
          <w:b/>
          <w:color w:val="auto"/>
          <w:sz w:val="22"/>
          <w:szCs w:val="22"/>
        </w:rPr>
        <w:t>KEMIFLOC a. s.,</w:t>
      </w:r>
    </w:p>
    <w:p w14:paraId="1E769102"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45A5C601"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IČ: 476 74 695, DIČ: CZ47674695,</w:t>
      </w:r>
    </w:p>
    <w:p w14:paraId="03A9EAC2"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289FD883"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 xml:space="preserve">se sídlem v Přerově, </w:t>
      </w:r>
      <w:proofErr w:type="spellStart"/>
      <w:r w:rsidRPr="000640F2">
        <w:rPr>
          <w:rFonts w:ascii="Times New Roman" w:hAnsi="Times New Roman"/>
          <w:color w:val="auto"/>
          <w:sz w:val="22"/>
          <w:szCs w:val="22"/>
        </w:rPr>
        <w:t>Dluhonská</w:t>
      </w:r>
      <w:proofErr w:type="spellEnd"/>
      <w:r w:rsidRPr="000640F2">
        <w:rPr>
          <w:rFonts w:ascii="Times New Roman" w:hAnsi="Times New Roman"/>
          <w:color w:val="auto"/>
          <w:sz w:val="22"/>
          <w:szCs w:val="22"/>
        </w:rPr>
        <w:t xml:space="preserve"> 2858/111, PSČ  750 02,</w:t>
      </w:r>
    </w:p>
    <w:p w14:paraId="1741F0BC"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57BD194A"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obchodní společnost zapsaná v obchodním rejstříku</w:t>
      </w:r>
    </w:p>
    <w:p w14:paraId="0C80002E"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vedeném Krajským soudem v Ostravě, v oddíle B, vložce 672,</w:t>
      </w:r>
    </w:p>
    <w:p w14:paraId="2593A573"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2C3F0438"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bankovní spojení: Komerční banka, a. s., číslo účtu 36005-831/0100,</w:t>
      </w:r>
    </w:p>
    <w:p w14:paraId="0891B136"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5848286D" w14:textId="42444D63"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 xml:space="preserve">zastoupena </w:t>
      </w:r>
      <w:proofErr w:type="spellStart"/>
      <w:r w:rsidR="00417DCE">
        <w:rPr>
          <w:rFonts w:ascii="Times New Roman" w:hAnsi="Times New Roman"/>
          <w:color w:val="auto"/>
          <w:sz w:val="22"/>
          <w:szCs w:val="22"/>
        </w:rPr>
        <w:t>xxx</w:t>
      </w:r>
      <w:proofErr w:type="spellEnd"/>
    </w:p>
    <w:p w14:paraId="6343C632"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3A175BE2" w14:textId="30EE2848"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jako</w:t>
      </w:r>
      <w:r w:rsidRPr="000640F2">
        <w:rPr>
          <w:rFonts w:ascii="Times New Roman" w:hAnsi="Times New Roman"/>
          <w:b/>
          <w:color w:val="auto"/>
          <w:sz w:val="22"/>
          <w:szCs w:val="22"/>
        </w:rPr>
        <w:t xml:space="preserve"> Prodávající </w:t>
      </w:r>
      <w:r w:rsidRPr="000640F2">
        <w:rPr>
          <w:rFonts w:ascii="Times New Roman" w:hAnsi="Times New Roman"/>
          <w:color w:val="auto"/>
          <w:sz w:val="22"/>
          <w:szCs w:val="22"/>
        </w:rPr>
        <w:t>na straně jedné</w:t>
      </w:r>
    </w:p>
    <w:p w14:paraId="2D2CC046" w14:textId="77777777" w:rsidR="00486A67" w:rsidRPr="000640F2" w:rsidRDefault="00486A67" w:rsidP="00486A67">
      <w:pPr>
        <w:pStyle w:val="Zkladntext"/>
        <w:spacing w:before="120"/>
        <w:ind w:right="-710"/>
        <w:jc w:val="center"/>
        <w:rPr>
          <w:rFonts w:ascii="Times New Roman" w:hAnsi="Times New Roman"/>
          <w:b/>
          <w:color w:val="auto"/>
          <w:sz w:val="10"/>
          <w:szCs w:val="10"/>
        </w:rPr>
      </w:pPr>
    </w:p>
    <w:p w14:paraId="28D908BC" w14:textId="77777777" w:rsidR="00486A67" w:rsidRPr="000640F2" w:rsidRDefault="00486A67" w:rsidP="00486A67">
      <w:pPr>
        <w:pStyle w:val="Zkladntext"/>
        <w:spacing w:before="120"/>
        <w:ind w:right="-710"/>
        <w:jc w:val="center"/>
        <w:rPr>
          <w:rFonts w:ascii="Times New Roman" w:hAnsi="Times New Roman"/>
          <w:color w:val="auto"/>
          <w:sz w:val="22"/>
          <w:szCs w:val="22"/>
        </w:rPr>
      </w:pPr>
      <w:r w:rsidRPr="000640F2">
        <w:rPr>
          <w:rFonts w:ascii="Times New Roman" w:hAnsi="Times New Roman"/>
          <w:color w:val="auto"/>
          <w:sz w:val="22"/>
          <w:szCs w:val="22"/>
        </w:rPr>
        <w:t>a</w:t>
      </w:r>
    </w:p>
    <w:p w14:paraId="2930DCD4" w14:textId="77777777" w:rsidR="00486A67" w:rsidRPr="000640F2" w:rsidRDefault="00486A67" w:rsidP="00486A67">
      <w:pPr>
        <w:pStyle w:val="Zkladntext"/>
        <w:spacing w:before="120"/>
        <w:ind w:right="-710"/>
        <w:jc w:val="center"/>
        <w:rPr>
          <w:rFonts w:ascii="Times New Roman" w:hAnsi="Times New Roman"/>
          <w:color w:val="auto"/>
          <w:sz w:val="10"/>
          <w:szCs w:val="10"/>
        </w:rPr>
      </w:pPr>
    </w:p>
    <w:p w14:paraId="52948443" w14:textId="77777777" w:rsidR="000556FF" w:rsidRDefault="000556FF" w:rsidP="000556FF">
      <w:pPr>
        <w:jc w:val="center"/>
        <w:rPr>
          <w:b/>
          <w:sz w:val="24"/>
          <w:szCs w:val="24"/>
        </w:rPr>
      </w:pPr>
      <w:r w:rsidRPr="00DD6F76">
        <w:rPr>
          <w:b/>
          <w:sz w:val="24"/>
          <w:szCs w:val="24"/>
        </w:rPr>
        <w:t>CHEVAK Cheb, a.s.,</w:t>
      </w:r>
    </w:p>
    <w:p w14:paraId="26A2D09D" w14:textId="77777777" w:rsidR="000556FF" w:rsidRPr="00DD6F76" w:rsidRDefault="000556FF" w:rsidP="000556FF">
      <w:pPr>
        <w:jc w:val="center"/>
        <w:rPr>
          <w:b/>
          <w:sz w:val="24"/>
          <w:szCs w:val="24"/>
        </w:rPr>
      </w:pPr>
    </w:p>
    <w:p w14:paraId="4F29DB72" w14:textId="77777777" w:rsidR="000556FF" w:rsidRDefault="000556FF" w:rsidP="000556FF">
      <w:pPr>
        <w:jc w:val="center"/>
        <w:rPr>
          <w:sz w:val="24"/>
          <w:szCs w:val="24"/>
        </w:rPr>
      </w:pPr>
      <w:r w:rsidRPr="00DD6F76">
        <w:rPr>
          <w:sz w:val="24"/>
          <w:szCs w:val="24"/>
        </w:rPr>
        <w:t xml:space="preserve">se sídlem </w:t>
      </w:r>
      <w:proofErr w:type="spellStart"/>
      <w:r w:rsidRPr="00DD6F76">
        <w:rPr>
          <w:sz w:val="24"/>
          <w:szCs w:val="24"/>
        </w:rPr>
        <w:t>Tršnická</w:t>
      </w:r>
      <w:proofErr w:type="spellEnd"/>
      <w:r w:rsidRPr="00DD6F76">
        <w:rPr>
          <w:sz w:val="24"/>
          <w:szCs w:val="24"/>
        </w:rPr>
        <w:t xml:space="preserve"> 4/11, 350 02 Cheb,</w:t>
      </w:r>
    </w:p>
    <w:p w14:paraId="13D47809" w14:textId="77777777" w:rsidR="000556FF" w:rsidRPr="00DD6F76" w:rsidRDefault="000556FF" w:rsidP="000556FF">
      <w:pPr>
        <w:jc w:val="center"/>
        <w:rPr>
          <w:sz w:val="24"/>
          <w:szCs w:val="24"/>
        </w:rPr>
      </w:pPr>
    </w:p>
    <w:p w14:paraId="590DC005" w14:textId="77777777" w:rsidR="000556FF" w:rsidRDefault="000556FF" w:rsidP="000556FF">
      <w:pPr>
        <w:jc w:val="center"/>
        <w:rPr>
          <w:sz w:val="24"/>
          <w:szCs w:val="24"/>
        </w:rPr>
      </w:pPr>
      <w:r w:rsidRPr="00DD6F76">
        <w:rPr>
          <w:sz w:val="24"/>
          <w:szCs w:val="24"/>
        </w:rPr>
        <w:t xml:space="preserve">IČ </w:t>
      </w:r>
      <w:r w:rsidRPr="00DD6F76">
        <w:rPr>
          <w:bCs/>
          <w:snapToGrid w:val="0"/>
          <w:sz w:val="24"/>
          <w:szCs w:val="24"/>
        </w:rPr>
        <w:t>49787977</w:t>
      </w:r>
      <w:r w:rsidRPr="00DD6F76">
        <w:rPr>
          <w:sz w:val="24"/>
          <w:szCs w:val="24"/>
        </w:rPr>
        <w:t>, DIČ CZ49787977,</w:t>
      </w:r>
    </w:p>
    <w:p w14:paraId="7F8C55FB" w14:textId="77777777" w:rsidR="000556FF" w:rsidRPr="00DD6F76" w:rsidRDefault="000556FF" w:rsidP="000556FF">
      <w:pPr>
        <w:jc w:val="center"/>
        <w:rPr>
          <w:sz w:val="24"/>
          <w:szCs w:val="24"/>
        </w:rPr>
      </w:pPr>
    </w:p>
    <w:p w14:paraId="2A15B537" w14:textId="305B512C" w:rsidR="000556FF" w:rsidRPr="00DD6F76" w:rsidRDefault="000556FF" w:rsidP="004F401D">
      <w:pPr>
        <w:jc w:val="center"/>
        <w:rPr>
          <w:sz w:val="24"/>
          <w:szCs w:val="24"/>
        </w:rPr>
      </w:pPr>
      <w:r w:rsidRPr="00DD6F76">
        <w:rPr>
          <w:sz w:val="24"/>
          <w:szCs w:val="24"/>
        </w:rPr>
        <w:t>společnost zapsaná v obchodním rejstříku vedeném Krajským soudem v Plzni, v oddíle B, vložce 367</w:t>
      </w:r>
    </w:p>
    <w:p w14:paraId="1DD5C1D2" w14:textId="1A8C4D9B" w:rsidR="000556FF" w:rsidRPr="00DD6F76" w:rsidRDefault="000556FF" w:rsidP="000556FF">
      <w:pPr>
        <w:tabs>
          <w:tab w:val="left" w:pos="709"/>
        </w:tabs>
        <w:jc w:val="center"/>
        <w:rPr>
          <w:sz w:val="24"/>
          <w:szCs w:val="24"/>
        </w:rPr>
      </w:pPr>
    </w:p>
    <w:p w14:paraId="2C7949AA" w14:textId="3A45BF34" w:rsidR="000556FF" w:rsidRDefault="000556FF" w:rsidP="000556FF">
      <w:pPr>
        <w:jc w:val="center"/>
        <w:rPr>
          <w:sz w:val="24"/>
          <w:szCs w:val="24"/>
        </w:rPr>
      </w:pPr>
      <w:r w:rsidRPr="00DD6F76">
        <w:rPr>
          <w:sz w:val="24"/>
          <w:szCs w:val="24"/>
        </w:rPr>
        <w:t>Bankovní spojení: KB 14102331/0100</w:t>
      </w:r>
    </w:p>
    <w:p w14:paraId="20C50CE7" w14:textId="77777777" w:rsidR="004F401D" w:rsidRPr="00DD6F76" w:rsidRDefault="004F401D" w:rsidP="000556FF">
      <w:pPr>
        <w:jc w:val="center"/>
        <w:rPr>
          <w:sz w:val="24"/>
          <w:szCs w:val="24"/>
        </w:rPr>
      </w:pPr>
    </w:p>
    <w:p w14:paraId="3E705D5B" w14:textId="77777777" w:rsidR="00023491" w:rsidRPr="00DD6F76" w:rsidRDefault="00023491" w:rsidP="000556FF">
      <w:pPr>
        <w:jc w:val="center"/>
        <w:rPr>
          <w:b/>
          <w:sz w:val="24"/>
          <w:szCs w:val="24"/>
        </w:rPr>
      </w:pPr>
    </w:p>
    <w:p w14:paraId="15505975" w14:textId="77777777" w:rsidR="000556FF" w:rsidRPr="00DD6F76" w:rsidRDefault="000556FF" w:rsidP="000556FF">
      <w:pPr>
        <w:jc w:val="center"/>
        <w:rPr>
          <w:b/>
          <w:sz w:val="24"/>
          <w:szCs w:val="24"/>
        </w:rPr>
      </w:pPr>
      <w:r w:rsidRPr="00DD6F76">
        <w:rPr>
          <w:sz w:val="24"/>
          <w:szCs w:val="24"/>
        </w:rPr>
        <w:t>(dále jen „</w:t>
      </w:r>
      <w:r w:rsidRPr="00DD6F76">
        <w:rPr>
          <w:b/>
          <w:sz w:val="24"/>
          <w:szCs w:val="24"/>
        </w:rPr>
        <w:t>kupující</w:t>
      </w:r>
      <w:r w:rsidRPr="00DD6F76">
        <w:rPr>
          <w:sz w:val="24"/>
          <w:szCs w:val="24"/>
        </w:rPr>
        <w:t>“)</w:t>
      </w:r>
    </w:p>
    <w:p w14:paraId="468489DD" w14:textId="77777777" w:rsidR="00D53280" w:rsidRDefault="00D53280" w:rsidP="00D53280">
      <w:pPr>
        <w:pStyle w:val="Normln1"/>
        <w:rPr>
          <w:color w:val="000000"/>
          <w:sz w:val="24"/>
        </w:rPr>
      </w:pPr>
    </w:p>
    <w:p w14:paraId="65A9AB24" w14:textId="77777777" w:rsidR="00D53280" w:rsidRDefault="00D53280" w:rsidP="00D53280">
      <w:pPr>
        <w:pStyle w:val="Normln1"/>
        <w:rPr>
          <w:color w:val="000000"/>
          <w:sz w:val="24"/>
        </w:rPr>
      </w:pPr>
    </w:p>
    <w:p w14:paraId="39176556" w14:textId="77777777" w:rsidR="00D53280" w:rsidRDefault="00D53280" w:rsidP="00D53280">
      <w:pPr>
        <w:pStyle w:val="Normln1"/>
        <w:jc w:val="center"/>
        <w:rPr>
          <w:color w:val="000000"/>
          <w:sz w:val="24"/>
        </w:rPr>
      </w:pPr>
      <w:proofErr w:type="gramStart"/>
      <w:r>
        <w:rPr>
          <w:color w:val="000000"/>
          <w:sz w:val="24"/>
        </w:rPr>
        <w:t xml:space="preserve">jako </w:t>
      </w:r>
      <w:r>
        <w:rPr>
          <w:b/>
          <w:color w:val="000000"/>
          <w:sz w:val="24"/>
        </w:rPr>
        <w:t xml:space="preserve"> </w:t>
      </w:r>
      <w:r w:rsidR="00F65B9A">
        <w:rPr>
          <w:b/>
          <w:color w:val="000000"/>
          <w:sz w:val="24"/>
        </w:rPr>
        <w:t>K</w:t>
      </w:r>
      <w:r>
        <w:rPr>
          <w:b/>
          <w:color w:val="000000"/>
          <w:sz w:val="24"/>
        </w:rPr>
        <w:t>upujícím</w:t>
      </w:r>
      <w:proofErr w:type="gramEnd"/>
      <w:r>
        <w:rPr>
          <w:b/>
          <w:color w:val="000000"/>
          <w:sz w:val="24"/>
        </w:rPr>
        <w:t xml:space="preserve"> </w:t>
      </w:r>
      <w:r>
        <w:rPr>
          <w:color w:val="000000"/>
          <w:sz w:val="24"/>
        </w:rPr>
        <w:t xml:space="preserve"> na straně druhé</w:t>
      </w:r>
    </w:p>
    <w:p w14:paraId="5197653D" w14:textId="77777777" w:rsidR="00D53280" w:rsidRDefault="00D53280" w:rsidP="00D53280">
      <w:pPr>
        <w:pStyle w:val="Normln1"/>
        <w:rPr>
          <w:color w:val="000000"/>
          <w:sz w:val="24"/>
        </w:rPr>
      </w:pPr>
    </w:p>
    <w:p w14:paraId="3813BC90" w14:textId="77777777" w:rsidR="00D53280" w:rsidRDefault="00D53280" w:rsidP="00D53280">
      <w:pPr>
        <w:pStyle w:val="Normln1"/>
        <w:rPr>
          <w:color w:val="000000"/>
          <w:sz w:val="24"/>
        </w:rPr>
      </w:pPr>
    </w:p>
    <w:p w14:paraId="6835AD43" w14:textId="23661198" w:rsidR="00D53280" w:rsidRDefault="00D53280" w:rsidP="00D53280">
      <w:pPr>
        <w:pStyle w:val="Normln1"/>
        <w:jc w:val="center"/>
        <w:rPr>
          <w:color w:val="000000"/>
          <w:sz w:val="24"/>
        </w:rPr>
      </w:pPr>
      <w:proofErr w:type="gramStart"/>
      <w:r>
        <w:rPr>
          <w:color w:val="000000"/>
          <w:sz w:val="24"/>
        </w:rPr>
        <w:t>takto :</w:t>
      </w:r>
      <w:proofErr w:type="gramEnd"/>
    </w:p>
    <w:p w14:paraId="1DBDB110" w14:textId="3401981A" w:rsidR="002F648E" w:rsidRDefault="002F648E" w:rsidP="002F648E">
      <w:pPr>
        <w:tabs>
          <w:tab w:val="left" w:pos="980"/>
        </w:tabs>
        <w:rPr>
          <w:color w:val="000000"/>
          <w:sz w:val="24"/>
        </w:rPr>
      </w:pPr>
      <w:r>
        <w:rPr>
          <w:color w:val="000000"/>
          <w:sz w:val="24"/>
        </w:rPr>
        <w:lastRenderedPageBreak/>
        <w:tab/>
      </w:r>
    </w:p>
    <w:p w14:paraId="726BFE24" w14:textId="77777777" w:rsidR="002F648E" w:rsidRPr="002F648E" w:rsidRDefault="002F648E" w:rsidP="002F648E"/>
    <w:p w14:paraId="2F67EF09" w14:textId="0B132D3C" w:rsidR="00686E31" w:rsidRDefault="00686E31" w:rsidP="00686E31">
      <w:pPr>
        <w:jc w:val="both"/>
        <w:rPr>
          <w:rFonts w:ascii="Arial" w:eastAsia="MS Mincho" w:hAnsi="Arial" w:cs="Arial"/>
        </w:rPr>
      </w:pPr>
      <w:r>
        <w:rPr>
          <w:rFonts w:ascii="Arial" w:eastAsia="MS Mincho" w:hAnsi="Arial" w:cs="Arial"/>
        </w:rPr>
        <w:t xml:space="preserve">Tímto dodatkem č. </w:t>
      </w:r>
      <w:r w:rsidR="00D13818">
        <w:rPr>
          <w:rFonts w:ascii="Arial" w:eastAsia="MS Mincho" w:hAnsi="Arial" w:cs="Arial"/>
        </w:rPr>
        <w:t>3</w:t>
      </w:r>
      <w:r>
        <w:rPr>
          <w:rFonts w:ascii="Arial" w:eastAsia="MS Mincho" w:hAnsi="Arial" w:cs="Arial"/>
        </w:rPr>
        <w:t xml:space="preserve"> </w:t>
      </w:r>
      <w:r w:rsidR="00D13818">
        <w:rPr>
          <w:rFonts w:ascii="Arial" w:eastAsia="MS Mincho" w:hAnsi="Arial" w:cs="Arial"/>
        </w:rPr>
        <w:t>R</w:t>
      </w:r>
      <w:r>
        <w:rPr>
          <w:rFonts w:ascii="Arial" w:eastAsia="MS Mincho" w:hAnsi="Arial" w:cs="Arial"/>
        </w:rPr>
        <w:t xml:space="preserve">ámcové kupní smlouvy uzavřené mezi smluvními stranami dne </w:t>
      </w:r>
      <w:r w:rsidR="008D43A2">
        <w:rPr>
          <w:rFonts w:ascii="Arial" w:eastAsia="MS Mincho" w:hAnsi="Arial" w:cs="Arial"/>
        </w:rPr>
        <w:t>19</w:t>
      </w:r>
      <w:r>
        <w:rPr>
          <w:rFonts w:ascii="Arial" w:eastAsia="MS Mincho" w:hAnsi="Arial" w:cs="Arial"/>
        </w:rPr>
        <w:t>.</w:t>
      </w:r>
      <w:r w:rsidR="008D43A2">
        <w:rPr>
          <w:rFonts w:ascii="Arial" w:eastAsia="MS Mincho" w:hAnsi="Arial" w:cs="Arial"/>
        </w:rPr>
        <w:t>1</w:t>
      </w:r>
      <w:r>
        <w:rPr>
          <w:rFonts w:ascii="Arial" w:eastAsia="MS Mincho" w:hAnsi="Arial" w:cs="Arial"/>
        </w:rPr>
        <w:t>.20</w:t>
      </w:r>
      <w:r w:rsidR="008D43A2">
        <w:rPr>
          <w:rFonts w:ascii="Arial" w:eastAsia="MS Mincho" w:hAnsi="Arial" w:cs="Arial"/>
        </w:rPr>
        <w:t>21</w:t>
      </w:r>
      <w:r>
        <w:rPr>
          <w:rFonts w:ascii="Arial" w:eastAsia="MS Mincho" w:hAnsi="Arial" w:cs="Arial"/>
        </w:rPr>
        <w:t xml:space="preserve"> </w:t>
      </w:r>
      <w:proofErr w:type="gramStart"/>
      <w:r>
        <w:rPr>
          <w:rFonts w:ascii="Arial" w:eastAsia="MS Mincho" w:hAnsi="Arial" w:cs="Arial"/>
        </w:rPr>
        <w:t>se</w:t>
      </w:r>
      <w:proofErr w:type="gramEnd"/>
      <w:r>
        <w:rPr>
          <w:rFonts w:ascii="Arial" w:eastAsia="MS Mincho" w:hAnsi="Arial" w:cs="Arial"/>
        </w:rPr>
        <w:t xml:space="preserve"> znění smlouvy opravuje takto:</w:t>
      </w:r>
    </w:p>
    <w:p w14:paraId="414A0522" w14:textId="77777777" w:rsidR="00686E31" w:rsidRDefault="00686E31" w:rsidP="00686E31">
      <w:pPr>
        <w:tabs>
          <w:tab w:val="left" w:pos="930"/>
        </w:tabs>
      </w:pPr>
    </w:p>
    <w:p w14:paraId="4FB3D386" w14:textId="77777777" w:rsidR="00686E31" w:rsidRDefault="00686E31" w:rsidP="00686E31">
      <w:pPr>
        <w:jc w:val="both"/>
        <w:rPr>
          <w:rFonts w:ascii="Arial" w:eastAsia="MS Mincho" w:hAnsi="Arial" w:cs="Arial"/>
          <w:b/>
        </w:rPr>
      </w:pPr>
    </w:p>
    <w:p w14:paraId="40C6A448" w14:textId="373CB368" w:rsidR="00686E31" w:rsidRDefault="00686E31" w:rsidP="00686E31">
      <w:pPr>
        <w:jc w:val="both"/>
        <w:rPr>
          <w:rFonts w:ascii="Arial" w:eastAsia="MS Mincho" w:hAnsi="Arial" w:cs="Arial"/>
          <w:bCs/>
        </w:rPr>
      </w:pPr>
      <w:r>
        <w:rPr>
          <w:rFonts w:ascii="Arial" w:eastAsia="MS Mincho" w:hAnsi="Arial" w:cs="Arial"/>
          <w:b/>
        </w:rPr>
        <w:t>Odst. 2 článku III. „Kupní cena</w:t>
      </w:r>
      <w:r>
        <w:rPr>
          <w:rFonts w:ascii="Arial" w:eastAsia="MS Mincho" w:hAnsi="Arial" w:cs="Arial"/>
          <w:b/>
          <w:lang w:val="pl-PL"/>
        </w:rPr>
        <w:t xml:space="preserve">“ </w:t>
      </w:r>
      <w:r>
        <w:rPr>
          <w:rFonts w:ascii="Arial" w:eastAsia="MS Mincho" w:hAnsi="Arial" w:cs="Arial"/>
          <w:bCs/>
          <w:lang w:val="pl-PL"/>
        </w:rPr>
        <w:t xml:space="preserve">se upravuje </w:t>
      </w:r>
      <w:r w:rsidR="00D13818">
        <w:rPr>
          <w:rFonts w:ascii="Arial" w:eastAsia="MS Mincho" w:hAnsi="Arial" w:cs="Arial"/>
          <w:bCs/>
          <w:lang w:val="pl-PL"/>
        </w:rPr>
        <w:t>takto</w:t>
      </w:r>
      <w:r w:rsidR="00D13818">
        <w:rPr>
          <w:rFonts w:ascii="Arial" w:eastAsia="MS Mincho" w:hAnsi="Arial" w:cs="Arial"/>
          <w:bCs/>
        </w:rPr>
        <w:t>:</w:t>
      </w:r>
    </w:p>
    <w:p w14:paraId="1F992783" w14:textId="77777777" w:rsidR="00686E31" w:rsidRDefault="00686E31" w:rsidP="00686E31">
      <w:pPr>
        <w:jc w:val="both"/>
        <w:rPr>
          <w:rFonts w:ascii="Arial" w:eastAsia="MS Mincho" w:hAnsi="Arial" w:cs="Arial"/>
          <w:bCs/>
        </w:rPr>
      </w:pPr>
    </w:p>
    <w:p w14:paraId="518D9FC2" w14:textId="1B18DDE7" w:rsidR="00686E31" w:rsidRDefault="00686E31" w:rsidP="00686E31">
      <w:pPr>
        <w:pStyle w:val="Zkladntext"/>
        <w:spacing w:before="120"/>
        <w:ind w:right="-710"/>
        <w:jc w:val="both"/>
        <w:rPr>
          <w:rFonts w:ascii="Times New Roman" w:hAnsi="Times New Roman"/>
          <w:color w:val="auto"/>
          <w:sz w:val="24"/>
        </w:rPr>
      </w:pPr>
      <w:r>
        <w:rPr>
          <w:rFonts w:ascii="Times New Roman" w:hAnsi="Times New Roman"/>
          <w:color w:val="auto"/>
          <w:sz w:val="24"/>
        </w:rPr>
        <w:t xml:space="preserve">Smluvní strany se dohodly na tom, že kupní cena za jednu tunu Zboží </w:t>
      </w:r>
      <w:r w:rsidR="00023491">
        <w:rPr>
          <w:rFonts w:ascii="Times New Roman" w:hAnsi="Times New Roman"/>
          <w:color w:val="auto"/>
          <w:sz w:val="24"/>
        </w:rPr>
        <w:t xml:space="preserve">od </w:t>
      </w:r>
      <w:r w:rsidR="00023491" w:rsidRPr="00023491">
        <w:rPr>
          <w:rFonts w:ascii="Times New Roman" w:hAnsi="Times New Roman"/>
          <w:b/>
          <w:bCs/>
          <w:color w:val="auto"/>
          <w:sz w:val="24"/>
        </w:rPr>
        <w:t>1.</w:t>
      </w:r>
      <w:r w:rsidR="00617CEF">
        <w:rPr>
          <w:rFonts w:ascii="Times New Roman" w:hAnsi="Times New Roman"/>
          <w:b/>
          <w:bCs/>
          <w:color w:val="auto"/>
          <w:sz w:val="24"/>
        </w:rPr>
        <w:t>2</w:t>
      </w:r>
      <w:r w:rsidR="00023491" w:rsidRPr="00023491">
        <w:rPr>
          <w:rFonts w:ascii="Times New Roman" w:hAnsi="Times New Roman"/>
          <w:b/>
          <w:bCs/>
          <w:color w:val="auto"/>
          <w:sz w:val="24"/>
        </w:rPr>
        <w:t>.202</w:t>
      </w:r>
      <w:r w:rsidR="002F648E">
        <w:rPr>
          <w:rFonts w:ascii="Times New Roman" w:hAnsi="Times New Roman"/>
          <w:b/>
          <w:bCs/>
          <w:color w:val="auto"/>
          <w:sz w:val="24"/>
        </w:rPr>
        <w:t>3</w:t>
      </w:r>
      <w:r w:rsidR="00023491">
        <w:rPr>
          <w:rFonts w:ascii="Times New Roman" w:hAnsi="Times New Roman"/>
          <w:color w:val="auto"/>
          <w:sz w:val="24"/>
        </w:rPr>
        <w:t xml:space="preserve"> činí:</w:t>
      </w:r>
    </w:p>
    <w:p w14:paraId="5E6925F1" w14:textId="77777777" w:rsidR="00486A67" w:rsidRPr="00F65B9A" w:rsidRDefault="00F65B9A" w:rsidP="00F65B9A">
      <w:pPr>
        <w:tabs>
          <w:tab w:val="left" w:pos="930"/>
        </w:tabs>
      </w:pPr>
      <w:r>
        <w:tab/>
      </w:r>
    </w:p>
    <w:p w14:paraId="4D90FA24" w14:textId="69B18D3C" w:rsidR="00493345" w:rsidRDefault="000D1C0A" w:rsidP="00493345">
      <w:pPr>
        <w:pStyle w:val="Zkladntext"/>
        <w:tabs>
          <w:tab w:val="left" w:pos="1560"/>
        </w:tabs>
        <w:spacing w:before="120" w:line="327" w:lineRule="auto"/>
        <w:jc w:val="center"/>
        <w:rPr>
          <w:rFonts w:ascii="Times New Roman" w:hAnsi="Times New Roman"/>
          <w:b/>
          <w:sz w:val="24"/>
        </w:rPr>
      </w:pPr>
      <w:r>
        <w:rPr>
          <w:rFonts w:ascii="Times New Roman" w:hAnsi="Times New Roman"/>
          <w:b/>
          <w:sz w:val="24"/>
        </w:rPr>
        <w:t xml:space="preserve">Cena za 1 tunu </w:t>
      </w:r>
      <w:r w:rsidR="00493345" w:rsidRPr="00493345">
        <w:rPr>
          <w:rFonts w:ascii="Times New Roman" w:hAnsi="Times New Roman"/>
          <w:b/>
          <w:color w:val="auto"/>
          <w:sz w:val="24"/>
        </w:rPr>
        <w:t xml:space="preserve">směsného síranu </w:t>
      </w:r>
      <w:proofErr w:type="spellStart"/>
      <w:r w:rsidR="00493345" w:rsidRPr="00493345">
        <w:rPr>
          <w:rFonts w:ascii="Times New Roman" w:hAnsi="Times New Roman"/>
          <w:b/>
          <w:color w:val="auto"/>
          <w:sz w:val="24"/>
        </w:rPr>
        <w:t>hlinito</w:t>
      </w:r>
      <w:proofErr w:type="spellEnd"/>
      <w:r w:rsidR="00493345" w:rsidRPr="00493345">
        <w:rPr>
          <w:rFonts w:ascii="Times New Roman" w:hAnsi="Times New Roman"/>
          <w:b/>
          <w:color w:val="auto"/>
          <w:sz w:val="24"/>
        </w:rPr>
        <w:t>-</w:t>
      </w:r>
      <w:proofErr w:type="gramStart"/>
      <w:r w:rsidR="00493345" w:rsidRPr="00493345">
        <w:rPr>
          <w:rFonts w:ascii="Times New Roman" w:hAnsi="Times New Roman"/>
          <w:b/>
          <w:color w:val="auto"/>
          <w:sz w:val="24"/>
        </w:rPr>
        <w:t>železitého</w:t>
      </w:r>
      <w:r>
        <w:rPr>
          <w:rFonts w:ascii="Times New Roman" w:hAnsi="Times New Roman"/>
          <w:b/>
          <w:sz w:val="24"/>
        </w:rPr>
        <w:t xml:space="preserve"> </w:t>
      </w:r>
      <w:r w:rsidR="000556FF">
        <w:rPr>
          <w:rFonts w:ascii="Times New Roman" w:hAnsi="Times New Roman"/>
          <w:b/>
          <w:sz w:val="24"/>
        </w:rPr>
        <w:t xml:space="preserve"> PIX</w:t>
      </w:r>
      <w:proofErr w:type="gramEnd"/>
      <w:r w:rsidR="000556FF">
        <w:rPr>
          <w:rFonts w:ascii="Times New Roman" w:hAnsi="Times New Roman"/>
          <w:b/>
          <w:sz w:val="24"/>
        </w:rPr>
        <w:t xml:space="preserve"> XL2A </w:t>
      </w:r>
      <w:r>
        <w:rPr>
          <w:rFonts w:ascii="Times New Roman" w:hAnsi="Times New Roman"/>
          <w:b/>
          <w:sz w:val="24"/>
        </w:rPr>
        <w:t xml:space="preserve">v obchodní paritě DAP </w:t>
      </w:r>
      <w:r w:rsidR="0097294E">
        <w:rPr>
          <w:rFonts w:ascii="Times New Roman" w:hAnsi="Times New Roman"/>
          <w:b/>
          <w:sz w:val="24"/>
        </w:rPr>
        <w:t xml:space="preserve">činí: </w:t>
      </w:r>
      <w:proofErr w:type="spellStart"/>
      <w:r w:rsidR="007553F2">
        <w:rPr>
          <w:rFonts w:ascii="Times New Roman" w:hAnsi="Times New Roman"/>
          <w:b/>
          <w:sz w:val="24"/>
        </w:rPr>
        <w:t>xxxx</w:t>
      </w:r>
      <w:proofErr w:type="spellEnd"/>
      <w:r>
        <w:rPr>
          <w:rFonts w:ascii="Times New Roman" w:hAnsi="Times New Roman"/>
          <w:b/>
          <w:sz w:val="24"/>
        </w:rPr>
        <w:t xml:space="preserve"> Kč/t   </w:t>
      </w:r>
      <w:r w:rsidR="00493345">
        <w:rPr>
          <w:rFonts w:ascii="Times New Roman" w:hAnsi="Times New Roman"/>
          <w:b/>
          <w:sz w:val="24"/>
        </w:rPr>
        <w:t xml:space="preserve">(platí pro dodávku v objemu </w:t>
      </w:r>
      <w:r w:rsidR="000556FF">
        <w:rPr>
          <w:rFonts w:ascii="Times New Roman" w:hAnsi="Times New Roman"/>
          <w:b/>
          <w:sz w:val="24"/>
        </w:rPr>
        <w:t>20</w:t>
      </w:r>
      <w:r w:rsidR="00493345">
        <w:rPr>
          <w:rFonts w:ascii="Times New Roman" w:hAnsi="Times New Roman"/>
          <w:b/>
          <w:sz w:val="24"/>
        </w:rPr>
        <w:t xml:space="preserve"> – 25 tun)</w:t>
      </w:r>
    </w:p>
    <w:p w14:paraId="4DD92898" w14:textId="77777777" w:rsidR="00493345" w:rsidRDefault="00493345" w:rsidP="00493345">
      <w:pPr>
        <w:pStyle w:val="Zkladntext"/>
        <w:tabs>
          <w:tab w:val="left" w:pos="1560"/>
        </w:tabs>
        <w:spacing w:before="120" w:line="327" w:lineRule="auto"/>
        <w:jc w:val="center"/>
        <w:rPr>
          <w:rFonts w:ascii="Times New Roman" w:hAnsi="Times New Roman"/>
          <w:b/>
          <w:sz w:val="24"/>
        </w:rPr>
      </w:pPr>
    </w:p>
    <w:p w14:paraId="0C0009D7" w14:textId="4CB1BF15" w:rsidR="00493345" w:rsidRDefault="00493345" w:rsidP="00493345">
      <w:pPr>
        <w:pStyle w:val="Zkladntext"/>
        <w:tabs>
          <w:tab w:val="left" w:pos="1560"/>
        </w:tabs>
        <w:spacing w:before="120" w:line="327" w:lineRule="auto"/>
        <w:jc w:val="center"/>
        <w:rPr>
          <w:rFonts w:ascii="Times New Roman" w:hAnsi="Times New Roman"/>
          <w:b/>
          <w:sz w:val="24"/>
        </w:rPr>
      </w:pPr>
      <w:r>
        <w:rPr>
          <w:rFonts w:ascii="Times New Roman" w:hAnsi="Times New Roman"/>
          <w:b/>
          <w:sz w:val="24"/>
        </w:rPr>
        <w:t xml:space="preserve">Cena za 1 tunu </w:t>
      </w:r>
      <w:r w:rsidRPr="00493345">
        <w:rPr>
          <w:rFonts w:ascii="Times New Roman" w:hAnsi="Times New Roman"/>
          <w:b/>
          <w:color w:val="auto"/>
          <w:sz w:val="24"/>
        </w:rPr>
        <w:t xml:space="preserve">směsného síranu </w:t>
      </w:r>
      <w:proofErr w:type="spellStart"/>
      <w:r w:rsidRPr="00493345">
        <w:rPr>
          <w:rFonts w:ascii="Times New Roman" w:hAnsi="Times New Roman"/>
          <w:b/>
          <w:color w:val="auto"/>
          <w:sz w:val="24"/>
        </w:rPr>
        <w:t>hlinito</w:t>
      </w:r>
      <w:proofErr w:type="spellEnd"/>
      <w:r w:rsidRPr="00493345">
        <w:rPr>
          <w:rFonts w:ascii="Times New Roman" w:hAnsi="Times New Roman"/>
          <w:b/>
          <w:color w:val="auto"/>
          <w:sz w:val="24"/>
        </w:rPr>
        <w:t>-železitého</w:t>
      </w:r>
      <w:r w:rsidR="000556FF">
        <w:rPr>
          <w:rFonts w:ascii="Times New Roman" w:hAnsi="Times New Roman"/>
          <w:b/>
          <w:color w:val="auto"/>
          <w:sz w:val="24"/>
        </w:rPr>
        <w:t xml:space="preserve"> PIX XL2F</w:t>
      </w:r>
      <w:r>
        <w:rPr>
          <w:rFonts w:ascii="Times New Roman" w:hAnsi="Times New Roman"/>
          <w:b/>
          <w:sz w:val="24"/>
        </w:rPr>
        <w:t xml:space="preserve"> v obchodní paritě DAP </w:t>
      </w:r>
      <w:r w:rsidR="0097294E">
        <w:rPr>
          <w:rFonts w:ascii="Times New Roman" w:hAnsi="Times New Roman"/>
          <w:b/>
          <w:sz w:val="24"/>
        </w:rPr>
        <w:t xml:space="preserve">činí: </w:t>
      </w:r>
      <w:proofErr w:type="spellStart"/>
      <w:r w:rsidR="007553F2">
        <w:rPr>
          <w:rFonts w:ascii="Times New Roman" w:hAnsi="Times New Roman"/>
          <w:b/>
          <w:sz w:val="24"/>
        </w:rPr>
        <w:t>xxxx</w:t>
      </w:r>
      <w:proofErr w:type="spellEnd"/>
      <w:r w:rsidR="0097294E">
        <w:rPr>
          <w:rFonts w:ascii="Times New Roman" w:hAnsi="Times New Roman"/>
          <w:b/>
          <w:sz w:val="24"/>
        </w:rPr>
        <w:t xml:space="preserve"> </w:t>
      </w:r>
      <w:r>
        <w:rPr>
          <w:rFonts w:ascii="Times New Roman" w:hAnsi="Times New Roman"/>
          <w:b/>
          <w:sz w:val="24"/>
        </w:rPr>
        <w:t>Kč/t</w:t>
      </w:r>
      <w:proofErr w:type="gramStart"/>
      <w:r>
        <w:rPr>
          <w:rFonts w:ascii="Times New Roman" w:hAnsi="Times New Roman"/>
          <w:b/>
          <w:sz w:val="24"/>
        </w:rPr>
        <w:t xml:space="preserve">   (</w:t>
      </w:r>
      <w:proofErr w:type="gramEnd"/>
      <w:r>
        <w:rPr>
          <w:rFonts w:ascii="Times New Roman" w:hAnsi="Times New Roman"/>
          <w:b/>
          <w:sz w:val="24"/>
        </w:rPr>
        <w:t xml:space="preserve">platí pro dodávku v objemu </w:t>
      </w:r>
      <w:r w:rsidR="000556FF">
        <w:rPr>
          <w:rFonts w:ascii="Times New Roman" w:hAnsi="Times New Roman"/>
          <w:b/>
          <w:sz w:val="24"/>
        </w:rPr>
        <w:t>20</w:t>
      </w:r>
      <w:r>
        <w:rPr>
          <w:rFonts w:ascii="Times New Roman" w:hAnsi="Times New Roman"/>
          <w:b/>
          <w:sz w:val="24"/>
        </w:rPr>
        <w:t xml:space="preserve"> – </w:t>
      </w:r>
      <w:r w:rsidR="000556FF">
        <w:rPr>
          <w:rFonts w:ascii="Times New Roman" w:hAnsi="Times New Roman"/>
          <w:b/>
          <w:sz w:val="24"/>
        </w:rPr>
        <w:t>2</w:t>
      </w:r>
      <w:r>
        <w:rPr>
          <w:rFonts w:ascii="Times New Roman" w:hAnsi="Times New Roman"/>
          <w:b/>
          <w:sz w:val="24"/>
        </w:rPr>
        <w:t>5 tun)</w:t>
      </w:r>
    </w:p>
    <w:p w14:paraId="78862843" w14:textId="77777777" w:rsidR="000D1C0A" w:rsidRDefault="000D1C0A" w:rsidP="000D1C0A">
      <w:pPr>
        <w:pStyle w:val="Zkladntext"/>
        <w:tabs>
          <w:tab w:val="left" w:pos="1560"/>
        </w:tabs>
        <w:spacing w:before="120" w:line="327" w:lineRule="auto"/>
        <w:jc w:val="center"/>
        <w:rPr>
          <w:rFonts w:ascii="Times New Roman" w:hAnsi="Times New Roman"/>
          <w:b/>
          <w:sz w:val="24"/>
        </w:rPr>
      </w:pPr>
    </w:p>
    <w:p w14:paraId="4DC38428" w14:textId="64F6D4D7" w:rsidR="000D1C0A" w:rsidRDefault="000D1C0A" w:rsidP="000D1C0A">
      <w:pPr>
        <w:pStyle w:val="Zkladntext"/>
        <w:tabs>
          <w:tab w:val="left" w:pos="1560"/>
        </w:tabs>
        <w:spacing w:before="120" w:line="327" w:lineRule="auto"/>
        <w:jc w:val="center"/>
        <w:rPr>
          <w:rFonts w:ascii="Times New Roman" w:hAnsi="Times New Roman"/>
          <w:b/>
          <w:sz w:val="24"/>
        </w:rPr>
      </w:pPr>
      <w:r>
        <w:rPr>
          <w:rFonts w:ascii="Times New Roman" w:hAnsi="Times New Roman"/>
          <w:b/>
          <w:sz w:val="24"/>
        </w:rPr>
        <w:t xml:space="preserve">Cena za 1 tunu 41% </w:t>
      </w:r>
      <w:proofErr w:type="gramStart"/>
      <w:r>
        <w:rPr>
          <w:rFonts w:ascii="Times New Roman" w:hAnsi="Times New Roman"/>
          <w:b/>
          <w:sz w:val="24"/>
        </w:rPr>
        <w:t>síranu  železitého</w:t>
      </w:r>
      <w:proofErr w:type="gramEnd"/>
      <w:r>
        <w:rPr>
          <w:rFonts w:ascii="Times New Roman" w:hAnsi="Times New Roman"/>
          <w:b/>
          <w:sz w:val="24"/>
        </w:rPr>
        <w:t xml:space="preserve"> </w:t>
      </w:r>
      <w:r w:rsidR="000556FF">
        <w:rPr>
          <w:rFonts w:ascii="Times New Roman" w:hAnsi="Times New Roman"/>
          <w:b/>
          <w:sz w:val="24"/>
        </w:rPr>
        <w:t xml:space="preserve"> PIX 113 </w:t>
      </w:r>
      <w:r>
        <w:rPr>
          <w:rFonts w:ascii="Times New Roman" w:hAnsi="Times New Roman"/>
          <w:b/>
          <w:sz w:val="24"/>
        </w:rPr>
        <w:t xml:space="preserve">v obchodní paritě DAP </w:t>
      </w:r>
      <w:r w:rsidR="0097294E">
        <w:rPr>
          <w:rFonts w:ascii="Times New Roman" w:hAnsi="Times New Roman"/>
          <w:b/>
          <w:sz w:val="24"/>
        </w:rPr>
        <w:t xml:space="preserve">činí: </w:t>
      </w:r>
      <w:proofErr w:type="spellStart"/>
      <w:r w:rsidR="007553F2">
        <w:rPr>
          <w:rFonts w:ascii="Times New Roman" w:hAnsi="Times New Roman"/>
          <w:b/>
          <w:sz w:val="24"/>
        </w:rPr>
        <w:t>xxxx</w:t>
      </w:r>
      <w:proofErr w:type="spellEnd"/>
      <w:r w:rsidR="007553F2">
        <w:rPr>
          <w:rFonts w:ascii="Times New Roman" w:hAnsi="Times New Roman"/>
          <w:b/>
          <w:sz w:val="24"/>
        </w:rPr>
        <w:t xml:space="preserve"> </w:t>
      </w:r>
      <w:r w:rsidR="0097294E">
        <w:rPr>
          <w:rFonts w:ascii="Times New Roman" w:hAnsi="Times New Roman"/>
          <w:b/>
          <w:sz w:val="24"/>
        </w:rPr>
        <w:t>Kč/t</w:t>
      </w:r>
      <w:r>
        <w:rPr>
          <w:rFonts w:ascii="Times New Roman" w:hAnsi="Times New Roman"/>
          <w:b/>
          <w:sz w:val="24"/>
        </w:rPr>
        <w:t xml:space="preserve">  </w:t>
      </w:r>
      <w:r w:rsidR="0097294E">
        <w:rPr>
          <w:rFonts w:ascii="Times New Roman" w:hAnsi="Times New Roman"/>
          <w:b/>
          <w:sz w:val="24"/>
        </w:rPr>
        <w:t xml:space="preserve">                  </w:t>
      </w:r>
      <w:r>
        <w:rPr>
          <w:rFonts w:ascii="Times New Roman" w:hAnsi="Times New Roman"/>
          <w:b/>
          <w:sz w:val="24"/>
        </w:rPr>
        <w:t xml:space="preserve"> </w:t>
      </w:r>
    </w:p>
    <w:p w14:paraId="60B1C912" w14:textId="77777777" w:rsidR="000D1C0A" w:rsidRDefault="000D1C0A" w:rsidP="000D1C0A">
      <w:pPr>
        <w:pStyle w:val="Zkladntext"/>
        <w:tabs>
          <w:tab w:val="left" w:pos="1560"/>
        </w:tabs>
        <w:spacing w:before="120" w:line="327" w:lineRule="auto"/>
        <w:jc w:val="center"/>
        <w:rPr>
          <w:rFonts w:ascii="Times New Roman" w:hAnsi="Times New Roman"/>
          <w:b/>
          <w:sz w:val="24"/>
        </w:rPr>
      </w:pPr>
      <w:r>
        <w:rPr>
          <w:rFonts w:ascii="Times New Roman" w:hAnsi="Times New Roman"/>
          <w:b/>
          <w:sz w:val="24"/>
        </w:rPr>
        <w:t xml:space="preserve">(platí pro dodávku v objemu </w:t>
      </w:r>
      <w:proofErr w:type="gramStart"/>
      <w:r w:rsidR="000556FF">
        <w:rPr>
          <w:rFonts w:ascii="Times New Roman" w:hAnsi="Times New Roman"/>
          <w:b/>
          <w:sz w:val="24"/>
        </w:rPr>
        <w:t>20</w:t>
      </w:r>
      <w:r>
        <w:rPr>
          <w:rFonts w:ascii="Times New Roman" w:hAnsi="Times New Roman"/>
          <w:b/>
          <w:sz w:val="24"/>
        </w:rPr>
        <w:t xml:space="preserve"> – 25</w:t>
      </w:r>
      <w:proofErr w:type="gramEnd"/>
      <w:r>
        <w:rPr>
          <w:rFonts w:ascii="Times New Roman" w:hAnsi="Times New Roman"/>
          <w:b/>
          <w:sz w:val="24"/>
        </w:rPr>
        <w:t xml:space="preserve"> tun)</w:t>
      </w:r>
    </w:p>
    <w:p w14:paraId="1F7BAFE0" w14:textId="77777777" w:rsidR="000D1C0A" w:rsidRDefault="000D1C0A" w:rsidP="000D1C0A">
      <w:pPr>
        <w:pStyle w:val="Zkladntext"/>
        <w:tabs>
          <w:tab w:val="left" w:pos="1560"/>
        </w:tabs>
        <w:spacing w:before="120" w:line="327" w:lineRule="auto"/>
        <w:jc w:val="center"/>
        <w:rPr>
          <w:rFonts w:ascii="Times New Roman" w:hAnsi="Times New Roman"/>
          <w:b/>
          <w:sz w:val="24"/>
        </w:rPr>
      </w:pPr>
    </w:p>
    <w:p w14:paraId="6716F346" w14:textId="36478841" w:rsidR="000D1C0A" w:rsidRDefault="000D1C0A" w:rsidP="000D1C0A">
      <w:pPr>
        <w:pStyle w:val="Zkladntext"/>
        <w:tabs>
          <w:tab w:val="left" w:pos="1560"/>
        </w:tabs>
        <w:spacing w:before="120" w:line="327" w:lineRule="auto"/>
        <w:jc w:val="center"/>
        <w:rPr>
          <w:rFonts w:ascii="Times New Roman" w:hAnsi="Times New Roman"/>
          <w:b/>
          <w:sz w:val="24"/>
        </w:rPr>
      </w:pPr>
      <w:r>
        <w:rPr>
          <w:rFonts w:ascii="Times New Roman" w:hAnsi="Times New Roman"/>
          <w:b/>
          <w:sz w:val="24"/>
        </w:rPr>
        <w:t xml:space="preserve">Cena za 1 tunu 41% </w:t>
      </w:r>
      <w:proofErr w:type="gramStart"/>
      <w:r>
        <w:rPr>
          <w:rFonts w:ascii="Times New Roman" w:hAnsi="Times New Roman"/>
          <w:b/>
          <w:sz w:val="24"/>
        </w:rPr>
        <w:t>síranu  železitého</w:t>
      </w:r>
      <w:proofErr w:type="gramEnd"/>
      <w:r>
        <w:rPr>
          <w:rFonts w:ascii="Times New Roman" w:hAnsi="Times New Roman"/>
          <w:b/>
          <w:sz w:val="24"/>
        </w:rPr>
        <w:t xml:space="preserve"> </w:t>
      </w:r>
      <w:r w:rsidR="007C7EDC">
        <w:rPr>
          <w:rFonts w:ascii="Times New Roman" w:hAnsi="Times New Roman"/>
          <w:b/>
          <w:sz w:val="24"/>
        </w:rPr>
        <w:t xml:space="preserve"> PIX 113 </w:t>
      </w:r>
      <w:r>
        <w:rPr>
          <w:rFonts w:ascii="Times New Roman" w:hAnsi="Times New Roman"/>
          <w:b/>
          <w:sz w:val="24"/>
        </w:rPr>
        <w:t xml:space="preserve">v obchodní paritě DAP </w:t>
      </w:r>
      <w:r w:rsidR="0097294E">
        <w:rPr>
          <w:rFonts w:ascii="Times New Roman" w:hAnsi="Times New Roman"/>
          <w:b/>
          <w:sz w:val="24"/>
        </w:rPr>
        <w:t>činí:</w:t>
      </w:r>
      <w:r w:rsidR="004C1169">
        <w:rPr>
          <w:rFonts w:ascii="Times New Roman" w:hAnsi="Times New Roman"/>
          <w:b/>
          <w:sz w:val="24"/>
        </w:rPr>
        <w:t xml:space="preserve"> </w:t>
      </w:r>
      <w:proofErr w:type="spellStart"/>
      <w:r w:rsidR="007553F2">
        <w:rPr>
          <w:rFonts w:ascii="Times New Roman" w:hAnsi="Times New Roman"/>
          <w:b/>
          <w:sz w:val="24"/>
        </w:rPr>
        <w:t>xxxx</w:t>
      </w:r>
      <w:proofErr w:type="spellEnd"/>
      <w:r>
        <w:rPr>
          <w:rFonts w:ascii="Times New Roman" w:hAnsi="Times New Roman"/>
          <w:b/>
          <w:sz w:val="24"/>
        </w:rPr>
        <w:t xml:space="preserve"> Kč/t </w:t>
      </w:r>
      <w:r w:rsidR="0097294E">
        <w:rPr>
          <w:rFonts w:ascii="Times New Roman" w:hAnsi="Times New Roman"/>
          <w:b/>
          <w:sz w:val="24"/>
        </w:rPr>
        <w:t xml:space="preserve">                  </w:t>
      </w:r>
      <w:r>
        <w:rPr>
          <w:rFonts w:ascii="Times New Roman" w:hAnsi="Times New Roman"/>
          <w:b/>
          <w:sz w:val="24"/>
        </w:rPr>
        <w:t xml:space="preserve">  </w:t>
      </w:r>
    </w:p>
    <w:p w14:paraId="767FA888" w14:textId="77777777" w:rsidR="000D1C0A" w:rsidRDefault="000D1C0A" w:rsidP="000D1C0A">
      <w:pPr>
        <w:pStyle w:val="Zkladntext"/>
        <w:tabs>
          <w:tab w:val="left" w:pos="1560"/>
        </w:tabs>
        <w:spacing w:before="120" w:line="327" w:lineRule="auto"/>
        <w:jc w:val="center"/>
        <w:rPr>
          <w:rFonts w:ascii="Times New Roman" w:hAnsi="Times New Roman"/>
          <w:b/>
          <w:sz w:val="24"/>
        </w:rPr>
      </w:pPr>
      <w:r>
        <w:rPr>
          <w:rFonts w:ascii="Times New Roman" w:hAnsi="Times New Roman"/>
          <w:b/>
          <w:sz w:val="24"/>
        </w:rPr>
        <w:t xml:space="preserve">(platí pro dodávku v objemu </w:t>
      </w:r>
      <w:r w:rsidR="007C7EDC">
        <w:rPr>
          <w:rFonts w:ascii="Times New Roman" w:hAnsi="Times New Roman"/>
          <w:b/>
          <w:sz w:val="24"/>
        </w:rPr>
        <w:t>5</w:t>
      </w:r>
      <w:r>
        <w:rPr>
          <w:rFonts w:ascii="Times New Roman" w:hAnsi="Times New Roman"/>
          <w:b/>
          <w:sz w:val="24"/>
        </w:rPr>
        <w:t xml:space="preserve"> – </w:t>
      </w:r>
      <w:r w:rsidR="007C7EDC">
        <w:rPr>
          <w:rFonts w:ascii="Times New Roman" w:hAnsi="Times New Roman"/>
          <w:b/>
          <w:sz w:val="24"/>
        </w:rPr>
        <w:t>9,99</w:t>
      </w:r>
      <w:r>
        <w:rPr>
          <w:rFonts w:ascii="Times New Roman" w:hAnsi="Times New Roman"/>
          <w:b/>
          <w:sz w:val="24"/>
        </w:rPr>
        <w:t xml:space="preserve"> tun)</w:t>
      </w:r>
    </w:p>
    <w:p w14:paraId="1A715D06" w14:textId="77777777" w:rsidR="007C7EDC" w:rsidRDefault="007C7EDC" w:rsidP="000D1C0A">
      <w:pPr>
        <w:pStyle w:val="Zkladntext"/>
        <w:tabs>
          <w:tab w:val="left" w:pos="1560"/>
        </w:tabs>
        <w:spacing w:before="120" w:line="327" w:lineRule="auto"/>
        <w:jc w:val="center"/>
        <w:rPr>
          <w:rFonts w:ascii="Times New Roman" w:hAnsi="Times New Roman"/>
          <w:b/>
          <w:sz w:val="24"/>
        </w:rPr>
      </w:pPr>
    </w:p>
    <w:p w14:paraId="0A0A6D26" w14:textId="586D7FE2" w:rsidR="007C7EDC" w:rsidRDefault="007C7EDC" w:rsidP="007C7EDC">
      <w:pPr>
        <w:pStyle w:val="Zkladntext"/>
        <w:tabs>
          <w:tab w:val="left" w:pos="1560"/>
        </w:tabs>
        <w:spacing w:before="120" w:line="327" w:lineRule="auto"/>
        <w:jc w:val="center"/>
        <w:rPr>
          <w:rFonts w:ascii="Times New Roman" w:hAnsi="Times New Roman"/>
          <w:b/>
          <w:sz w:val="24"/>
        </w:rPr>
      </w:pPr>
      <w:r>
        <w:rPr>
          <w:rFonts w:ascii="Times New Roman" w:hAnsi="Times New Roman"/>
          <w:b/>
          <w:sz w:val="24"/>
        </w:rPr>
        <w:t xml:space="preserve">Cena za 1 tunu 41% </w:t>
      </w:r>
      <w:proofErr w:type="gramStart"/>
      <w:r>
        <w:rPr>
          <w:rFonts w:ascii="Times New Roman" w:hAnsi="Times New Roman"/>
          <w:b/>
          <w:sz w:val="24"/>
        </w:rPr>
        <w:t>síranu  železitého</w:t>
      </w:r>
      <w:proofErr w:type="gramEnd"/>
      <w:r>
        <w:rPr>
          <w:rFonts w:ascii="Times New Roman" w:hAnsi="Times New Roman"/>
          <w:b/>
          <w:sz w:val="24"/>
        </w:rPr>
        <w:t xml:space="preserve">  PIX 113 v obchodní paritě DAP činí: </w:t>
      </w:r>
      <w:proofErr w:type="spellStart"/>
      <w:r w:rsidR="007553F2">
        <w:rPr>
          <w:rFonts w:ascii="Times New Roman" w:hAnsi="Times New Roman"/>
          <w:b/>
          <w:sz w:val="24"/>
        </w:rPr>
        <w:t>xxxx</w:t>
      </w:r>
      <w:proofErr w:type="spellEnd"/>
      <w:r>
        <w:rPr>
          <w:rFonts w:ascii="Times New Roman" w:hAnsi="Times New Roman"/>
          <w:b/>
          <w:sz w:val="24"/>
        </w:rPr>
        <w:t xml:space="preserve"> Kč/t                     </w:t>
      </w:r>
    </w:p>
    <w:p w14:paraId="4D0A0699" w14:textId="77777777" w:rsidR="007C7EDC" w:rsidRDefault="007C7EDC" w:rsidP="007C7EDC">
      <w:pPr>
        <w:pStyle w:val="Zkladntext"/>
        <w:tabs>
          <w:tab w:val="left" w:pos="1560"/>
        </w:tabs>
        <w:spacing w:before="120" w:line="327" w:lineRule="auto"/>
        <w:jc w:val="center"/>
        <w:rPr>
          <w:rFonts w:ascii="Times New Roman" w:hAnsi="Times New Roman"/>
          <w:b/>
          <w:sz w:val="24"/>
        </w:rPr>
      </w:pPr>
      <w:r>
        <w:rPr>
          <w:rFonts w:ascii="Times New Roman" w:hAnsi="Times New Roman"/>
          <w:b/>
          <w:sz w:val="24"/>
        </w:rPr>
        <w:t>(platí pro dodávku v objemu 1,5 – 4,99 tun)</w:t>
      </w:r>
    </w:p>
    <w:p w14:paraId="14ABF37A" w14:textId="77777777" w:rsidR="007C7EDC" w:rsidRDefault="007C7EDC" w:rsidP="000D1C0A">
      <w:pPr>
        <w:pStyle w:val="Zkladntext"/>
        <w:tabs>
          <w:tab w:val="left" w:pos="1560"/>
        </w:tabs>
        <w:spacing w:before="120" w:line="327" w:lineRule="auto"/>
        <w:jc w:val="center"/>
        <w:rPr>
          <w:rFonts w:ascii="Times New Roman" w:hAnsi="Times New Roman"/>
          <w:b/>
          <w:sz w:val="24"/>
        </w:rPr>
      </w:pPr>
    </w:p>
    <w:p w14:paraId="33EFEACE" w14:textId="77777777" w:rsidR="002F648E" w:rsidRPr="007D5554" w:rsidRDefault="002F648E" w:rsidP="002F648E">
      <w:pPr>
        <w:jc w:val="both"/>
        <w:rPr>
          <w:rFonts w:ascii="Arial" w:eastAsia="MS Mincho" w:hAnsi="Arial" w:cs="Arial"/>
        </w:rPr>
      </w:pPr>
      <w:r w:rsidRPr="007D5554">
        <w:rPr>
          <w:rFonts w:ascii="Arial" w:eastAsia="MS Mincho" w:hAnsi="Arial" w:cs="Arial"/>
          <w:b/>
        </w:rPr>
        <w:t xml:space="preserve">Odst. </w:t>
      </w:r>
      <w:r>
        <w:rPr>
          <w:rFonts w:ascii="Arial" w:eastAsia="MS Mincho" w:hAnsi="Arial" w:cs="Arial"/>
          <w:b/>
        </w:rPr>
        <w:t>3</w:t>
      </w:r>
      <w:r w:rsidRPr="007D5554">
        <w:rPr>
          <w:rFonts w:ascii="Arial" w:eastAsia="MS Mincho" w:hAnsi="Arial" w:cs="Arial"/>
          <w:b/>
        </w:rPr>
        <w:t xml:space="preserve"> článku</w:t>
      </w:r>
      <w:r>
        <w:rPr>
          <w:rFonts w:ascii="Arial" w:eastAsia="MS Mincho" w:hAnsi="Arial" w:cs="Arial"/>
          <w:b/>
        </w:rPr>
        <w:t xml:space="preserve"> III</w:t>
      </w:r>
      <w:r w:rsidRPr="007D5554">
        <w:rPr>
          <w:rFonts w:ascii="Arial" w:eastAsia="MS Mincho" w:hAnsi="Arial" w:cs="Arial"/>
          <w:b/>
        </w:rPr>
        <w:t>. „</w:t>
      </w:r>
      <w:r>
        <w:rPr>
          <w:rFonts w:ascii="Arial" w:eastAsia="MS Mincho" w:hAnsi="Arial" w:cs="Arial"/>
          <w:b/>
        </w:rPr>
        <w:t>Kupní cena“</w:t>
      </w:r>
      <w:r w:rsidRPr="007D5554">
        <w:rPr>
          <w:rFonts w:ascii="Arial" w:eastAsia="MS Mincho" w:hAnsi="Arial" w:cs="Arial"/>
        </w:rPr>
        <w:t xml:space="preserve"> se upravuje takto:</w:t>
      </w:r>
    </w:p>
    <w:p w14:paraId="160FBC40" w14:textId="77777777" w:rsidR="002F648E" w:rsidRDefault="002F648E" w:rsidP="002F648E">
      <w:pPr>
        <w:pStyle w:val="Zkladntext"/>
        <w:spacing w:before="120"/>
        <w:ind w:right="-710"/>
        <w:jc w:val="both"/>
        <w:rPr>
          <w:rFonts w:ascii="Times New Roman" w:hAnsi="Times New Roman"/>
          <w:color w:val="auto"/>
          <w:sz w:val="24"/>
        </w:rPr>
      </w:pPr>
      <w:r w:rsidRPr="009E3671">
        <w:rPr>
          <w:rFonts w:ascii="Times New Roman" w:hAnsi="Times New Roman"/>
          <w:color w:val="auto"/>
          <w:sz w:val="24"/>
        </w:rPr>
        <w:t>Smluvní strany se dohodly na tom, že Prodávající je oprávněn vyvolat jednání o kupní ceně Zboží, pokud na straně Prodávajícího dojde k nárůstu nákladů na pořízení (výroba, nákup) Zboží, a to zejména v důsledku zvýšení ceny vstupních surovin potřebných k výrobě Zboží, nebo k nárůstu jiných režijních nákladů Prodávajícího souvisejících s pořízením Zboží. Dále je Prodávající oprávněn jednostranné zvýšit kupní cenu Zboží i v případě, že u něho dojde nárůstu nákladů na přepravu Zboží. Dojde-li na straně Prodávajícího k nárůstu výše uvedených nákladů či některého z nich, bude Prodávající oprávněn zvýšit kupní cenu Zboží přímo úměrně takovému nárůstu nákladů. Smluvní strany se dohodly na tom, že kupní cena zboží musí být po dobu kalendářního čtvrtletí stejná, to znamená, že zvýšení kupní ceny dle výše uvedených pravidel může nabýt účinnosti vždy od 1.1., 1.4., 1.7. a 1.10. kalendářního roku, a to od prvního dne kalendářního čtvrtletí následujícího poté, co prodávající vyvolá jednání o zvýšení kupní ceny zboží.</w:t>
      </w:r>
    </w:p>
    <w:p w14:paraId="3D618E66" w14:textId="77777777" w:rsidR="00486A67" w:rsidRPr="00070C36" w:rsidRDefault="00486A67" w:rsidP="00486A67">
      <w:pPr>
        <w:pStyle w:val="Zkladntext"/>
        <w:spacing w:before="120"/>
        <w:ind w:right="-710"/>
        <w:jc w:val="both"/>
        <w:rPr>
          <w:rFonts w:ascii="Times New Roman" w:hAnsi="Times New Roman"/>
          <w:color w:val="auto"/>
          <w:sz w:val="24"/>
        </w:rPr>
      </w:pPr>
    </w:p>
    <w:p w14:paraId="06FC43E1" w14:textId="77777777" w:rsidR="002F648E" w:rsidRDefault="002F648E" w:rsidP="002F648E">
      <w:pPr>
        <w:jc w:val="both"/>
        <w:rPr>
          <w:rFonts w:ascii="Arial" w:eastAsia="MS Mincho" w:hAnsi="Arial" w:cs="Arial"/>
          <w:b/>
        </w:rPr>
      </w:pPr>
    </w:p>
    <w:p w14:paraId="3BDFDBE7" w14:textId="77777777" w:rsidR="006D57BD" w:rsidRDefault="006D57BD" w:rsidP="002F648E">
      <w:pPr>
        <w:jc w:val="both"/>
        <w:rPr>
          <w:rFonts w:ascii="Arial" w:eastAsia="MS Mincho" w:hAnsi="Arial" w:cs="Arial"/>
          <w:b/>
        </w:rPr>
      </w:pPr>
    </w:p>
    <w:p w14:paraId="3328164A" w14:textId="77777777" w:rsidR="006D57BD" w:rsidRDefault="006D57BD" w:rsidP="002F648E">
      <w:pPr>
        <w:jc w:val="both"/>
        <w:rPr>
          <w:rFonts w:ascii="Arial" w:eastAsia="MS Mincho" w:hAnsi="Arial" w:cs="Arial"/>
          <w:b/>
        </w:rPr>
      </w:pPr>
    </w:p>
    <w:p w14:paraId="29E4E6E7" w14:textId="77777777" w:rsidR="006D57BD" w:rsidRDefault="006D57BD" w:rsidP="002F648E">
      <w:pPr>
        <w:jc w:val="both"/>
        <w:rPr>
          <w:rFonts w:ascii="Arial" w:eastAsia="MS Mincho" w:hAnsi="Arial" w:cs="Arial"/>
          <w:b/>
        </w:rPr>
      </w:pPr>
    </w:p>
    <w:p w14:paraId="0120519B" w14:textId="77777777" w:rsidR="006D57BD" w:rsidRDefault="006D57BD" w:rsidP="002F648E">
      <w:pPr>
        <w:jc w:val="both"/>
        <w:rPr>
          <w:rFonts w:ascii="Arial" w:eastAsia="MS Mincho" w:hAnsi="Arial" w:cs="Arial"/>
          <w:b/>
        </w:rPr>
      </w:pPr>
    </w:p>
    <w:p w14:paraId="7764FBC7" w14:textId="77777777" w:rsidR="006D57BD" w:rsidRDefault="006D57BD" w:rsidP="002F648E">
      <w:pPr>
        <w:jc w:val="both"/>
        <w:rPr>
          <w:rFonts w:ascii="Arial" w:eastAsia="MS Mincho" w:hAnsi="Arial" w:cs="Arial"/>
          <w:b/>
        </w:rPr>
      </w:pPr>
    </w:p>
    <w:p w14:paraId="728C03D9" w14:textId="4FE74C3F" w:rsidR="002F648E" w:rsidRPr="007D5554" w:rsidRDefault="002F648E" w:rsidP="002F648E">
      <w:pPr>
        <w:jc w:val="both"/>
        <w:rPr>
          <w:rFonts w:ascii="Arial" w:eastAsia="MS Mincho" w:hAnsi="Arial" w:cs="Arial"/>
        </w:rPr>
      </w:pPr>
      <w:r w:rsidRPr="007D5554">
        <w:rPr>
          <w:rFonts w:ascii="Arial" w:eastAsia="MS Mincho" w:hAnsi="Arial" w:cs="Arial"/>
          <w:b/>
        </w:rPr>
        <w:t xml:space="preserve">Odst. </w:t>
      </w:r>
      <w:r>
        <w:rPr>
          <w:rFonts w:ascii="Arial" w:eastAsia="MS Mincho" w:hAnsi="Arial" w:cs="Arial"/>
          <w:b/>
        </w:rPr>
        <w:t>1</w:t>
      </w:r>
      <w:r w:rsidRPr="007D5554">
        <w:rPr>
          <w:rFonts w:ascii="Arial" w:eastAsia="MS Mincho" w:hAnsi="Arial" w:cs="Arial"/>
          <w:b/>
        </w:rPr>
        <w:t xml:space="preserve"> článku</w:t>
      </w:r>
      <w:r>
        <w:rPr>
          <w:rFonts w:ascii="Arial" w:eastAsia="MS Mincho" w:hAnsi="Arial" w:cs="Arial"/>
          <w:b/>
        </w:rPr>
        <w:t xml:space="preserve"> IX</w:t>
      </w:r>
      <w:r w:rsidRPr="007D5554">
        <w:rPr>
          <w:rFonts w:ascii="Arial" w:eastAsia="MS Mincho" w:hAnsi="Arial" w:cs="Arial"/>
          <w:b/>
        </w:rPr>
        <w:t>. „</w:t>
      </w:r>
      <w:r>
        <w:rPr>
          <w:rFonts w:ascii="Arial" w:eastAsia="MS Mincho" w:hAnsi="Arial" w:cs="Arial"/>
          <w:b/>
        </w:rPr>
        <w:t>Trvání smlouvy“</w:t>
      </w:r>
      <w:r w:rsidRPr="007D5554">
        <w:rPr>
          <w:rFonts w:ascii="Arial" w:eastAsia="MS Mincho" w:hAnsi="Arial" w:cs="Arial"/>
        </w:rPr>
        <w:t xml:space="preserve"> se upravuje takto:</w:t>
      </w:r>
    </w:p>
    <w:p w14:paraId="007CA0AF" w14:textId="0B867D69" w:rsidR="002F648E" w:rsidRPr="00FD1665" w:rsidRDefault="002F648E" w:rsidP="002F648E">
      <w:pPr>
        <w:pStyle w:val="Zkladntext"/>
        <w:spacing w:before="120"/>
        <w:ind w:left="284" w:hanging="284"/>
        <w:jc w:val="both"/>
        <w:rPr>
          <w:rFonts w:cs="Arial"/>
          <w:b/>
          <w:color w:val="auto"/>
        </w:rPr>
      </w:pPr>
      <w:r w:rsidRPr="005B6C4F">
        <w:rPr>
          <w:rFonts w:cs="Arial"/>
          <w:color w:val="auto"/>
        </w:rPr>
        <w:t>1.</w:t>
      </w:r>
      <w:r w:rsidRPr="005B6C4F">
        <w:rPr>
          <w:rFonts w:cs="Arial"/>
          <w:color w:val="auto"/>
        </w:rPr>
        <w:tab/>
        <w:t xml:space="preserve">Tato smlouva se uzavírá na dobu určitou, a to </w:t>
      </w:r>
      <w:r w:rsidRPr="00FD1665">
        <w:rPr>
          <w:rFonts w:cs="Arial"/>
          <w:b/>
          <w:color w:val="auto"/>
        </w:rPr>
        <w:t>od 1.</w:t>
      </w:r>
      <w:r>
        <w:rPr>
          <w:rFonts w:cs="Arial"/>
          <w:b/>
          <w:color w:val="auto"/>
        </w:rPr>
        <w:t>2</w:t>
      </w:r>
      <w:r w:rsidRPr="00FD1665">
        <w:rPr>
          <w:rFonts w:cs="Arial"/>
          <w:b/>
          <w:color w:val="auto"/>
        </w:rPr>
        <w:t>.202</w:t>
      </w:r>
      <w:r>
        <w:rPr>
          <w:rFonts w:cs="Arial"/>
          <w:b/>
          <w:color w:val="auto"/>
        </w:rPr>
        <w:t>3</w:t>
      </w:r>
      <w:r w:rsidRPr="00FD1665">
        <w:rPr>
          <w:rFonts w:cs="Arial"/>
          <w:b/>
          <w:color w:val="auto"/>
        </w:rPr>
        <w:t xml:space="preserve"> do </w:t>
      </w:r>
      <w:r w:rsidR="00576ECC">
        <w:rPr>
          <w:rFonts w:cs="Arial"/>
          <w:b/>
          <w:color w:val="auto"/>
        </w:rPr>
        <w:t>1</w:t>
      </w:r>
      <w:r w:rsidRPr="00FD1665">
        <w:rPr>
          <w:rFonts w:cs="Arial"/>
          <w:b/>
          <w:color w:val="auto"/>
        </w:rPr>
        <w:t>.</w:t>
      </w:r>
      <w:r w:rsidR="00576ECC">
        <w:rPr>
          <w:rFonts w:cs="Arial"/>
          <w:b/>
          <w:color w:val="auto"/>
        </w:rPr>
        <w:t>2</w:t>
      </w:r>
      <w:r w:rsidRPr="00FD1665">
        <w:rPr>
          <w:rFonts w:cs="Arial"/>
          <w:b/>
          <w:color w:val="auto"/>
        </w:rPr>
        <w:t>.202</w:t>
      </w:r>
      <w:r w:rsidR="00576ECC">
        <w:rPr>
          <w:rFonts w:cs="Arial"/>
          <w:b/>
          <w:color w:val="auto"/>
        </w:rPr>
        <w:t>5</w:t>
      </w:r>
      <w:r w:rsidRPr="00FD1665">
        <w:rPr>
          <w:rFonts w:cs="Arial"/>
          <w:b/>
          <w:color w:val="auto"/>
        </w:rPr>
        <w:t>.</w:t>
      </w:r>
    </w:p>
    <w:p w14:paraId="62A0B5D2" w14:textId="77777777" w:rsidR="00486A67" w:rsidRDefault="00486A67" w:rsidP="00486A67">
      <w:pPr>
        <w:pStyle w:val="Zkladntext"/>
        <w:spacing w:before="120"/>
        <w:ind w:right="-710"/>
        <w:jc w:val="both"/>
        <w:rPr>
          <w:rFonts w:ascii="Times New Roman" w:hAnsi="Times New Roman"/>
          <w:b/>
          <w:color w:val="auto"/>
          <w:sz w:val="24"/>
        </w:rPr>
      </w:pPr>
    </w:p>
    <w:p w14:paraId="6ED84414" w14:textId="77777777" w:rsidR="00686E31" w:rsidRDefault="00686E31" w:rsidP="00686E31">
      <w:pPr>
        <w:jc w:val="both"/>
        <w:rPr>
          <w:rFonts w:ascii="Arial" w:eastAsia="MS Mincho" w:hAnsi="Arial" w:cs="Arial"/>
        </w:rPr>
      </w:pPr>
      <w:r>
        <w:rPr>
          <w:rFonts w:ascii="Arial" w:eastAsia="MS Mincho" w:hAnsi="Arial" w:cs="Arial"/>
        </w:rPr>
        <w:t>Ostatní ustanovení rámcové kupní smlouvy zůstávají v platnosti.</w:t>
      </w:r>
    </w:p>
    <w:p w14:paraId="79B8A767" w14:textId="77777777" w:rsidR="00686E31" w:rsidRDefault="00686E31" w:rsidP="00686E31">
      <w:pPr>
        <w:spacing w:before="80"/>
        <w:jc w:val="both"/>
        <w:rPr>
          <w:rFonts w:ascii="Arial" w:eastAsia="MS Mincho" w:hAnsi="Arial" w:cs="Arial"/>
        </w:rPr>
      </w:pPr>
      <w:r>
        <w:rPr>
          <w:rFonts w:ascii="Arial" w:eastAsia="MS Mincho" w:hAnsi="Arial" w:cs="Arial"/>
        </w:rPr>
        <w:t>Tento dodatek vstupuje v platnost podpisem obou smluvních stran.</w:t>
      </w:r>
    </w:p>
    <w:p w14:paraId="3BFB093D" w14:textId="6E42E1D5" w:rsidR="00686E31" w:rsidRDefault="00686E31" w:rsidP="00686E31">
      <w:pPr>
        <w:spacing w:before="80"/>
        <w:jc w:val="both"/>
        <w:rPr>
          <w:rFonts w:ascii="Arial" w:eastAsia="MS Mincho" w:hAnsi="Arial" w:cs="Arial"/>
        </w:rPr>
      </w:pPr>
      <w:r>
        <w:rPr>
          <w:rFonts w:ascii="Arial" w:eastAsia="MS Mincho" w:hAnsi="Arial" w:cs="Arial"/>
        </w:rPr>
        <w:t>Tento dodatek je vyhotoven ve dvou vyhotoveních, pro každou smluvní stranu po jednom.</w:t>
      </w:r>
    </w:p>
    <w:p w14:paraId="16DE8CDC" w14:textId="72CE9DB9" w:rsidR="00023491" w:rsidRDefault="00023491" w:rsidP="00686E31">
      <w:pPr>
        <w:spacing w:before="80"/>
        <w:jc w:val="both"/>
        <w:rPr>
          <w:rFonts w:ascii="Arial" w:eastAsia="MS Mincho" w:hAnsi="Arial" w:cs="Arial"/>
        </w:rPr>
      </w:pPr>
    </w:p>
    <w:p w14:paraId="7B85BF2F" w14:textId="55046D60" w:rsidR="00023491" w:rsidRDefault="00023491" w:rsidP="00686E31">
      <w:pPr>
        <w:spacing w:before="80"/>
        <w:jc w:val="both"/>
        <w:rPr>
          <w:rFonts w:ascii="Arial" w:eastAsia="MS Mincho" w:hAnsi="Arial" w:cs="Arial"/>
        </w:rPr>
      </w:pPr>
    </w:p>
    <w:p w14:paraId="74A28271" w14:textId="0D35AE54" w:rsidR="00023491" w:rsidRDefault="00417DCE" w:rsidP="00686E31">
      <w:pPr>
        <w:spacing w:before="80"/>
        <w:jc w:val="both"/>
        <w:rPr>
          <w:rFonts w:ascii="Arial" w:eastAsia="MS Mincho" w:hAnsi="Arial" w:cs="Arial"/>
        </w:rPr>
      </w:pPr>
      <w:proofErr w:type="spellStart"/>
      <w:r>
        <w:rPr>
          <w:rFonts w:ascii="Arial" w:eastAsia="MS Mincho" w:hAnsi="Arial" w:cs="Arial"/>
        </w:rPr>
        <w:t>xxx</w:t>
      </w:r>
      <w:proofErr w:type="spellEnd"/>
    </w:p>
    <w:p w14:paraId="6D49E7C2" w14:textId="77777777" w:rsidR="00486A67" w:rsidRPr="00070C36" w:rsidRDefault="00486A67" w:rsidP="00486A67">
      <w:pPr>
        <w:pStyle w:val="Zkladntext"/>
        <w:spacing w:before="120"/>
        <w:ind w:right="-710"/>
        <w:rPr>
          <w:rFonts w:ascii="Times New Roman" w:hAnsi="Times New Roman"/>
          <w:color w:val="auto"/>
          <w:sz w:val="24"/>
        </w:rPr>
      </w:pPr>
    </w:p>
    <w:p w14:paraId="474CE687" w14:textId="36E55CF3" w:rsidR="00486A67" w:rsidRPr="00070C36" w:rsidRDefault="00257843" w:rsidP="00486A67">
      <w:pPr>
        <w:pStyle w:val="Zkladntext"/>
        <w:spacing w:before="120"/>
        <w:ind w:right="-710"/>
        <w:rPr>
          <w:rFonts w:ascii="Times New Roman" w:hAnsi="Times New Roman"/>
          <w:b/>
          <w:color w:val="auto"/>
          <w:sz w:val="24"/>
        </w:rPr>
      </w:pPr>
      <w:r>
        <w:rPr>
          <w:rFonts w:ascii="Times New Roman" w:hAnsi="Times New Roman"/>
          <w:b/>
          <w:color w:val="auto"/>
          <w:sz w:val="24"/>
        </w:rPr>
        <w:t xml:space="preserve">               </w:t>
      </w:r>
      <w:proofErr w:type="gramStart"/>
      <w:r w:rsidR="00486A67" w:rsidRPr="00070C36">
        <w:rPr>
          <w:rFonts w:ascii="Times New Roman" w:hAnsi="Times New Roman"/>
          <w:b/>
          <w:color w:val="auto"/>
          <w:sz w:val="24"/>
        </w:rPr>
        <w:t xml:space="preserve">Prodávající:   </w:t>
      </w:r>
      <w:proofErr w:type="gramEnd"/>
      <w:r w:rsidR="00486A67" w:rsidRPr="00070C36">
        <w:rPr>
          <w:rFonts w:ascii="Times New Roman" w:hAnsi="Times New Roman"/>
          <w:b/>
          <w:color w:val="auto"/>
          <w:sz w:val="24"/>
        </w:rPr>
        <w:t xml:space="preserve">                                                               </w:t>
      </w:r>
      <w:r>
        <w:rPr>
          <w:rFonts w:ascii="Times New Roman" w:hAnsi="Times New Roman"/>
          <w:b/>
          <w:color w:val="auto"/>
          <w:sz w:val="24"/>
        </w:rPr>
        <w:t xml:space="preserve">      </w:t>
      </w:r>
      <w:r w:rsidR="00486A67" w:rsidRPr="00070C36">
        <w:rPr>
          <w:rFonts w:ascii="Times New Roman" w:hAnsi="Times New Roman"/>
          <w:b/>
          <w:color w:val="auto"/>
          <w:sz w:val="24"/>
        </w:rPr>
        <w:t xml:space="preserve"> </w:t>
      </w:r>
      <w:r>
        <w:rPr>
          <w:rFonts w:ascii="Times New Roman" w:hAnsi="Times New Roman"/>
          <w:b/>
          <w:color w:val="auto"/>
          <w:sz w:val="24"/>
        </w:rPr>
        <w:t xml:space="preserve">       </w:t>
      </w:r>
      <w:r w:rsidR="00486A67" w:rsidRPr="00070C36">
        <w:rPr>
          <w:rFonts w:ascii="Times New Roman" w:hAnsi="Times New Roman"/>
          <w:b/>
          <w:color w:val="auto"/>
          <w:sz w:val="24"/>
        </w:rPr>
        <w:t xml:space="preserve">Kupující:         </w:t>
      </w:r>
    </w:p>
    <w:p w14:paraId="6C3495FE" w14:textId="50B476DC" w:rsidR="00486A67" w:rsidRDefault="00257843" w:rsidP="00486A67">
      <w:pPr>
        <w:pStyle w:val="Zkladntext"/>
        <w:widowControl/>
        <w:spacing w:before="120"/>
        <w:ind w:right="-710"/>
        <w:rPr>
          <w:rFonts w:ascii="Times New Roman" w:hAnsi="Times New Roman"/>
          <w:b/>
          <w:color w:val="auto"/>
          <w:sz w:val="24"/>
        </w:rPr>
      </w:pPr>
      <w:r>
        <w:rPr>
          <w:rFonts w:ascii="Times New Roman" w:hAnsi="Times New Roman"/>
          <w:b/>
          <w:color w:val="auto"/>
          <w:sz w:val="24"/>
        </w:rPr>
        <w:t xml:space="preserve">           </w:t>
      </w:r>
      <w:r w:rsidR="00417DCE">
        <w:rPr>
          <w:rFonts w:ascii="Times New Roman" w:hAnsi="Times New Roman"/>
          <w:b/>
          <w:color w:val="auto"/>
          <w:sz w:val="24"/>
        </w:rPr>
        <w:t>xxx</w:t>
      </w:r>
      <w:r>
        <w:rPr>
          <w:rFonts w:ascii="Times New Roman" w:hAnsi="Times New Roman"/>
          <w:b/>
          <w:color w:val="auto"/>
          <w:sz w:val="24"/>
        </w:rPr>
        <w:t xml:space="preserve">                                                                </w:t>
      </w:r>
    </w:p>
    <w:p w14:paraId="386B2005" w14:textId="11EB7E8A" w:rsidR="00257843" w:rsidRPr="00070C36" w:rsidRDefault="00257843" w:rsidP="00486A67">
      <w:pPr>
        <w:pStyle w:val="Zkladntext"/>
        <w:widowControl/>
        <w:spacing w:before="120"/>
        <w:ind w:right="-710"/>
        <w:rPr>
          <w:rFonts w:ascii="Times New Roman" w:hAnsi="Times New Roman"/>
          <w:b/>
          <w:color w:val="auto"/>
          <w:sz w:val="24"/>
        </w:rPr>
      </w:pPr>
      <w:r>
        <w:rPr>
          <w:rFonts w:ascii="Times New Roman" w:hAnsi="Times New Roman"/>
          <w:b/>
          <w:color w:val="auto"/>
          <w:sz w:val="24"/>
        </w:rPr>
        <w:t xml:space="preserve">Regionální obchodní ředitel                                                    </w:t>
      </w:r>
      <w:r w:rsidR="002437DB">
        <w:rPr>
          <w:rFonts w:ascii="Times New Roman" w:hAnsi="Times New Roman"/>
          <w:b/>
          <w:color w:val="auto"/>
          <w:sz w:val="24"/>
        </w:rPr>
        <w:t xml:space="preserve">  </w:t>
      </w:r>
      <w:r>
        <w:rPr>
          <w:rFonts w:ascii="Times New Roman" w:hAnsi="Times New Roman"/>
          <w:b/>
          <w:color w:val="auto"/>
          <w:sz w:val="24"/>
        </w:rPr>
        <w:t xml:space="preserve">  </w:t>
      </w:r>
    </w:p>
    <w:p w14:paraId="00B82547" w14:textId="1262291C" w:rsidR="00486A67" w:rsidRPr="00070C36" w:rsidRDefault="00257843" w:rsidP="00486A67">
      <w:pPr>
        <w:pStyle w:val="Zkladntext"/>
        <w:widowControl/>
        <w:spacing w:before="120"/>
        <w:ind w:right="-710"/>
        <w:rPr>
          <w:rFonts w:ascii="Times New Roman" w:hAnsi="Times New Roman"/>
          <w:b/>
          <w:color w:val="auto"/>
          <w:sz w:val="24"/>
        </w:rPr>
      </w:pPr>
      <w:r>
        <w:rPr>
          <w:rFonts w:ascii="Times New Roman" w:hAnsi="Times New Roman"/>
          <w:b/>
          <w:color w:val="auto"/>
          <w:sz w:val="24"/>
        </w:rPr>
        <w:t xml:space="preserve">          </w:t>
      </w:r>
      <w:r w:rsidR="00486A67" w:rsidRPr="00070C36">
        <w:rPr>
          <w:rFonts w:ascii="Times New Roman" w:hAnsi="Times New Roman"/>
          <w:b/>
          <w:color w:val="auto"/>
          <w:sz w:val="24"/>
        </w:rPr>
        <w:t xml:space="preserve">KEMIFLOC a. s.     </w:t>
      </w:r>
      <w:r>
        <w:rPr>
          <w:rFonts w:ascii="Times New Roman" w:hAnsi="Times New Roman"/>
          <w:b/>
          <w:color w:val="auto"/>
          <w:sz w:val="24"/>
        </w:rPr>
        <w:t xml:space="preserve">                                                     </w:t>
      </w:r>
      <w:r w:rsidR="00BA23CD">
        <w:rPr>
          <w:rFonts w:ascii="Times New Roman" w:hAnsi="Times New Roman"/>
          <w:b/>
          <w:color w:val="auto"/>
          <w:sz w:val="24"/>
        </w:rPr>
        <w:t xml:space="preserve">               </w:t>
      </w:r>
      <w:r w:rsidR="00486A67" w:rsidRPr="00070C36">
        <w:rPr>
          <w:rFonts w:ascii="Times New Roman" w:hAnsi="Times New Roman"/>
          <w:b/>
          <w:color w:val="auto"/>
          <w:sz w:val="24"/>
        </w:rPr>
        <w:t xml:space="preserve"> </w:t>
      </w:r>
    </w:p>
    <w:p w14:paraId="337AD6E1" w14:textId="77777777" w:rsidR="00486A67" w:rsidRDefault="00486A67" w:rsidP="00BA23CD">
      <w:pPr>
        <w:pStyle w:val="Zkladntext"/>
        <w:widowControl/>
        <w:spacing w:before="120"/>
        <w:ind w:right="-710"/>
        <w:rPr>
          <w:rFonts w:ascii="Times New Roman" w:hAnsi="Times New Roman"/>
          <w:b/>
          <w:color w:val="auto"/>
          <w:sz w:val="24"/>
        </w:rPr>
      </w:pPr>
    </w:p>
    <w:p w14:paraId="0A925786" w14:textId="77777777" w:rsidR="00BA23CD" w:rsidRDefault="00BA23CD" w:rsidP="00BA23CD">
      <w:pPr>
        <w:pStyle w:val="Zkladntext"/>
        <w:widowControl/>
        <w:spacing w:before="120"/>
        <w:ind w:right="-710"/>
        <w:rPr>
          <w:rFonts w:ascii="Times New Roman" w:hAnsi="Times New Roman"/>
          <w:b/>
          <w:color w:val="auto"/>
          <w:sz w:val="24"/>
        </w:rPr>
      </w:pPr>
    </w:p>
    <w:p w14:paraId="2B34703B" w14:textId="77777777" w:rsidR="00BA23CD" w:rsidRDefault="00BA23CD" w:rsidP="00BA23CD">
      <w:pPr>
        <w:pStyle w:val="Zkladntext"/>
        <w:widowControl/>
        <w:spacing w:before="120"/>
        <w:ind w:right="-710"/>
        <w:rPr>
          <w:rFonts w:ascii="Times New Roman" w:hAnsi="Times New Roman"/>
          <w:b/>
          <w:color w:val="auto"/>
          <w:sz w:val="24"/>
        </w:rPr>
      </w:pPr>
    </w:p>
    <w:p w14:paraId="15C260A3" w14:textId="77777777" w:rsidR="00BA23CD" w:rsidRDefault="00BA23CD" w:rsidP="00BA23CD">
      <w:pPr>
        <w:pStyle w:val="Zkladntext"/>
        <w:widowControl/>
        <w:spacing w:before="120"/>
        <w:ind w:right="-710"/>
        <w:rPr>
          <w:rFonts w:ascii="Times New Roman" w:hAnsi="Times New Roman"/>
          <w:b/>
          <w:color w:val="auto"/>
          <w:sz w:val="24"/>
        </w:rPr>
      </w:pPr>
    </w:p>
    <w:p w14:paraId="5D021D33" w14:textId="77777777" w:rsidR="00BA23CD" w:rsidRDefault="00BA23CD" w:rsidP="00BA23CD">
      <w:pPr>
        <w:pStyle w:val="Zkladntext"/>
        <w:widowControl/>
        <w:spacing w:before="120"/>
        <w:ind w:right="-710"/>
        <w:rPr>
          <w:rFonts w:ascii="Times New Roman" w:hAnsi="Times New Roman"/>
          <w:b/>
          <w:color w:val="auto"/>
          <w:sz w:val="24"/>
        </w:rPr>
      </w:pPr>
    </w:p>
    <w:p w14:paraId="352716C4" w14:textId="77777777" w:rsidR="00BA23CD" w:rsidRDefault="00BA23CD" w:rsidP="00BA23CD">
      <w:pPr>
        <w:pStyle w:val="Zkladntext"/>
        <w:widowControl/>
        <w:spacing w:before="120"/>
        <w:ind w:right="-710"/>
        <w:rPr>
          <w:rFonts w:ascii="Times New Roman" w:hAnsi="Times New Roman"/>
          <w:b/>
          <w:color w:val="auto"/>
          <w:sz w:val="24"/>
        </w:rPr>
      </w:pPr>
    </w:p>
    <w:p w14:paraId="37A12848" w14:textId="77777777" w:rsidR="00BA23CD" w:rsidRDefault="00BA23CD" w:rsidP="00BA23CD">
      <w:pPr>
        <w:pStyle w:val="Zkladntext"/>
        <w:widowControl/>
        <w:spacing w:before="120"/>
        <w:ind w:right="-710"/>
        <w:rPr>
          <w:rFonts w:ascii="Times New Roman" w:hAnsi="Times New Roman"/>
          <w:b/>
          <w:color w:val="auto"/>
          <w:sz w:val="24"/>
        </w:rPr>
      </w:pPr>
    </w:p>
    <w:p w14:paraId="3C932C25" w14:textId="77777777" w:rsidR="00BA23CD" w:rsidRDefault="00BA23CD" w:rsidP="00BA23CD">
      <w:pPr>
        <w:pStyle w:val="Zkladntext"/>
        <w:widowControl/>
        <w:spacing w:before="120"/>
        <w:ind w:right="-710"/>
        <w:rPr>
          <w:rFonts w:ascii="Times New Roman" w:hAnsi="Times New Roman"/>
          <w:b/>
          <w:color w:val="auto"/>
          <w:sz w:val="24"/>
        </w:rPr>
      </w:pPr>
    </w:p>
    <w:p w14:paraId="7511670C" w14:textId="77777777" w:rsidR="00BA23CD" w:rsidRPr="00070C36" w:rsidRDefault="00BA23CD" w:rsidP="00BA23CD">
      <w:pPr>
        <w:pStyle w:val="Zkladntext"/>
        <w:widowControl/>
        <w:spacing w:before="120"/>
        <w:ind w:right="-710"/>
        <w:rPr>
          <w:rFonts w:ascii="Times New Roman" w:hAnsi="Times New Roman"/>
          <w:b/>
          <w:color w:val="auto"/>
          <w:sz w:val="24"/>
        </w:rPr>
      </w:pPr>
    </w:p>
    <w:p w14:paraId="37AB2EDF" w14:textId="77777777" w:rsidR="00486A67" w:rsidRPr="00070C36" w:rsidRDefault="00486A67" w:rsidP="00486A67">
      <w:pPr>
        <w:pStyle w:val="Zkladntext"/>
        <w:widowControl/>
        <w:spacing w:before="120"/>
        <w:ind w:right="-710"/>
        <w:jc w:val="center"/>
        <w:rPr>
          <w:rFonts w:ascii="Times New Roman" w:hAnsi="Times New Roman"/>
          <w:b/>
          <w:color w:val="auto"/>
          <w:sz w:val="24"/>
        </w:rPr>
      </w:pPr>
    </w:p>
    <w:p w14:paraId="3D31F010" w14:textId="77777777" w:rsidR="00486A67" w:rsidRDefault="00486A67" w:rsidP="00486A67">
      <w:pPr>
        <w:pStyle w:val="Zkladntext"/>
        <w:widowControl/>
        <w:spacing w:before="120"/>
        <w:ind w:right="-710"/>
        <w:jc w:val="center"/>
        <w:rPr>
          <w:rFonts w:ascii="Times New Roman" w:hAnsi="Times New Roman"/>
          <w:b/>
          <w:color w:val="auto"/>
          <w:sz w:val="24"/>
        </w:rPr>
      </w:pPr>
    </w:p>
    <w:p w14:paraId="3FD3617E" w14:textId="77777777" w:rsidR="00BA23CD" w:rsidRDefault="00BA23CD" w:rsidP="00486A67">
      <w:pPr>
        <w:pStyle w:val="Zkladntext"/>
        <w:widowControl/>
        <w:spacing w:before="120"/>
        <w:ind w:right="-710"/>
        <w:jc w:val="center"/>
        <w:rPr>
          <w:rFonts w:ascii="Times New Roman" w:hAnsi="Times New Roman"/>
          <w:b/>
          <w:color w:val="auto"/>
          <w:sz w:val="24"/>
        </w:rPr>
      </w:pPr>
    </w:p>
    <w:p w14:paraId="2B4FE3C9" w14:textId="77777777" w:rsidR="00BA23CD" w:rsidRDefault="00BA23CD" w:rsidP="00486A67">
      <w:pPr>
        <w:pStyle w:val="Zkladntext"/>
        <w:widowControl/>
        <w:spacing w:before="120"/>
        <w:ind w:right="-710"/>
        <w:jc w:val="center"/>
        <w:rPr>
          <w:rFonts w:ascii="Times New Roman" w:hAnsi="Times New Roman"/>
          <w:b/>
          <w:color w:val="auto"/>
          <w:sz w:val="24"/>
        </w:rPr>
      </w:pPr>
    </w:p>
    <w:p w14:paraId="32E254A9" w14:textId="77777777" w:rsidR="00BA23CD" w:rsidRPr="00070C36" w:rsidRDefault="00BA23CD" w:rsidP="00486A67">
      <w:pPr>
        <w:pStyle w:val="Zkladntext"/>
        <w:widowControl/>
        <w:spacing w:before="120"/>
        <w:ind w:right="-710"/>
        <w:jc w:val="center"/>
        <w:rPr>
          <w:rFonts w:ascii="Times New Roman" w:hAnsi="Times New Roman"/>
          <w:b/>
          <w:color w:val="auto"/>
          <w:sz w:val="24"/>
        </w:rPr>
      </w:pPr>
    </w:p>
    <w:p w14:paraId="2FD6AB8A" w14:textId="77777777" w:rsidR="00486A67" w:rsidRDefault="00486A67" w:rsidP="00486A67">
      <w:pPr>
        <w:pStyle w:val="Zkladntext"/>
        <w:widowControl/>
        <w:tabs>
          <w:tab w:val="left" w:pos="2694"/>
        </w:tabs>
        <w:spacing w:before="120"/>
        <w:ind w:right="-852"/>
        <w:outlineLvl w:val="0"/>
        <w:rPr>
          <w:rFonts w:ascii="Times New Roman" w:hAnsi="Times New Roman"/>
          <w:b/>
          <w:i/>
          <w:sz w:val="24"/>
        </w:rPr>
      </w:pPr>
    </w:p>
    <w:p w14:paraId="597FA64C" w14:textId="77777777" w:rsidR="00486A67" w:rsidRDefault="00486A67" w:rsidP="00486A67">
      <w:pPr>
        <w:pStyle w:val="Zkladntext"/>
        <w:widowControl/>
        <w:tabs>
          <w:tab w:val="left" w:pos="2694"/>
        </w:tabs>
        <w:spacing w:before="120"/>
        <w:ind w:right="-852"/>
        <w:outlineLvl w:val="0"/>
        <w:rPr>
          <w:rFonts w:ascii="Times New Roman" w:hAnsi="Times New Roman"/>
          <w:b/>
          <w:i/>
          <w:sz w:val="24"/>
        </w:rPr>
      </w:pPr>
    </w:p>
    <w:sectPr w:rsidR="00486A67" w:rsidSect="00863EB0">
      <w:headerReference w:type="default" r:id="rId9"/>
      <w:footerReference w:type="default" r:id="rId10"/>
      <w:headerReference w:type="first" r:id="rId11"/>
      <w:pgSz w:w="11907" w:h="16840" w:code="9"/>
      <w:pgMar w:top="1950" w:right="1418" w:bottom="369" w:left="851" w:header="567" w:footer="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BB3E" w14:textId="77777777" w:rsidR="00563942" w:rsidRDefault="00563942" w:rsidP="00486A67">
      <w:r>
        <w:separator/>
      </w:r>
    </w:p>
  </w:endnote>
  <w:endnote w:type="continuationSeparator" w:id="0">
    <w:p w14:paraId="535B9C0A" w14:textId="77777777" w:rsidR="00563942" w:rsidRDefault="00563942" w:rsidP="004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F3F2" w14:textId="2C148747" w:rsidR="00F65B9A" w:rsidRDefault="00686E31" w:rsidP="00F65B9A">
    <w:pPr>
      <w:pStyle w:val="Zpat"/>
    </w:pPr>
    <w:r>
      <w:rPr>
        <w:b/>
      </w:rPr>
      <w:t>Dodatek č.</w:t>
    </w:r>
    <w:r w:rsidR="002F648E">
      <w:rPr>
        <w:b/>
      </w:rPr>
      <w:t>2</w:t>
    </w:r>
    <w:r>
      <w:rPr>
        <w:b/>
      </w:rPr>
      <w:t xml:space="preserve"> k </w:t>
    </w:r>
    <w:r w:rsidR="00613AC7">
      <w:rPr>
        <w:b/>
      </w:rPr>
      <w:t>21</w:t>
    </w:r>
    <w:r w:rsidR="00F65B9A" w:rsidRPr="00F65B9A">
      <w:rPr>
        <w:b/>
      </w:rPr>
      <w:t>K1MA010000000</w:t>
    </w:r>
    <w:r w:rsidR="000556FF">
      <w:rPr>
        <w:b/>
      </w:rPr>
      <w:t>1</w:t>
    </w:r>
    <w:r w:rsidR="00F65B9A" w:rsidRPr="00F65B9A">
      <w:rPr>
        <w:b/>
      </w:rPr>
      <w:t xml:space="preserve"> </w:t>
    </w:r>
    <w:r w:rsidR="00F65B9A">
      <w:rPr>
        <w:b/>
        <w:sz w:val="24"/>
        <w:szCs w:val="24"/>
      </w:rPr>
      <w:t xml:space="preserve">                                                                                </w:t>
    </w:r>
    <w:r w:rsidR="00F65B9A">
      <w:t xml:space="preserve">                                </w:t>
    </w:r>
    <w:sdt>
      <w:sdtPr>
        <w:id w:val="-809630566"/>
        <w:docPartObj>
          <w:docPartGallery w:val="Page Numbers (Bottom of Page)"/>
          <w:docPartUnique/>
        </w:docPartObj>
      </w:sdtPr>
      <w:sdtEndPr/>
      <w:sdtContent>
        <w:r w:rsidR="00F65B9A">
          <w:fldChar w:fldCharType="begin"/>
        </w:r>
        <w:r w:rsidR="00F65B9A">
          <w:instrText>PAGE   \* MERGEFORMAT</w:instrText>
        </w:r>
        <w:r w:rsidR="00F65B9A">
          <w:fldChar w:fldCharType="separate"/>
        </w:r>
        <w:r w:rsidR="00765D35">
          <w:rPr>
            <w:noProof/>
          </w:rPr>
          <w:t>1</w:t>
        </w:r>
        <w:r w:rsidR="00F65B9A">
          <w:fldChar w:fldCharType="end"/>
        </w:r>
      </w:sdtContent>
    </w:sdt>
  </w:p>
  <w:p w14:paraId="46DD8426" w14:textId="77777777" w:rsidR="00863EB0" w:rsidRDefault="00863E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13AA" w14:textId="77777777" w:rsidR="00563942" w:rsidRDefault="00563942" w:rsidP="00486A67">
      <w:r>
        <w:separator/>
      </w:r>
    </w:p>
  </w:footnote>
  <w:footnote w:type="continuationSeparator" w:id="0">
    <w:p w14:paraId="6170455B" w14:textId="77777777" w:rsidR="00563942" w:rsidRDefault="00563942" w:rsidP="004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7E9D" w14:textId="77777777" w:rsidR="00C21FEE" w:rsidRDefault="009821BD">
    <w:pPr>
      <w:pStyle w:val="Zhlav"/>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3260"/>
      <w:gridCol w:w="1276"/>
      <w:gridCol w:w="1984"/>
      <w:gridCol w:w="851"/>
      <w:gridCol w:w="1134"/>
    </w:tblGrid>
    <w:tr w:rsidR="00C21FEE" w14:paraId="16D4DAD5" w14:textId="77777777">
      <w:trPr>
        <w:cantSplit/>
        <w:trHeight w:val="556"/>
      </w:trPr>
      <w:tc>
        <w:tcPr>
          <w:tcW w:w="1702" w:type="dxa"/>
          <w:tcBorders>
            <w:top w:val="nil"/>
            <w:left w:val="nil"/>
          </w:tcBorders>
        </w:tcPr>
        <w:p w14:paraId="5B4F3556" w14:textId="77777777" w:rsidR="00C21FEE" w:rsidRDefault="00486A67">
          <w:pPr>
            <w:pStyle w:val="Zhlav"/>
            <w:rPr>
              <w:b/>
              <w:sz w:val="40"/>
            </w:rPr>
          </w:pPr>
          <w:r>
            <w:rPr>
              <w:b/>
              <w:noProof/>
              <w:sz w:val="40"/>
            </w:rPr>
            <w:drawing>
              <wp:anchor distT="0" distB="0" distL="114300" distR="114300" simplePos="0" relativeHeight="251658752" behindDoc="0" locked="0" layoutInCell="0" allowOverlap="1" wp14:anchorId="15C75019" wp14:editId="1A5897D7">
                <wp:simplePos x="0" y="0"/>
                <wp:positionH relativeFrom="column">
                  <wp:posOffset>-83185</wp:posOffset>
                </wp:positionH>
                <wp:positionV relativeFrom="paragraph">
                  <wp:posOffset>5715</wp:posOffset>
                </wp:positionV>
                <wp:extent cx="1040130" cy="340360"/>
                <wp:effectExtent l="0" t="0" r="762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036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gridSpan w:val="2"/>
          <w:tcBorders>
            <w:top w:val="nil"/>
            <w:left w:val="nil"/>
          </w:tcBorders>
          <w:vAlign w:val="center"/>
        </w:tcPr>
        <w:p w14:paraId="08BE141D" w14:textId="77777777" w:rsidR="00C21FEE" w:rsidRDefault="009821BD">
          <w:pPr>
            <w:pStyle w:val="Zhlav"/>
            <w:rPr>
              <w:b/>
              <w:caps/>
              <w:sz w:val="36"/>
            </w:rPr>
          </w:pPr>
          <w:r>
            <w:rPr>
              <w:i/>
            </w:rPr>
            <w:t xml:space="preserve">Druh dokumentu       </w:t>
          </w:r>
          <w:r>
            <w:rPr>
              <w:b/>
              <w:caps/>
              <w:sz w:val="36"/>
            </w:rPr>
            <w:t>instrukce</w:t>
          </w:r>
        </w:p>
      </w:tc>
      <w:tc>
        <w:tcPr>
          <w:tcW w:w="1984" w:type="dxa"/>
          <w:tcBorders>
            <w:top w:val="nil"/>
          </w:tcBorders>
        </w:tcPr>
        <w:p w14:paraId="7F165747" w14:textId="77777777" w:rsidR="00C21FEE" w:rsidRDefault="009821BD">
          <w:pPr>
            <w:pStyle w:val="Zhlav"/>
            <w:rPr>
              <w:i/>
            </w:rPr>
          </w:pPr>
          <w:r>
            <w:rPr>
              <w:i/>
            </w:rPr>
            <w:t>Datum</w:t>
          </w:r>
        </w:p>
        <w:p w14:paraId="171F2838" w14:textId="1D3E08B7" w:rsidR="00C21FEE" w:rsidRDefault="009821BD">
          <w:pPr>
            <w:pStyle w:val="Zhlav"/>
            <w:jc w:val="center"/>
          </w:pPr>
          <w:r>
            <w:fldChar w:fldCharType="begin"/>
          </w:r>
          <w:r>
            <w:instrText xml:space="preserve"> DATE \@ "dd.MM.rr" </w:instrText>
          </w:r>
          <w:r>
            <w:fldChar w:fldCharType="separate"/>
          </w:r>
          <w:r w:rsidR="00417DCE">
            <w:rPr>
              <w:noProof/>
            </w:rPr>
            <w:t>12.01.</w:t>
          </w:r>
          <w:r w:rsidR="00417DCE">
            <w:rPr>
              <w:rFonts w:ascii="MS Mincho" w:eastAsia="MS Mincho" w:hAnsi="MS Mincho" w:cs="MS Mincho" w:hint="eastAsia"/>
              <w:noProof/>
            </w:rPr>
            <w:t>下午一</w:t>
          </w:r>
          <w:r>
            <w:fldChar w:fldCharType="end"/>
          </w:r>
        </w:p>
      </w:tc>
      <w:tc>
        <w:tcPr>
          <w:tcW w:w="1985" w:type="dxa"/>
          <w:gridSpan w:val="2"/>
          <w:tcBorders>
            <w:top w:val="nil"/>
            <w:right w:val="nil"/>
          </w:tcBorders>
        </w:tcPr>
        <w:p w14:paraId="2156B5B3" w14:textId="77777777" w:rsidR="00C21FEE" w:rsidRDefault="009821BD">
          <w:pPr>
            <w:pStyle w:val="Zhlav"/>
            <w:rPr>
              <w:i/>
            </w:rPr>
          </w:pPr>
          <w:r>
            <w:rPr>
              <w:i/>
            </w:rPr>
            <w:t>Dokument</w:t>
          </w:r>
        </w:p>
        <w:p w14:paraId="16856733" w14:textId="77777777" w:rsidR="00C21FEE" w:rsidRDefault="009821BD">
          <w:pPr>
            <w:pStyle w:val="Zhlav"/>
            <w:jc w:val="center"/>
            <w:rPr>
              <w:b/>
              <w:caps/>
              <w:sz w:val="24"/>
            </w:rPr>
          </w:pPr>
          <w:r>
            <w:rPr>
              <w:b/>
              <w:caps/>
              <w:sz w:val="24"/>
            </w:rPr>
            <w:t>přj 4.3.2 / 2</w:t>
          </w:r>
        </w:p>
      </w:tc>
    </w:tr>
    <w:tr w:rsidR="00C21FEE" w14:paraId="3ACD6E2F" w14:textId="77777777">
      <w:trPr>
        <w:trHeight w:val="603"/>
      </w:trPr>
      <w:tc>
        <w:tcPr>
          <w:tcW w:w="4962" w:type="dxa"/>
          <w:gridSpan w:val="2"/>
          <w:tcBorders>
            <w:left w:val="nil"/>
          </w:tcBorders>
        </w:tcPr>
        <w:p w14:paraId="7EDBE5E8" w14:textId="77777777" w:rsidR="00C21FEE" w:rsidRDefault="009821BD">
          <w:pPr>
            <w:pStyle w:val="Zhlav"/>
            <w:rPr>
              <w:i/>
            </w:rPr>
          </w:pPr>
          <w:r>
            <w:rPr>
              <w:i/>
            </w:rPr>
            <w:t xml:space="preserve">Prvek ČSN EN ISO 9002 </w:t>
          </w:r>
        </w:p>
        <w:p w14:paraId="550FEEE4" w14:textId="77777777" w:rsidR="00C21FEE" w:rsidRDefault="009821BD">
          <w:pPr>
            <w:pStyle w:val="Zhlav"/>
            <w:rPr>
              <w:sz w:val="24"/>
            </w:rPr>
          </w:pPr>
          <w:r>
            <w:rPr>
              <w:b/>
              <w:caps/>
              <w:sz w:val="24"/>
            </w:rPr>
            <w:t xml:space="preserve">      </w:t>
          </w:r>
          <w:r>
            <w:rPr>
              <w:sz w:val="24"/>
            </w:rPr>
            <w:t xml:space="preserve">4.3   </w:t>
          </w:r>
          <w:r>
            <w:rPr>
              <w:caps/>
              <w:sz w:val="24"/>
            </w:rPr>
            <w:t>přezkoumání smlouvy</w:t>
          </w:r>
        </w:p>
      </w:tc>
      <w:tc>
        <w:tcPr>
          <w:tcW w:w="1276" w:type="dxa"/>
          <w:tcBorders>
            <w:left w:val="nil"/>
          </w:tcBorders>
        </w:tcPr>
        <w:p w14:paraId="5F4C732C" w14:textId="77777777" w:rsidR="00C21FEE" w:rsidRDefault="009821BD">
          <w:pPr>
            <w:pStyle w:val="Zhlav"/>
            <w:rPr>
              <w:i/>
            </w:rPr>
          </w:pPr>
          <w:r>
            <w:rPr>
              <w:i/>
            </w:rPr>
            <w:t>Číslo výtisku</w:t>
          </w:r>
        </w:p>
        <w:p w14:paraId="12EB50BB" w14:textId="77777777" w:rsidR="00C21FEE" w:rsidRDefault="00417DCE">
          <w:pPr>
            <w:pStyle w:val="Zhlav"/>
            <w:jc w:val="center"/>
            <w:rPr>
              <w:b/>
              <w:caps/>
              <w:sz w:val="24"/>
            </w:rPr>
          </w:pPr>
        </w:p>
      </w:tc>
      <w:tc>
        <w:tcPr>
          <w:tcW w:w="1984" w:type="dxa"/>
        </w:tcPr>
        <w:p w14:paraId="6884BF11" w14:textId="77777777" w:rsidR="00C21FEE" w:rsidRDefault="009821BD">
          <w:pPr>
            <w:pStyle w:val="Zhlav"/>
            <w:rPr>
              <w:i/>
            </w:rPr>
          </w:pPr>
          <w:r>
            <w:rPr>
              <w:i/>
            </w:rPr>
            <w:t>Datum předešlé verze</w:t>
          </w:r>
        </w:p>
        <w:p w14:paraId="47A2E4AA" w14:textId="77777777" w:rsidR="00C21FEE" w:rsidRDefault="009821BD">
          <w:pPr>
            <w:pStyle w:val="Zhlav"/>
            <w:jc w:val="center"/>
          </w:pPr>
          <w:r>
            <w:t>07.02.98</w:t>
          </w:r>
        </w:p>
      </w:tc>
      <w:tc>
        <w:tcPr>
          <w:tcW w:w="851" w:type="dxa"/>
          <w:tcBorders>
            <w:right w:val="single" w:sz="4" w:space="0" w:color="auto"/>
          </w:tcBorders>
        </w:tcPr>
        <w:p w14:paraId="4F2B2067" w14:textId="77777777" w:rsidR="00C21FEE" w:rsidRDefault="009821BD">
          <w:pPr>
            <w:pStyle w:val="Zhlav"/>
            <w:rPr>
              <w:i/>
            </w:rPr>
          </w:pPr>
          <w:r>
            <w:rPr>
              <w:i/>
            </w:rPr>
            <w:t>Verze</w:t>
          </w:r>
        </w:p>
        <w:p w14:paraId="4486F6AB" w14:textId="77777777" w:rsidR="00C21FEE" w:rsidRDefault="009821BD">
          <w:pPr>
            <w:pStyle w:val="Zhlav"/>
            <w:jc w:val="center"/>
          </w:pPr>
          <w:r>
            <w:t>1</w:t>
          </w:r>
        </w:p>
      </w:tc>
      <w:tc>
        <w:tcPr>
          <w:tcW w:w="1134" w:type="dxa"/>
          <w:tcBorders>
            <w:left w:val="nil"/>
            <w:right w:val="nil"/>
          </w:tcBorders>
        </w:tcPr>
        <w:p w14:paraId="08B1E381" w14:textId="77777777" w:rsidR="00C21FEE" w:rsidRDefault="009821BD">
          <w:pPr>
            <w:pStyle w:val="Zhlav"/>
            <w:rPr>
              <w:i/>
              <w:snapToGrid w:val="0"/>
            </w:rPr>
          </w:pPr>
          <w:r>
            <w:rPr>
              <w:i/>
              <w:snapToGrid w:val="0"/>
            </w:rPr>
            <w:t xml:space="preserve">Strana / ze </w:t>
          </w:r>
        </w:p>
        <w:p w14:paraId="2B717620" w14:textId="77777777" w:rsidR="00C21FEE" w:rsidRDefault="009821BD">
          <w:pPr>
            <w:pStyle w:val="Zhlav"/>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w:t>
          </w:r>
          <w:r>
            <w:rPr>
              <w:snapToGrid w:val="0"/>
            </w:rPr>
            <w:t>/ 7</w:t>
          </w:r>
        </w:p>
      </w:tc>
    </w:tr>
    <w:tr w:rsidR="00C21FEE" w14:paraId="241AB061" w14:textId="77777777">
      <w:trPr>
        <w:trHeight w:val="649"/>
      </w:trPr>
      <w:tc>
        <w:tcPr>
          <w:tcW w:w="6238" w:type="dxa"/>
          <w:gridSpan w:val="3"/>
          <w:tcBorders>
            <w:left w:val="nil"/>
            <w:bottom w:val="double" w:sz="4" w:space="0" w:color="auto"/>
          </w:tcBorders>
        </w:tcPr>
        <w:p w14:paraId="7608E2A1" w14:textId="77777777" w:rsidR="00C21FEE" w:rsidRDefault="009821BD">
          <w:pPr>
            <w:pStyle w:val="Zhlav"/>
            <w:rPr>
              <w:b/>
              <w:caps/>
              <w:sz w:val="24"/>
            </w:rPr>
          </w:pPr>
          <w:r>
            <w:rPr>
              <w:i/>
            </w:rPr>
            <w:t xml:space="preserve">Název               </w:t>
          </w:r>
          <w:r>
            <w:rPr>
              <w:b/>
              <w:caps/>
              <w:sz w:val="24"/>
            </w:rPr>
            <w:t xml:space="preserve">vzor smlouvy na prodej </w:t>
          </w:r>
        </w:p>
        <w:p w14:paraId="4DEB275C" w14:textId="77777777" w:rsidR="00C21FEE" w:rsidRDefault="009821BD">
          <w:pPr>
            <w:pStyle w:val="Zhlav"/>
            <w:rPr>
              <w:b/>
              <w:caps/>
              <w:sz w:val="24"/>
            </w:rPr>
          </w:pPr>
          <w:r>
            <w:rPr>
              <w:b/>
              <w:caps/>
              <w:sz w:val="24"/>
            </w:rPr>
            <w:t xml:space="preserve">                      síranu </w:t>
          </w:r>
          <w:proofErr w:type="gramStart"/>
          <w:r>
            <w:rPr>
              <w:b/>
              <w:caps/>
              <w:sz w:val="24"/>
            </w:rPr>
            <w:t>železitého -ddu</w:t>
          </w:r>
          <w:proofErr w:type="gramEnd"/>
          <w:r>
            <w:rPr>
              <w:b/>
              <w:caps/>
              <w:sz w:val="24"/>
            </w:rPr>
            <w:t xml:space="preserve">                                                      </w:t>
          </w:r>
        </w:p>
      </w:tc>
      <w:tc>
        <w:tcPr>
          <w:tcW w:w="1984" w:type="dxa"/>
          <w:tcBorders>
            <w:bottom w:val="double" w:sz="4" w:space="0" w:color="auto"/>
          </w:tcBorders>
        </w:tcPr>
        <w:p w14:paraId="5151CB6A" w14:textId="77777777" w:rsidR="00C21FEE" w:rsidRDefault="009821BD">
          <w:pPr>
            <w:pStyle w:val="Zhlav"/>
            <w:rPr>
              <w:i/>
            </w:rPr>
          </w:pPr>
          <w:r>
            <w:rPr>
              <w:i/>
            </w:rPr>
            <w:t>Vydal</w:t>
          </w:r>
        </w:p>
        <w:p w14:paraId="49F576ED" w14:textId="77777777" w:rsidR="00C21FEE" w:rsidRDefault="009821BD">
          <w:pPr>
            <w:pStyle w:val="Zhlav"/>
            <w:rPr>
              <w:b/>
              <w:caps/>
              <w:sz w:val="24"/>
            </w:rPr>
          </w:pPr>
          <w:r>
            <w:rPr>
              <w:b/>
              <w:caps/>
              <w:sz w:val="24"/>
            </w:rPr>
            <w:t xml:space="preserve">  sk</w:t>
          </w:r>
        </w:p>
      </w:tc>
      <w:tc>
        <w:tcPr>
          <w:tcW w:w="1985" w:type="dxa"/>
          <w:gridSpan w:val="2"/>
          <w:tcBorders>
            <w:bottom w:val="double" w:sz="4" w:space="0" w:color="auto"/>
            <w:right w:val="nil"/>
          </w:tcBorders>
        </w:tcPr>
        <w:p w14:paraId="68E03EA2" w14:textId="77777777" w:rsidR="00C21FEE" w:rsidRDefault="009821BD">
          <w:pPr>
            <w:pStyle w:val="Zhlav"/>
            <w:rPr>
              <w:i/>
            </w:rPr>
          </w:pPr>
          <w:r>
            <w:rPr>
              <w:i/>
            </w:rPr>
            <w:t>Schválil</w:t>
          </w:r>
        </w:p>
        <w:p w14:paraId="7DCFB333" w14:textId="77777777" w:rsidR="00C21FEE" w:rsidRDefault="009821BD">
          <w:pPr>
            <w:pStyle w:val="Zhlav"/>
            <w:rPr>
              <w:b/>
              <w:caps/>
              <w:sz w:val="24"/>
            </w:rPr>
          </w:pPr>
          <w:r>
            <w:rPr>
              <w:b/>
              <w:caps/>
              <w:sz w:val="24"/>
            </w:rPr>
            <w:t xml:space="preserve">  mn</w:t>
          </w:r>
        </w:p>
      </w:tc>
    </w:tr>
  </w:tbl>
  <w:p w14:paraId="2EED2EAA" w14:textId="77777777" w:rsidR="00C21FEE" w:rsidRDefault="00417D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67"/>
    <w:rsid w:val="00023491"/>
    <w:rsid w:val="00024936"/>
    <w:rsid w:val="0003082C"/>
    <w:rsid w:val="000556FF"/>
    <w:rsid w:val="00063E45"/>
    <w:rsid w:val="0008163A"/>
    <w:rsid w:val="000D1C0A"/>
    <w:rsid w:val="000D6C8C"/>
    <w:rsid w:val="000F4AC7"/>
    <w:rsid w:val="00152DAD"/>
    <w:rsid w:val="0015724B"/>
    <w:rsid w:val="002437DB"/>
    <w:rsid w:val="00257843"/>
    <w:rsid w:val="002F648E"/>
    <w:rsid w:val="00332209"/>
    <w:rsid w:val="00415DD9"/>
    <w:rsid w:val="00417DCE"/>
    <w:rsid w:val="0046453C"/>
    <w:rsid w:val="004748F7"/>
    <w:rsid w:val="00483CFC"/>
    <w:rsid w:val="00486A67"/>
    <w:rsid w:val="00493345"/>
    <w:rsid w:val="004C1169"/>
    <w:rsid w:val="004C17CB"/>
    <w:rsid w:val="004F401D"/>
    <w:rsid w:val="004F62FA"/>
    <w:rsid w:val="00534BDF"/>
    <w:rsid w:val="0056385D"/>
    <w:rsid w:val="00563942"/>
    <w:rsid w:val="00576ECC"/>
    <w:rsid w:val="006016D4"/>
    <w:rsid w:val="00613AC7"/>
    <w:rsid w:val="00617CEF"/>
    <w:rsid w:val="00630069"/>
    <w:rsid w:val="006419D4"/>
    <w:rsid w:val="00683CEE"/>
    <w:rsid w:val="00686E31"/>
    <w:rsid w:val="006C7864"/>
    <w:rsid w:val="006D57BD"/>
    <w:rsid w:val="007078BF"/>
    <w:rsid w:val="00710AA1"/>
    <w:rsid w:val="007553F2"/>
    <w:rsid w:val="00765D35"/>
    <w:rsid w:val="0077211A"/>
    <w:rsid w:val="007A7276"/>
    <w:rsid w:val="007B3628"/>
    <w:rsid w:val="007C7EDC"/>
    <w:rsid w:val="00863EB0"/>
    <w:rsid w:val="00884535"/>
    <w:rsid w:val="008C3AA6"/>
    <w:rsid w:val="008D43A2"/>
    <w:rsid w:val="00917A80"/>
    <w:rsid w:val="0093423C"/>
    <w:rsid w:val="00944C2D"/>
    <w:rsid w:val="0097294E"/>
    <w:rsid w:val="009821BD"/>
    <w:rsid w:val="00995DCD"/>
    <w:rsid w:val="00A47D13"/>
    <w:rsid w:val="00B624C7"/>
    <w:rsid w:val="00BA23CD"/>
    <w:rsid w:val="00BF7A81"/>
    <w:rsid w:val="00C17AE9"/>
    <w:rsid w:val="00C323D7"/>
    <w:rsid w:val="00CF44C8"/>
    <w:rsid w:val="00D13818"/>
    <w:rsid w:val="00D53280"/>
    <w:rsid w:val="00D6466C"/>
    <w:rsid w:val="00D95D37"/>
    <w:rsid w:val="00DF19E7"/>
    <w:rsid w:val="00E16B36"/>
    <w:rsid w:val="00E82F46"/>
    <w:rsid w:val="00F258B0"/>
    <w:rsid w:val="00F4039E"/>
    <w:rsid w:val="00F61529"/>
    <w:rsid w:val="00F640A6"/>
    <w:rsid w:val="00F65B9A"/>
    <w:rsid w:val="00F9527F"/>
    <w:rsid w:val="00FA3E6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073DE"/>
  <w15:docId w15:val="{640A1F5F-4243-40F3-9DAB-C53585B9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6A67"/>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BA23CD"/>
    <w:pPr>
      <w:keepNext/>
      <w:ind w:left="-567" w:right="-853"/>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86A67"/>
    <w:pPr>
      <w:tabs>
        <w:tab w:val="center" w:pos="4536"/>
        <w:tab w:val="right" w:pos="9072"/>
      </w:tabs>
    </w:pPr>
  </w:style>
  <w:style w:type="character" w:customStyle="1" w:styleId="ZhlavChar">
    <w:name w:val="Záhlaví Char"/>
    <w:basedOn w:val="Standardnpsmoodstavce"/>
    <w:link w:val="Zhlav"/>
    <w:rsid w:val="00486A6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486A67"/>
    <w:pPr>
      <w:tabs>
        <w:tab w:val="center" w:pos="4536"/>
        <w:tab w:val="right" w:pos="9072"/>
      </w:tabs>
    </w:pPr>
  </w:style>
  <w:style w:type="character" w:customStyle="1" w:styleId="ZpatChar">
    <w:name w:val="Zápatí Char"/>
    <w:basedOn w:val="Standardnpsmoodstavce"/>
    <w:link w:val="Zpat"/>
    <w:uiPriority w:val="99"/>
    <w:rsid w:val="00486A67"/>
    <w:rPr>
      <w:rFonts w:ascii="Times New Roman" w:eastAsia="Times New Roman" w:hAnsi="Times New Roman" w:cs="Times New Roman"/>
      <w:sz w:val="20"/>
      <w:szCs w:val="20"/>
      <w:lang w:eastAsia="cs-CZ"/>
    </w:rPr>
  </w:style>
  <w:style w:type="character" w:styleId="slostrnky">
    <w:name w:val="page number"/>
    <w:basedOn w:val="Standardnpsmoodstavce"/>
    <w:rsid w:val="00486A67"/>
  </w:style>
  <w:style w:type="paragraph" w:styleId="Zkladntext">
    <w:name w:val="Body Text"/>
    <w:basedOn w:val="Normln"/>
    <w:link w:val="ZkladntextChar"/>
    <w:rsid w:val="00486A67"/>
    <w:pPr>
      <w:widowControl w:val="0"/>
    </w:pPr>
    <w:rPr>
      <w:rFonts w:ascii="Arial" w:hAnsi="Arial"/>
      <w:snapToGrid w:val="0"/>
      <w:color w:val="000000"/>
    </w:rPr>
  </w:style>
  <w:style w:type="character" w:customStyle="1" w:styleId="ZkladntextChar">
    <w:name w:val="Základní text Char"/>
    <w:basedOn w:val="Standardnpsmoodstavce"/>
    <w:link w:val="Zkladntext"/>
    <w:rsid w:val="00486A67"/>
    <w:rPr>
      <w:rFonts w:ascii="Arial" w:eastAsia="Times New Roman" w:hAnsi="Arial" w:cs="Times New Roman"/>
      <w:snapToGrid w:val="0"/>
      <w:color w:val="000000"/>
      <w:sz w:val="20"/>
      <w:szCs w:val="20"/>
      <w:lang w:eastAsia="cs-CZ"/>
    </w:rPr>
  </w:style>
  <w:style w:type="paragraph" w:customStyle="1" w:styleId="Nadpis">
    <w:name w:val="Nadpis"/>
    <w:rsid w:val="00486A67"/>
    <w:pPr>
      <w:widowControl w:val="0"/>
      <w:spacing w:after="0" w:line="240" w:lineRule="auto"/>
      <w:jc w:val="center"/>
    </w:pPr>
    <w:rPr>
      <w:rFonts w:ascii="Arial" w:eastAsia="Times New Roman" w:hAnsi="Arial" w:cs="Times New Roman"/>
      <w:b/>
      <w:snapToGrid w:val="0"/>
      <w:color w:val="000000"/>
      <w:sz w:val="36"/>
      <w:szCs w:val="20"/>
      <w:lang w:eastAsia="cs-CZ"/>
    </w:rPr>
  </w:style>
  <w:style w:type="character" w:customStyle="1" w:styleId="platne1">
    <w:name w:val="platne1"/>
    <w:basedOn w:val="Standardnpsmoodstavce"/>
    <w:rsid w:val="00486A67"/>
  </w:style>
  <w:style w:type="character" w:styleId="Hypertextovodkaz">
    <w:name w:val="Hyperlink"/>
    <w:basedOn w:val="Standardnpsmoodstavce"/>
    <w:uiPriority w:val="99"/>
    <w:unhideWhenUsed/>
    <w:rsid w:val="008C3AA6"/>
    <w:rPr>
      <w:color w:val="0000FF" w:themeColor="hyperlink"/>
      <w:u w:val="single"/>
    </w:rPr>
  </w:style>
  <w:style w:type="paragraph" w:styleId="Textbubliny">
    <w:name w:val="Balloon Text"/>
    <w:basedOn w:val="Normln"/>
    <w:link w:val="TextbublinyChar"/>
    <w:uiPriority w:val="99"/>
    <w:semiHidden/>
    <w:unhideWhenUsed/>
    <w:rsid w:val="00863EB0"/>
    <w:rPr>
      <w:rFonts w:ascii="Tahoma" w:hAnsi="Tahoma" w:cs="Tahoma"/>
      <w:sz w:val="16"/>
      <w:szCs w:val="16"/>
    </w:rPr>
  </w:style>
  <w:style w:type="character" w:customStyle="1" w:styleId="TextbublinyChar">
    <w:name w:val="Text bubliny Char"/>
    <w:basedOn w:val="Standardnpsmoodstavce"/>
    <w:link w:val="Textbubliny"/>
    <w:uiPriority w:val="99"/>
    <w:semiHidden/>
    <w:rsid w:val="00863EB0"/>
    <w:rPr>
      <w:rFonts w:ascii="Tahoma" w:eastAsia="Times New Roman" w:hAnsi="Tahoma" w:cs="Tahoma"/>
      <w:sz w:val="16"/>
      <w:szCs w:val="16"/>
      <w:lang w:eastAsia="cs-CZ"/>
    </w:rPr>
  </w:style>
  <w:style w:type="paragraph" w:customStyle="1" w:styleId="Normln1">
    <w:name w:val="Normální1"/>
    <w:basedOn w:val="Normln"/>
    <w:rsid w:val="00D53280"/>
    <w:pPr>
      <w:widowControl w:val="0"/>
    </w:pPr>
  </w:style>
  <w:style w:type="paragraph" w:customStyle="1" w:styleId="Default">
    <w:name w:val="Default"/>
    <w:rsid w:val="00493345"/>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F4039E"/>
    <w:rPr>
      <w:color w:val="605E5C"/>
      <w:shd w:val="clear" w:color="auto" w:fill="E1DFDD"/>
    </w:rPr>
  </w:style>
  <w:style w:type="character" w:customStyle="1" w:styleId="Nadpis2Char">
    <w:name w:val="Nadpis 2 Char"/>
    <w:basedOn w:val="Standardnpsmoodstavce"/>
    <w:link w:val="Nadpis2"/>
    <w:rsid w:val="00BA23C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BA23CD"/>
    <w:pPr>
      <w:spacing w:after="120"/>
      <w:ind w:left="283"/>
    </w:pPr>
  </w:style>
  <w:style w:type="character" w:customStyle="1" w:styleId="ZkladntextodsazenChar">
    <w:name w:val="Základní text odsazený Char"/>
    <w:basedOn w:val="Standardnpsmoodstavce"/>
    <w:link w:val="Zkladntextodsazen"/>
    <w:semiHidden/>
    <w:rsid w:val="00BA23CD"/>
    <w:rPr>
      <w:rFonts w:ascii="Times New Roman" w:eastAsia="Times New Roman" w:hAnsi="Times New Roman" w:cs="Times New Roman"/>
      <w:sz w:val="20"/>
      <w:szCs w:val="20"/>
      <w:lang w:eastAsia="cs-CZ"/>
    </w:rPr>
  </w:style>
  <w:style w:type="paragraph" w:styleId="Revize">
    <w:name w:val="Revision"/>
    <w:hidden/>
    <w:uiPriority w:val="99"/>
    <w:semiHidden/>
    <w:rsid w:val="00063E45"/>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2A615529933344B7B45D22D50BB2D4" ma:contentTypeVersion="2" ma:contentTypeDescription="Vytvoří nový dokument" ma:contentTypeScope="" ma:versionID="602be9effb3db93429d861be892ac1e2">
  <xsd:schema xmlns:xsd="http://www.w3.org/2001/XMLSchema" xmlns:xs="http://www.w3.org/2001/XMLSchema" xmlns:p="http://schemas.microsoft.com/office/2006/metadata/properties" xmlns:ns2="cf334cc7-b6a8-495a-a8f2-316212d9e01c" targetNamespace="http://schemas.microsoft.com/office/2006/metadata/properties" ma:root="true" ma:fieldsID="82dfbe37f0a168e650bc1b47ec0eef84" ns2:_="">
    <xsd:import namespace="cf334cc7-b6a8-495a-a8f2-316212d9e0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34cc7-b6a8-495a-a8f2-316212d9e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B8779-4B02-49EC-9ACC-718E49BD3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34cc7-b6a8-495a-a8f2-316212d9e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FB9B7-90A2-44FA-8D60-4DB8E7E903FA}">
  <ds:schemaRefs>
    <ds:schemaRef ds:uri="http://schemas.microsoft.com/sharepoint/v3/contenttype/forms"/>
  </ds:schemaRefs>
</ds:datastoreItem>
</file>

<file path=customXml/itemProps3.xml><?xml version="1.0" encoding="utf-8"?>
<ds:datastoreItem xmlns:ds="http://schemas.openxmlformats.org/officeDocument/2006/customXml" ds:itemID="{F1E875D4-AFE3-4C19-8207-A236DB118B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3225</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Kemira</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Novotný Martin</dc:creator>
  <cp:lastModifiedBy>Helclová Barbara</cp:lastModifiedBy>
  <cp:revision>2</cp:revision>
  <cp:lastPrinted>2016-11-20T15:14:00Z</cp:lastPrinted>
  <dcterms:created xsi:type="dcterms:W3CDTF">2023-01-12T12:43:00Z</dcterms:created>
  <dcterms:modified xsi:type="dcterms:W3CDTF">2023-01-12T12:43:00Z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0x010100102A615529933344B7B45D22D50BB2D4</vt:lpwstr>
  </property>
</Properties>
</file>