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1122" w14:textId="77777777" w:rsidR="00C3053B" w:rsidRDefault="00000000">
      <w:pPr>
        <w:pStyle w:val="Nadpis3"/>
        <w:spacing w:after="227" w:line="276" w:lineRule="auto"/>
        <w:ind w:firstLine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DODATEK č. 1 </w:t>
      </w:r>
    </w:p>
    <w:p w14:paraId="7C7621E2" w14:textId="77777777" w:rsidR="00C3053B" w:rsidRDefault="00000000">
      <w:pPr>
        <w:pStyle w:val="Nadpis3"/>
        <w:spacing w:line="276" w:lineRule="auto"/>
        <w:ind w:firstLine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ke </w:t>
      </w:r>
    </w:p>
    <w:p w14:paraId="5AFEE7D1" w14:textId="77777777" w:rsidR="00C3053B" w:rsidRDefault="00000000">
      <w:pPr>
        <w:pStyle w:val="Nadpis3"/>
        <w:spacing w:line="276" w:lineRule="auto"/>
        <w:ind w:firstLine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SMLOUVĚ O </w:t>
      </w:r>
      <w:r>
        <w:rPr>
          <w:rFonts w:ascii="Arial" w:hAnsi="Arial" w:cs="Arial"/>
          <w:b/>
          <w:caps/>
          <w:sz w:val="26"/>
          <w:szCs w:val="26"/>
        </w:rPr>
        <w:t>poskytování expertních služeb v INFORMATICE</w:t>
      </w:r>
    </w:p>
    <w:p w14:paraId="00101B90" w14:textId="77777777" w:rsidR="00C3053B" w:rsidRDefault="00C3053B">
      <w:pPr>
        <w:spacing w:line="276" w:lineRule="auto"/>
        <w:ind w:left="360"/>
        <w:jc w:val="center"/>
        <w:rPr>
          <w:rFonts w:ascii="Arial" w:hAnsi="Arial"/>
          <w:sz w:val="26"/>
          <w:szCs w:val="26"/>
        </w:rPr>
      </w:pPr>
    </w:p>
    <w:p w14:paraId="04FE269A" w14:textId="77777777" w:rsidR="00C3053B" w:rsidRDefault="000000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v souladu s § 1746 odst. 2 zák. č. 89/2012 Sb., občanský zákoník, ve znění pozdějších předpisů (dále jen „občanský zákoník“), s přihlédnutím k § 2586 a násl. občanského zákoníku </w:t>
      </w:r>
    </w:p>
    <w:p w14:paraId="251B99C5" w14:textId="77777777" w:rsidR="00C3053B" w:rsidRDefault="00000000">
      <w:pPr>
        <w:spacing w:line="276" w:lineRule="auto"/>
        <w:jc w:val="center"/>
        <w:rPr>
          <w:rFonts w:ascii="Tahoma" w:hAnsi="Tahoma" w:cs="Tahoma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č. smlouvy Objednatele: </w:t>
      </w:r>
    </w:p>
    <w:p w14:paraId="2EE6E810" w14:textId="77777777" w:rsidR="00C3053B" w:rsidRDefault="00000000">
      <w:pPr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č. smlouvy Poskytovatele: 2021/35/51-UACH</w:t>
      </w:r>
    </w:p>
    <w:p w14:paraId="6B6178BD" w14:textId="77777777" w:rsidR="00C3053B" w:rsidRDefault="00C3053B">
      <w:pPr>
        <w:spacing w:line="276" w:lineRule="auto"/>
        <w:rPr>
          <w:rFonts w:ascii="Arial" w:hAnsi="Arial" w:cs="Arial"/>
          <w:sz w:val="22"/>
          <w:szCs w:val="22"/>
        </w:rPr>
      </w:pPr>
    </w:p>
    <w:p w14:paraId="1561DD14" w14:textId="77777777" w:rsidR="00C3053B" w:rsidRDefault="00C3053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66B09D3" w14:textId="77777777" w:rsidR="00C3053B" w:rsidRDefault="00000000">
      <w:pPr>
        <w:spacing w:line="276" w:lineRule="auto"/>
      </w:pPr>
      <w:r>
        <w:rPr>
          <w:rFonts w:ascii="Arial" w:hAnsi="Arial" w:cs="Arial"/>
          <w:bCs/>
          <w:sz w:val="22"/>
          <w:szCs w:val="22"/>
        </w:rPr>
        <w:t>Smluvní strany:</w:t>
      </w:r>
    </w:p>
    <w:p w14:paraId="3364E162" w14:textId="77777777" w:rsidR="00C3053B" w:rsidRDefault="00C3053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0273E80" w14:textId="77777777" w:rsidR="00C3053B" w:rsidRDefault="00C3053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C957C6F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Tahoma" w:hAnsi="Tahoma" w:cs="Tahoma"/>
          <w:b/>
          <w:bCs/>
          <w:sz w:val="22"/>
          <w:szCs w:val="22"/>
        </w:rPr>
        <w:t>Ústav anorganické chemie AV ČR, v. v. i.</w:t>
      </w:r>
    </w:p>
    <w:p w14:paraId="4DD37030" w14:textId="77777777" w:rsidR="00C3053B" w:rsidRDefault="00000000">
      <w:pPr>
        <w:spacing w:line="276" w:lineRule="auto"/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Husinec – Řež č.p. 1001, 250 68 Řež</w:t>
      </w:r>
    </w:p>
    <w:p w14:paraId="4383AE50" w14:textId="77777777" w:rsidR="00C3053B" w:rsidRDefault="00000000">
      <w:pPr>
        <w:spacing w:line="276" w:lineRule="auto"/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61388980</w:t>
      </w:r>
    </w:p>
    <w:p w14:paraId="2DC31AD7" w14:textId="77777777" w:rsidR="00C3053B" w:rsidRDefault="00000000">
      <w:pPr>
        <w:spacing w:line="276" w:lineRule="auto"/>
      </w:pPr>
      <w:r>
        <w:rPr>
          <w:rFonts w:ascii="Tahoma" w:hAnsi="Tahoma" w:cs="Tahoma"/>
          <w:bCs/>
          <w:color w:val="000000"/>
          <w:sz w:val="22"/>
          <w:szCs w:val="22"/>
        </w:rPr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61388980</w:t>
      </w:r>
    </w:p>
    <w:p w14:paraId="30E97389" w14:textId="77777777" w:rsidR="00C3053B" w:rsidRDefault="00000000">
      <w:pPr>
        <w:spacing w:line="276" w:lineRule="auto"/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</w:rPr>
        <w:t>679114193/0300</w:t>
      </w:r>
    </w:p>
    <w:p w14:paraId="070228E9" w14:textId="77777777" w:rsidR="00C3053B" w:rsidRDefault="00000000">
      <w:pPr>
        <w:tabs>
          <w:tab w:val="left" w:pos="2434"/>
        </w:tabs>
        <w:spacing w:line="276" w:lineRule="auto"/>
        <w:ind w:left="2880" w:hanging="2880"/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bookmarkStart w:id="0" w:name="_Hlk29556175"/>
      <w:r>
        <w:rPr>
          <w:rFonts w:ascii="Tahoma" w:hAnsi="Tahoma" w:cs="Tahoma"/>
          <w:sz w:val="22"/>
          <w:szCs w:val="22"/>
        </w:rPr>
        <w:t>Ing. Kamilem Langem, CSc., DSc., ředitelem</w:t>
      </w:r>
      <w:bookmarkEnd w:id="0"/>
    </w:p>
    <w:p w14:paraId="78E839D3" w14:textId="77777777" w:rsidR="00C3053B" w:rsidRDefault="00000000">
      <w:pPr>
        <w:spacing w:line="276" w:lineRule="auto"/>
      </w:pPr>
      <w:r>
        <w:rPr>
          <w:rFonts w:ascii="Tahoma" w:hAnsi="Tahoma" w:cs="Tahoma"/>
          <w:sz w:val="22"/>
          <w:szCs w:val="22"/>
        </w:rPr>
        <w:t xml:space="preserve">osoba oprávněná jednat ve věcech smluvních: </w:t>
      </w:r>
      <w:r>
        <w:rPr>
          <w:rFonts w:ascii="Tahoma" w:hAnsi="Tahoma" w:cs="Tahoma"/>
          <w:bCs/>
          <w:sz w:val="22"/>
          <w:szCs w:val="22"/>
        </w:rPr>
        <w:t>Ing. Kamil Lang, CSc., DSc., ředitel</w:t>
      </w:r>
    </w:p>
    <w:p w14:paraId="7FFF42EB" w14:textId="6E6E7EC6" w:rsidR="00C3053B" w:rsidRDefault="00000000">
      <w:pPr>
        <w:tabs>
          <w:tab w:val="left" w:pos="2160"/>
        </w:tabs>
        <w:spacing w:line="276" w:lineRule="auto"/>
        <w:ind w:left="2880" w:hanging="2880"/>
      </w:pPr>
      <w:r>
        <w:rPr>
          <w:rFonts w:ascii="Tahoma" w:hAnsi="Tahoma" w:cs="Tahoma"/>
          <w:sz w:val="22"/>
          <w:szCs w:val="22"/>
        </w:rPr>
        <w:t xml:space="preserve">osoba oprávněná ve věcech technických: </w:t>
      </w:r>
      <w:r w:rsidR="00CC5027">
        <w:rPr>
          <w:rFonts w:ascii="Tahoma" w:hAnsi="Tahoma" w:cs="Tahoma"/>
          <w:sz w:val="22"/>
          <w:szCs w:val="22"/>
        </w:rPr>
        <w:t>xxxxx</w:t>
      </w:r>
    </w:p>
    <w:p w14:paraId="7EB72788" w14:textId="34A204B2" w:rsidR="00C3053B" w:rsidRDefault="00000000">
      <w:pPr>
        <w:tabs>
          <w:tab w:val="left" w:pos="2434"/>
        </w:tabs>
        <w:spacing w:line="276" w:lineRule="auto"/>
        <w:ind w:left="2880" w:hanging="2880"/>
      </w:pPr>
      <w:r>
        <w:rPr>
          <w:rFonts w:ascii="Tahoma" w:hAnsi="Tahoma" w:cs="Tahoma"/>
          <w:sz w:val="22"/>
          <w:szCs w:val="22"/>
        </w:rPr>
        <w:t xml:space="preserve">e-mail: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hyperlink r:id="rId7">
        <w:r w:rsidR="005333F3">
          <w:rPr>
            <w:rStyle w:val="Internetovodkaz"/>
            <w:rFonts w:ascii="Tahoma" w:hAnsi="Tahoma" w:cs="Tahoma"/>
            <w:color w:val="auto"/>
            <w:sz w:val="22"/>
            <w:szCs w:val="22"/>
            <w:u w:val="none"/>
          </w:rPr>
          <w:t>xxxxx</w:t>
        </w:r>
      </w:hyperlink>
    </w:p>
    <w:p w14:paraId="5374777A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361872E4" w14:textId="77777777" w:rsidR="00C3053B" w:rsidRDefault="00000000">
      <w:p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„Objednatel“)</w:t>
      </w:r>
    </w:p>
    <w:p w14:paraId="62FC5A0F" w14:textId="77777777" w:rsidR="00C3053B" w:rsidRDefault="00C3053B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0617EB5D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Arial" w:hAnsi="Arial" w:cs="Tahoma"/>
          <w:bCs/>
          <w:sz w:val="22"/>
          <w:szCs w:val="22"/>
        </w:rPr>
        <w:t>a</w:t>
      </w:r>
    </w:p>
    <w:p w14:paraId="5EACF034" w14:textId="77777777" w:rsidR="00C3053B" w:rsidRDefault="00C3053B">
      <w:pPr>
        <w:tabs>
          <w:tab w:val="left" w:pos="2160"/>
        </w:tabs>
        <w:spacing w:line="276" w:lineRule="auto"/>
        <w:rPr>
          <w:rFonts w:ascii="Arial" w:hAnsi="Arial" w:cs="Tahoma"/>
          <w:bCs/>
          <w:sz w:val="22"/>
          <w:szCs w:val="22"/>
        </w:rPr>
      </w:pPr>
    </w:p>
    <w:p w14:paraId="2B87D52E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Arial" w:hAnsi="Arial" w:cs="Tahoma"/>
          <w:b/>
          <w:bCs/>
          <w:sz w:val="22"/>
          <w:szCs w:val="22"/>
        </w:rPr>
        <w:t>Per Partes Consulting, s.r.o.</w:t>
      </w:r>
    </w:p>
    <w:p w14:paraId="150A1AD5" w14:textId="77777777" w:rsidR="00C3053B" w:rsidRDefault="00000000">
      <w:pPr>
        <w:spacing w:line="276" w:lineRule="auto"/>
      </w:pPr>
      <w:r>
        <w:rPr>
          <w:rFonts w:ascii="Arial" w:hAnsi="Arial" w:cs="Tahoma"/>
          <w:sz w:val="22"/>
          <w:szCs w:val="22"/>
        </w:rPr>
        <w:t>se sídlem: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Bohunická 478/47a, Horní Heršpice, 619 00 Brno</w:t>
      </w:r>
    </w:p>
    <w:p w14:paraId="3FB41E0B" w14:textId="77777777" w:rsidR="00C3053B" w:rsidRDefault="00000000">
      <w:pPr>
        <w:spacing w:line="276" w:lineRule="auto"/>
      </w:pPr>
      <w:r>
        <w:rPr>
          <w:rFonts w:ascii="Arial" w:hAnsi="Arial" w:cs="Tahoma"/>
          <w:sz w:val="22"/>
          <w:szCs w:val="22"/>
        </w:rPr>
        <w:t xml:space="preserve">IČO: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26236745</w:t>
      </w:r>
    </w:p>
    <w:p w14:paraId="7BF15C77" w14:textId="77777777" w:rsidR="00C3053B" w:rsidRDefault="00000000">
      <w:pPr>
        <w:spacing w:line="276" w:lineRule="auto"/>
      </w:pPr>
      <w:r>
        <w:rPr>
          <w:rFonts w:ascii="Arial" w:hAnsi="Arial" w:cs="Tahoma"/>
          <w:bCs/>
          <w:color w:val="000000"/>
          <w:sz w:val="22"/>
          <w:szCs w:val="22"/>
        </w:rPr>
        <w:t>DIČ:</w:t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  <w:t>CZ26236745</w:t>
      </w:r>
    </w:p>
    <w:p w14:paraId="75754494" w14:textId="77777777" w:rsidR="00C3053B" w:rsidRDefault="00000000">
      <w:pPr>
        <w:spacing w:line="276" w:lineRule="auto"/>
      </w:pPr>
      <w:r>
        <w:rPr>
          <w:rFonts w:ascii="Arial" w:hAnsi="Arial" w:cs="Tahoma"/>
          <w:sz w:val="22"/>
          <w:szCs w:val="22"/>
        </w:rPr>
        <w:t xml:space="preserve">bankovní spojení: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UniCredit Bank č. ú: 1884257024/2700</w:t>
      </w:r>
    </w:p>
    <w:p w14:paraId="2ED4CBA4" w14:textId="77777777" w:rsidR="00C3053B" w:rsidRDefault="00000000">
      <w:pPr>
        <w:spacing w:line="276" w:lineRule="auto"/>
      </w:pPr>
      <w:r>
        <w:rPr>
          <w:rFonts w:ascii="Arial" w:hAnsi="Arial" w:cs="Tahoma"/>
          <w:sz w:val="22"/>
        </w:rPr>
        <w:t>zastoupen:</w:t>
      </w:r>
      <w:r>
        <w:rPr>
          <w:rFonts w:ascii="Arial" w:hAnsi="Arial" w:cs="Tahoma"/>
          <w:sz w:val="22"/>
        </w:rPr>
        <w:tab/>
      </w:r>
      <w:r>
        <w:rPr>
          <w:rFonts w:ascii="Arial" w:hAnsi="Arial" w:cs="Tahoma"/>
          <w:sz w:val="22"/>
        </w:rPr>
        <w:tab/>
      </w:r>
      <w:r>
        <w:rPr>
          <w:rFonts w:ascii="Arial" w:hAnsi="Arial" w:cs="Tahoma"/>
          <w:sz w:val="22"/>
        </w:rPr>
        <w:tab/>
        <w:t>Ing. Petrem Hujňákem, CSc., jednatelem společnosti</w:t>
      </w:r>
    </w:p>
    <w:p w14:paraId="34951F61" w14:textId="77777777" w:rsidR="00C3053B" w:rsidRDefault="00000000">
      <w:pPr>
        <w:spacing w:line="276" w:lineRule="auto"/>
      </w:pPr>
      <w:r>
        <w:rPr>
          <w:rFonts w:ascii="Arial" w:hAnsi="Arial" w:cs="Tahoma"/>
          <w:sz w:val="22"/>
          <w:szCs w:val="22"/>
        </w:rPr>
        <w:t>osoba oprávněná jednat ve věcech smluvních: Ing. Petr Hujňák, CSc.</w:t>
      </w:r>
    </w:p>
    <w:p w14:paraId="57E1AD0B" w14:textId="77777777" w:rsidR="00C3053B" w:rsidRDefault="00000000">
      <w:pPr>
        <w:tabs>
          <w:tab w:val="left" w:pos="2160"/>
        </w:tabs>
        <w:spacing w:line="276" w:lineRule="auto"/>
        <w:ind w:left="2880" w:hanging="2880"/>
      </w:pPr>
      <w:r>
        <w:rPr>
          <w:rFonts w:ascii="Arial" w:hAnsi="Arial" w:cs="Tahoma"/>
          <w:sz w:val="22"/>
          <w:szCs w:val="22"/>
        </w:rPr>
        <w:t>osoba oprávněná jednat ve věcech technických: Ing. Jaroslav Hujňák</w:t>
      </w:r>
    </w:p>
    <w:p w14:paraId="07B872EA" w14:textId="0523E9EF" w:rsidR="00C3053B" w:rsidRDefault="00000000">
      <w:pPr>
        <w:tabs>
          <w:tab w:val="left" w:pos="2158"/>
        </w:tabs>
        <w:spacing w:line="276" w:lineRule="auto"/>
        <w:ind w:left="2880" w:hanging="2880"/>
      </w:pPr>
      <w:r>
        <w:rPr>
          <w:rFonts w:ascii="Arial" w:hAnsi="Arial" w:cs="Tahoma"/>
          <w:sz w:val="22"/>
          <w:szCs w:val="22"/>
        </w:rPr>
        <w:t xml:space="preserve">e-mail:                   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 w:rsidR="005333F3">
        <w:rPr>
          <w:rFonts w:ascii="Arial" w:hAnsi="Arial" w:cs="Tahoma"/>
          <w:sz w:val="22"/>
          <w:szCs w:val="22"/>
        </w:rPr>
        <w:t>xxxxxx</w:t>
      </w:r>
      <w:r>
        <w:rPr>
          <w:rFonts w:ascii="Arial" w:hAnsi="Arial" w:cs="Tahoma"/>
          <w:sz w:val="22"/>
          <w:szCs w:val="22"/>
        </w:rPr>
        <w:tab/>
      </w:r>
    </w:p>
    <w:p w14:paraId="4A1D2E69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Arial" w:hAnsi="Arial" w:cs="Tahoma"/>
          <w:sz w:val="22"/>
          <w:szCs w:val="22"/>
        </w:rPr>
        <w:t xml:space="preserve">zapsána v v obchodním rejstříku u Krajského soudu v Brně, oddíl C, vložka 39009 </w:t>
      </w:r>
    </w:p>
    <w:p w14:paraId="5C8A3CD9" w14:textId="77777777" w:rsidR="00C3053B" w:rsidRDefault="00000000">
      <w:pPr>
        <w:tabs>
          <w:tab w:val="left" w:pos="2160"/>
        </w:tabs>
        <w:spacing w:line="276" w:lineRule="auto"/>
      </w:pPr>
      <w:r>
        <w:rPr>
          <w:rFonts w:ascii="Arial" w:hAnsi="Arial" w:cs="Tahoma"/>
          <w:sz w:val="22"/>
          <w:szCs w:val="22"/>
        </w:rPr>
        <w:t>(dále jako „Poskytovatel“)</w:t>
      </w:r>
    </w:p>
    <w:p w14:paraId="3E4D2E58" w14:textId="77777777" w:rsidR="00C3053B" w:rsidRDefault="00C30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F7B3D2" w14:textId="77777777" w:rsidR="00C3053B" w:rsidRDefault="00000000">
      <w:pPr>
        <w:tabs>
          <w:tab w:val="left" w:pos="2835"/>
          <w:tab w:val="left" w:pos="3119"/>
        </w:tabs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(Objednatel a Poskytovatel společně dále jako „smluvní strany“)</w:t>
      </w:r>
    </w:p>
    <w:p w14:paraId="06BA4E91" w14:textId="77777777" w:rsidR="00C3053B" w:rsidRDefault="00C3053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3464CAE5" w14:textId="77777777" w:rsidR="00C3053B" w:rsidRDefault="00C3053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19C89234" w14:textId="77777777" w:rsidR="00C3053B" w:rsidRDefault="00000000">
      <w:p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>uzavírají následující dodatek ke smlouvě o poskytování expertních služeb v informatice:</w:t>
      </w:r>
      <w:r>
        <w:br w:type="page"/>
      </w:r>
    </w:p>
    <w:p w14:paraId="3E9D94A8" w14:textId="77777777" w:rsidR="00C3053B" w:rsidRDefault="00000000">
      <w:pPr>
        <w:spacing w:before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Úvod</w:t>
      </w:r>
    </w:p>
    <w:p w14:paraId="3E5CBA9C" w14:textId="77777777" w:rsidR="00C3053B" w:rsidRDefault="00000000">
      <w:pPr>
        <w:pStyle w:val="Nadpis3"/>
        <w:widowControl w:val="0"/>
        <w:spacing w:before="113" w:line="276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ab/>
        <w:t xml:space="preserve">Objednatel na základě zadávacího řízení na veřejnou zakázku malého rozsahu s názvem „Dodávka Ekonomického informačního systému a jeho následná podpora“ uzavřel s vybraným dodavatelem EIS smlouvu o dodávce a implementaci ekonomického informačního systému a zajištění souvisejících služeb provozní podpory, údržby a rozvoje  ekonomického informačního systému (dále též Implementační smlouva). </w:t>
      </w:r>
    </w:p>
    <w:p w14:paraId="066FDAC0" w14:textId="77777777" w:rsidR="00C3053B" w:rsidRDefault="00000000">
      <w:pPr>
        <w:pStyle w:val="Nadpis3"/>
        <w:widowControl w:val="0"/>
        <w:spacing w:before="113" w:line="276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ab/>
        <w:t>Objednatel sjednává tímto dodatkem ke Smlouvě o poskytování expertních služeb v informatice potřebné odborné zdroje Poskytovatele nezbytné pro realizaci výše uvedené Implementační smlouvy na straně Objednatele. Poskytovatel tak vytváří s Objednatelem společný projektový tým a vystupuje v roli projektového manažera Objednatele.</w:t>
      </w:r>
    </w:p>
    <w:p w14:paraId="0C27B6B1" w14:textId="77777777" w:rsidR="00C3053B" w:rsidRDefault="00000000">
      <w:pPr>
        <w:spacing w:before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I.</w:t>
      </w:r>
    </w:p>
    <w:p w14:paraId="6A986DF4" w14:textId="77777777" w:rsidR="00C3053B" w:rsidRDefault="00000000">
      <w:pPr>
        <w:keepLines/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Rozsah poskytování Odborných služeb na projektu EIS</w:t>
      </w:r>
    </w:p>
    <w:p w14:paraId="74BF18AE" w14:textId="77777777" w:rsidR="00C3053B" w:rsidRDefault="00000000">
      <w:pPr>
        <w:pStyle w:val="Nadpis3"/>
        <w:widowControl w:val="0"/>
        <w:numPr>
          <w:ilvl w:val="0"/>
          <w:numId w:val="2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Objednatel vymezuje své konkrétní potřeby pro poskytování služeb Poskytovatele v souladu s čl. 1.4 smlouvy jako Odborné služby podpory implementace pro realizaci projektu implementace EIS dle Implementační smlouvy v celkovém rozsahu služeb 221 hodin na celý projekt. </w:t>
      </w:r>
    </w:p>
    <w:p w14:paraId="6222D2C1" w14:textId="77777777" w:rsidR="00C3053B" w:rsidRDefault="00000000">
      <w:pPr>
        <w:pStyle w:val="Nadpis3"/>
        <w:keepNext w:val="0"/>
        <w:widowControl w:val="0"/>
        <w:numPr>
          <w:ilvl w:val="0"/>
          <w:numId w:val="2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>Ucelená období poskytování služeb Poskytovatelem stanovuje Objednatel v souladu s čl. 3.4 podle etap projektu implementace EIS dle svých potřeb při realizaci Implementační smlouvy v následujícím rozsahu:</w:t>
      </w:r>
    </w:p>
    <w:tbl>
      <w:tblPr>
        <w:tblW w:w="8910" w:type="dxa"/>
        <w:tblInd w:w="7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8"/>
        <w:gridCol w:w="2272"/>
      </w:tblGrid>
      <w:tr w:rsidR="00C3053B" w14:paraId="41A1226F" w14:textId="77777777">
        <w:trPr>
          <w:trHeight w:val="256"/>
        </w:trPr>
        <w:tc>
          <w:tcPr>
            <w:tcW w:w="6638" w:type="dxa"/>
            <w:vAlign w:val="bottom"/>
          </w:tcPr>
          <w:p w14:paraId="6CFC2694" w14:textId="77777777" w:rsidR="00C3053B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Ucelen</w:t>
            </w:r>
            <w:r>
              <w:rPr>
                <w:rFonts w:ascii="Arial" w:hAnsi="Arial"/>
                <w:b/>
              </w:rPr>
              <w:t>á období poskytování služeb</w:t>
            </w:r>
          </w:p>
        </w:tc>
        <w:tc>
          <w:tcPr>
            <w:tcW w:w="2272" w:type="dxa"/>
            <w:vAlign w:val="bottom"/>
          </w:tcPr>
          <w:p w14:paraId="2060EE42" w14:textId="77777777" w:rsidR="00C3053B" w:rsidRDefault="00000000">
            <w:pPr>
              <w:widowControl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Hodiny</w:t>
            </w:r>
          </w:p>
        </w:tc>
      </w:tr>
      <w:tr w:rsidR="00C3053B" w14:paraId="12E8D7A5" w14:textId="77777777">
        <w:trPr>
          <w:trHeight w:val="256"/>
        </w:trPr>
        <w:tc>
          <w:tcPr>
            <w:tcW w:w="6638" w:type="dxa"/>
            <w:vAlign w:val="bottom"/>
          </w:tcPr>
          <w:p w14:paraId="5DB2C89A" w14:textId="77777777" w:rsidR="00C3053B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Ucelené období Q1 1.1.2023 -31.3.2023</w:t>
            </w:r>
          </w:p>
        </w:tc>
        <w:tc>
          <w:tcPr>
            <w:tcW w:w="2272" w:type="dxa"/>
            <w:vAlign w:val="bottom"/>
          </w:tcPr>
          <w:p w14:paraId="2EC69257" w14:textId="77777777" w:rsidR="00C3053B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C3053B" w14:paraId="7B71C3D2" w14:textId="77777777">
        <w:trPr>
          <w:trHeight w:val="256"/>
        </w:trPr>
        <w:tc>
          <w:tcPr>
            <w:tcW w:w="6638" w:type="dxa"/>
            <w:vAlign w:val="bottom"/>
          </w:tcPr>
          <w:p w14:paraId="09A585B9" w14:textId="77777777" w:rsidR="00C3053B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Ucelené období Q2 1.4.2023-30.6.2023</w:t>
            </w:r>
          </w:p>
        </w:tc>
        <w:tc>
          <w:tcPr>
            <w:tcW w:w="2272" w:type="dxa"/>
            <w:vAlign w:val="bottom"/>
          </w:tcPr>
          <w:p w14:paraId="2E07C733" w14:textId="77777777" w:rsidR="00C3053B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</w:tr>
      <w:tr w:rsidR="00C3053B" w14:paraId="11226B6F" w14:textId="77777777">
        <w:trPr>
          <w:trHeight w:val="256"/>
        </w:trPr>
        <w:tc>
          <w:tcPr>
            <w:tcW w:w="6638" w:type="dxa"/>
            <w:vAlign w:val="bottom"/>
          </w:tcPr>
          <w:p w14:paraId="56723664" w14:textId="77777777" w:rsidR="00C3053B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Ucelené období Q3 1.7.2023-30.9.2023</w:t>
            </w:r>
          </w:p>
        </w:tc>
        <w:tc>
          <w:tcPr>
            <w:tcW w:w="2272" w:type="dxa"/>
            <w:vAlign w:val="bottom"/>
          </w:tcPr>
          <w:p w14:paraId="769D71C4" w14:textId="77777777" w:rsidR="00C3053B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</w:tr>
      <w:tr w:rsidR="00C3053B" w14:paraId="7BEF5AEC" w14:textId="77777777">
        <w:trPr>
          <w:trHeight w:val="256"/>
        </w:trPr>
        <w:tc>
          <w:tcPr>
            <w:tcW w:w="6638" w:type="dxa"/>
            <w:vAlign w:val="bottom"/>
          </w:tcPr>
          <w:p w14:paraId="70804548" w14:textId="77777777" w:rsidR="00C3053B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Ucelené období Q4 1.10.2023-31.12.2023</w:t>
            </w:r>
          </w:p>
        </w:tc>
        <w:tc>
          <w:tcPr>
            <w:tcW w:w="2272" w:type="dxa"/>
            <w:vAlign w:val="bottom"/>
          </w:tcPr>
          <w:p w14:paraId="03EED1B2" w14:textId="77777777" w:rsidR="00C3053B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</w:tr>
    </w:tbl>
    <w:p w14:paraId="288017F5" w14:textId="77777777" w:rsidR="00C3053B" w:rsidRDefault="00C3053B">
      <w:pPr>
        <w:rPr>
          <w:rFonts w:ascii="Arial" w:hAnsi="Arial" w:cs="Arial"/>
          <w:sz w:val="4"/>
          <w:szCs w:val="4"/>
        </w:rPr>
      </w:pPr>
    </w:p>
    <w:p w14:paraId="5523CE2C" w14:textId="77777777" w:rsidR="00C3053B" w:rsidRDefault="00C3053B">
      <w:pPr>
        <w:widowControl w:val="0"/>
        <w:spacing w:before="113" w:line="276" w:lineRule="auto"/>
        <w:jc w:val="both"/>
        <w:rPr>
          <w:sz w:val="4"/>
          <w:szCs w:val="4"/>
        </w:rPr>
      </w:pPr>
    </w:p>
    <w:p w14:paraId="59A9425A" w14:textId="77777777" w:rsidR="00C3053B" w:rsidRDefault="00000000">
      <w:pPr>
        <w:pStyle w:val="Nadpis3"/>
        <w:keepNext w:val="0"/>
        <w:widowControl w:val="0"/>
        <w:numPr>
          <w:ilvl w:val="0"/>
          <w:numId w:val="2"/>
        </w:numPr>
        <w:spacing w:before="119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Odborné služby podpory implementace jsou poskytovány  ve shodě se Smlouvou ve dvou typech služeb zaměřených na podporu všech etap životního cyklu implementace systému EIS dle Implementační smlouvy a náběhu systému do provozu dle Servisní smlouvy: </w:t>
      </w:r>
    </w:p>
    <w:p w14:paraId="4D6364C4" w14:textId="77777777" w:rsidR="00C3053B" w:rsidRDefault="00000000">
      <w:pPr>
        <w:pStyle w:val="Nadpis3"/>
        <w:keepNext w:val="0"/>
        <w:widowControl w:val="0"/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Projektová podpora implementace, která je zaměřena na projektové řízení součinnosti týmů ústavu při implementaci a náběhu provozu EIS a průběžné řízení vazby na dodavatele EIS v rámci schůzek projektového týmu (dále jen „Projektová podpora implementace“).</w:t>
      </w:r>
    </w:p>
    <w:p w14:paraId="791D8685" w14:textId="77777777" w:rsidR="00C3053B" w:rsidRDefault="00000000">
      <w:pPr>
        <w:pStyle w:val="Nadpis3"/>
        <w:keepNext w:val="0"/>
        <w:widowControl w:val="0"/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Řešitelská podpora implementace, která je zaměřena na věcnou problematiku implementace EIS, tj. zejména na testování nastavení EIS, analýzu a návrh nastavení požadavků ústavů vč. nastavení workflow, vytvoření HW infrastruktury a migraci dat. Řešitelská služba je také zaměřena na přípravu servisu a podporu při řešení incidentů při náběhu provozu EIS a řízení servisních služeb dodavatele</w:t>
      </w:r>
    </w:p>
    <w:p w14:paraId="7CBE9BEA" w14:textId="77777777" w:rsidR="00C3053B" w:rsidRDefault="00000000">
      <w:pPr>
        <w:pStyle w:val="Nadpis3"/>
        <w:keepNext w:val="0"/>
        <w:widowControl w:val="0"/>
        <w:spacing w:line="276" w:lineRule="auto"/>
        <w:ind w:left="1440" w:firstLine="0"/>
        <w:jc w:val="both"/>
      </w:pPr>
      <w:r>
        <w:rPr>
          <w:rFonts w:ascii="Arial" w:hAnsi="Arial" w:cs="Arial"/>
          <w:sz w:val="22"/>
          <w:szCs w:val="22"/>
        </w:rPr>
        <w:t>(dále jen „Řešitelská podpora implementace“).</w:t>
      </w:r>
    </w:p>
    <w:p w14:paraId="37706D19" w14:textId="77777777" w:rsidR="00C3053B" w:rsidRDefault="00000000">
      <w:pPr>
        <w:widowControl w:val="0"/>
        <w:spacing w:before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II.</w:t>
      </w:r>
    </w:p>
    <w:p w14:paraId="6F16331E" w14:textId="77777777" w:rsidR="00C3053B" w:rsidRDefault="00000000">
      <w:pPr>
        <w:keepLines/>
        <w:widowControl w:val="0"/>
        <w:spacing w:before="113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Cena za poskytnutí  Odborných služeb na projektu EIS</w:t>
      </w:r>
    </w:p>
    <w:p w14:paraId="41B3FA56" w14:textId="77777777" w:rsidR="00C3053B" w:rsidRDefault="00000000">
      <w:pPr>
        <w:pStyle w:val="Nadpis3"/>
        <w:keepNext w:val="0"/>
        <w:widowControl w:val="0"/>
        <w:numPr>
          <w:ilvl w:val="0"/>
          <w:numId w:val="6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>Cena za poskytnutí Odborných služeb je stanovena podle čl. III. odst. 1 Smlouvy, tj. na základě hodin služeb násobených smluvní sazbou Poskytovatele.</w:t>
      </w:r>
    </w:p>
    <w:p w14:paraId="30979993" w14:textId="77777777" w:rsidR="00C3053B" w:rsidRDefault="00000000">
      <w:pPr>
        <w:pStyle w:val="Nadpis3"/>
        <w:keepNext w:val="0"/>
        <w:widowControl w:val="0"/>
        <w:numPr>
          <w:ilvl w:val="0"/>
          <w:numId w:val="2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Smluvní strany se dohodly, že ustanovení čl III. odst. 2 Smlouvy se aplikuje přiměřeně tak, že cena za poskytnuté Odborné služby na projektu implementace EIS je cenou </w:t>
      </w:r>
      <w:r>
        <w:rPr>
          <w:rFonts w:ascii="Arial" w:hAnsi="Arial" w:cs="Arial"/>
          <w:sz w:val="22"/>
          <w:szCs w:val="22"/>
        </w:rPr>
        <w:lastRenderedPageBreak/>
        <w:t xml:space="preserve">stanovenou jako součin sjednaného pevného rozsahu služeb za dané ucelené období jejich poskytování dle čl. I. odst. 2 tohoto dodatku a smluvní hodinové sazby Poskytovatele dle čl. III. odst. 1 Smlouvy. </w:t>
      </w:r>
    </w:p>
    <w:p w14:paraId="42EB5832" w14:textId="77777777" w:rsidR="00C3053B" w:rsidRDefault="00000000">
      <w:pPr>
        <w:pStyle w:val="Nadpis3"/>
        <w:keepNext w:val="0"/>
        <w:widowControl w:val="0"/>
        <w:numPr>
          <w:ilvl w:val="0"/>
          <w:numId w:val="2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>Smluvní strany se dohodly, že na základě předchozího odstavce bude cena plnění Odborných služeb Objednatelem hrazena na základě faktur vystavených Poskytovatelem s přiloženým Akceptačním protokolem služeb poskytnutých za ucelené období poskytování služeb dle čl. 1.2 tohoto dodatku.</w:t>
      </w:r>
    </w:p>
    <w:p w14:paraId="59A34E0E" w14:textId="77777777" w:rsidR="00C3053B" w:rsidRDefault="00000000">
      <w:pPr>
        <w:pStyle w:val="Nadpis3"/>
        <w:keepNext w:val="0"/>
        <w:widowControl w:val="0"/>
        <w:numPr>
          <w:ilvl w:val="0"/>
          <w:numId w:val="2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Akceptační protokol pro sjednaný pevný hodinový rozsah služeb dle čl. I. odst. 2 tohoto dodatku přiměřeně nahrazuje v čl. III. smlouvy uvedený Výkaz prací s tím, že při sjednaném pevném rozsahu prací v hodinách se v něm již hodiny poskytnutých služeb nevykazují. Odsouhlasením Akceptačního protokolu Objednatel potvrzuje, že rozsah prací za ucelené období poskytování služeb dle čl. I. odst. 2 tohoto dodatku byl řádně Poskytovatelem proveden (tj. došlo k jeho akceptaci Objednatelem) a datem splnění služeb za ucelené období je datum podpisu Akceptačního protokolu Objednatelem. </w:t>
      </w:r>
    </w:p>
    <w:p w14:paraId="68F64B65" w14:textId="77777777" w:rsidR="00C3053B" w:rsidRDefault="00000000">
      <w:pPr>
        <w:widowControl w:val="0"/>
        <w:spacing w:before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III.</w:t>
      </w:r>
    </w:p>
    <w:p w14:paraId="4BB75980" w14:textId="77777777" w:rsidR="00C3053B" w:rsidRDefault="00000000">
      <w:pPr>
        <w:keepLines/>
        <w:widowControl w:val="0"/>
        <w:spacing w:before="113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Doba poskytování Odborných služeb na projektu EIS</w:t>
      </w:r>
    </w:p>
    <w:p w14:paraId="53F16E59" w14:textId="77777777" w:rsidR="00C3053B" w:rsidRDefault="00000000">
      <w:pPr>
        <w:pStyle w:val="Nadpis3"/>
        <w:keepNext w:val="0"/>
        <w:widowControl w:val="0"/>
        <w:numPr>
          <w:ilvl w:val="0"/>
          <w:numId w:val="7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>Poskytovatel se zavazuje zahájit poskytování Odborných služeb na projektu EIS dle tohoto dodatku bezprostředně po nabytí jeho účinnosti uveřejněním v registru smluv podle Zákona o registru smluv.</w:t>
      </w:r>
    </w:p>
    <w:p w14:paraId="702326EB" w14:textId="143D5879" w:rsidR="00C3053B" w:rsidRDefault="00000000">
      <w:pPr>
        <w:pStyle w:val="Nadpis3"/>
        <w:widowControl w:val="0"/>
        <w:numPr>
          <w:ilvl w:val="0"/>
          <w:numId w:val="2"/>
        </w:numPr>
        <w:spacing w:before="113" w:line="276" w:lineRule="auto"/>
        <w:jc w:val="both"/>
      </w:pPr>
      <w:r>
        <w:rPr>
          <w:rFonts w:ascii="Arial" w:hAnsi="Arial" w:cs="Arial"/>
          <w:sz w:val="22"/>
          <w:szCs w:val="22"/>
        </w:rPr>
        <w:t>Ukončení Odborných služeb na projektu EIS dle tohoto dodatku bude provedeno řádným provedením služeb posledního uceleného</w:t>
      </w:r>
      <w:r w:rsidR="003B23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období poskytování služeb dle čl. I. odst. 2 tohoto dodatku. Řádné poskytnutí služeb stvrdí Objednatel podpisem Akceptačního protokolu osobou oprávněnou jednat za Objednatele ve věcech technických či smluvních.</w:t>
      </w:r>
    </w:p>
    <w:p w14:paraId="0F98F65E" w14:textId="77777777" w:rsidR="00C3053B" w:rsidRDefault="00C3053B">
      <w:pPr>
        <w:widowControl w:val="0"/>
        <w:spacing w:before="113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A302453" w14:textId="77777777" w:rsidR="00C3053B" w:rsidRDefault="00000000">
      <w:pPr>
        <w:spacing w:line="276" w:lineRule="auto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23EE7C7D" w14:textId="77777777" w:rsidR="00C3053B" w:rsidRDefault="00000000">
      <w:pPr>
        <w:spacing w:after="113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ujednání</w:t>
      </w:r>
    </w:p>
    <w:p w14:paraId="0F2A9676" w14:textId="77777777" w:rsidR="00C3053B" w:rsidRDefault="00000000">
      <w:pPr>
        <w:numPr>
          <w:ilvl w:val="0"/>
          <w:numId w:val="3"/>
        </w:numPr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Části smlouvy nedotčené ustanoveními uvedenými v tomto dodatku zůstávají v platnosti beze změny, dotčená ustanovení se vykládají v souladu s tímto dodatkem.</w:t>
      </w:r>
    </w:p>
    <w:p w14:paraId="6FDAF88B" w14:textId="77777777" w:rsidR="00C3053B" w:rsidRDefault="00000000">
      <w:pPr>
        <w:pStyle w:val="Prosttext1"/>
        <w:numPr>
          <w:ilvl w:val="0"/>
          <w:numId w:val="3"/>
        </w:numPr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předpokládají, že dodatek bude podepsán elektronicky. V případě, že by dodatek byl v listinné podobě, bude vyhotoven ve 2 (dvou) stejnopisech, z nichž každá ze smluvních stan obdrží jedno vyhotovení.</w:t>
      </w:r>
    </w:p>
    <w:p w14:paraId="3E7DD7DE" w14:textId="77777777" w:rsidR="00C3053B" w:rsidRDefault="00C3053B">
      <w:pPr>
        <w:pStyle w:val="Prosttex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F44B9" w14:textId="77777777" w:rsidR="00C3053B" w:rsidRDefault="00C3053B">
      <w:pPr>
        <w:pStyle w:val="Prosttext1"/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416" w:type="dxa"/>
        <w:tblInd w:w="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6"/>
        <w:gridCol w:w="4370"/>
      </w:tblGrid>
      <w:tr w:rsidR="00C3053B" w14:paraId="52DECC9F" w14:textId="77777777">
        <w:trPr>
          <w:trHeight w:val="264"/>
        </w:trPr>
        <w:tc>
          <w:tcPr>
            <w:tcW w:w="4140" w:type="dxa"/>
            <w:shd w:val="clear" w:color="auto" w:fill="auto"/>
          </w:tcPr>
          <w:p w14:paraId="368C6EAF" w14:textId="77777777" w:rsidR="00C3053B" w:rsidRDefault="00000000">
            <w:pPr>
              <w:widowControl w:val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 Objednatele</w:t>
            </w:r>
          </w:p>
          <w:p w14:paraId="447F049E" w14:textId="14F60872" w:rsidR="00C3053B" w:rsidRDefault="00000000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904F1E">
              <w:rPr>
                <w:rFonts w:ascii="Tahoma" w:hAnsi="Tahoma" w:cs="Tahoma"/>
                <w:sz w:val="22"/>
                <w:szCs w:val="22"/>
              </w:rPr>
              <w:t>Řeži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dne:</w:t>
            </w:r>
            <w:r w:rsidR="003D3810">
              <w:rPr>
                <w:rFonts w:ascii="Tahoma" w:hAnsi="Tahoma" w:cs="Tahoma"/>
                <w:sz w:val="22"/>
                <w:szCs w:val="22"/>
              </w:rPr>
              <w:t xml:space="preserve"> 1.6.2023</w:t>
            </w:r>
          </w:p>
        </w:tc>
        <w:tc>
          <w:tcPr>
            <w:tcW w:w="906" w:type="dxa"/>
            <w:shd w:val="clear" w:color="auto" w:fill="auto"/>
          </w:tcPr>
          <w:p w14:paraId="57E10175" w14:textId="77777777" w:rsidR="00C3053B" w:rsidRDefault="00C3053B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</w:tcPr>
          <w:p w14:paraId="6E01BA18" w14:textId="77777777" w:rsidR="00C3053B" w:rsidRDefault="00000000">
            <w:pPr>
              <w:widowControl w:val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 Poskytovatele</w:t>
            </w:r>
          </w:p>
          <w:p w14:paraId="534D2DB1" w14:textId="3DAEC9B1" w:rsidR="00C3053B" w:rsidRDefault="00000000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V Brně dne:</w:t>
            </w:r>
            <w:r w:rsidR="003D3810">
              <w:rPr>
                <w:rFonts w:ascii="Tahoma" w:hAnsi="Tahoma" w:cs="Tahoma"/>
                <w:sz w:val="22"/>
                <w:szCs w:val="22"/>
              </w:rPr>
              <w:t xml:space="preserve"> 1.10.2023</w:t>
            </w:r>
          </w:p>
        </w:tc>
      </w:tr>
      <w:tr w:rsidR="00C3053B" w14:paraId="3D43AC25" w14:textId="77777777">
        <w:trPr>
          <w:trHeight w:val="264"/>
        </w:trPr>
        <w:tc>
          <w:tcPr>
            <w:tcW w:w="4140" w:type="dxa"/>
            <w:tcBorders>
              <w:bottom w:val="single" w:sz="4" w:space="0" w:color="80808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85CCA20" w14:textId="77777777" w:rsidR="00C3053B" w:rsidRDefault="00C3053B">
            <w:pPr>
              <w:widowControl w:val="0"/>
            </w:pPr>
          </w:p>
          <w:p w14:paraId="2AC309B7" w14:textId="77777777" w:rsidR="00C3053B" w:rsidRDefault="00C3053B">
            <w:pPr>
              <w:widowControl w:val="0"/>
            </w:pPr>
          </w:p>
          <w:p w14:paraId="17586E06" w14:textId="77777777" w:rsidR="00C3053B" w:rsidRDefault="00C3053B">
            <w:pPr>
              <w:widowControl w:val="0"/>
            </w:pPr>
          </w:p>
          <w:p w14:paraId="3681AD07" w14:textId="77777777" w:rsidR="00C3053B" w:rsidRDefault="00C3053B">
            <w:pPr>
              <w:widowControl w:val="0"/>
            </w:pPr>
          </w:p>
          <w:p w14:paraId="27D7BF02" w14:textId="77777777" w:rsidR="00C3053B" w:rsidRDefault="00C3053B">
            <w:pPr>
              <w:widowControl w:val="0"/>
            </w:pPr>
          </w:p>
          <w:p w14:paraId="1AC784EC" w14:textId="77777777" w:rsidR="00C3053B" w:rsidRDefault="00C3053B">
            <w:pPr>
              <w:widowControl w:val="0"/>
            </w:pPr>
          </w:p>
          <w:p w14:paraId="7343195D" w14:textId="77777777" w:rsidR="00C3053B" w:rsidRDefault="00C305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030F77F" w14:textId="77777777" w:rsidR="00C3053B" w:rsidRDefault="00C3053B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70" w:type="dxa"/>
            <w:tcBorders>
              <w:bottom w:val="single" w:sz="4" w:space="0" w:color="80808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193C6F0" w14:textId="77777777" w:rsidR="00C3053B" w:rsidRDefault="00C3053B">
            <w:pPr>
              <w:widowControl w:val="0"/>
            </w:pPr>
          </w:p>
        </w:tc>
      </w:tr>
      <w:tr w:rsidR="00C3053B" w14:paraId="6C8B136C" w14:textId="77777777">
        <w:trPr>
          <w:trHeight w:val="264"/>
        </w:trPr>
        <w:tc>
          <w:tcPr>
            <w:tcW w:w="4140" w:type="dxa"/>
            <w:shd w:val="clear" w:color="auto" w:fill="auto"/>
          </w:tcPr>
          <w:p w14:paraId="682FE1CE" w14:textId="77777777" w:rsidR="00C3053B" w:rsidRDefault="00000000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Ing. Kamil Lang, CSc., DSc., ředitel</w:t>
            </w:r>
          </w:p>
        </w:tc>
        <w:tc>
          <w:tcPr>
            <w:tcW w:w="906" w:type="dxa"/>
            <w:shd w:val="clear" w:color="auto" w:fill="auto"/>
          </w:tcPr>
          <w:p w14:paraId="0FF677ED" w14:textId="77777777" w:rsidR="00C3053B" w:rsidRDefault="00C3053B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</w:tcPr>
          <w:p w14:paraId="7D637BA3" w14:textId="77777777" w:rsidR="00C3053B" w:rsidRDefault="00000000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Ing. Petr Hujňák, CSc., jednatel</w:t>
            </w:r>
          </w:p>
        </w:tc>
      </w:tr>
    </w:tbl>
    <w:p w14:paraId="2E751623" w14:textId="77777777" w:rsidR="00C3053B" w:rsidRDefault="00C3053B">
      <w:pPr>
        <w:rPr>
          <w:sz w:val="4"/>
          <w:szCs w:val="4"/>
        </w:rPr>
      </w:pPr>
    </w:p>
    <w:sectPr w:rsidR="00C3053B">
      <w:headerReference w:type="default" r:id="rId8"/>
      <w:footerReference w:type="default" r:id="rId9"/>
      <w:pgSz w:w="11906" w:h="16838"/>
      <w:pgMar w:top="765" w:right="1128" w:bottom="1134" w:left="1202" w:header="708" w:footer="10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3A0E" w14:textId="77777777" w:rsidR="00E015E5" w:rsidRDefault="00E015E5">
      <w:r>
        <w:separator/>
      </w:r>
    </w:p>
  </w:endnote>
  <w:endnote w:type="continuationSeparator" w:id="0">
    <w:p w14:paraId="0BE475EA" w14:textId="77777777" w:rsidR="00E015E5" w:rsidRDefault="00E0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 Unicode MS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2CE" w14:textId="77777777" w:rsidR="00C3053B" w:rsidRDefault="00C3053B">
    <w:pPr>
      <w:pStyle w:val="Zpat"/>
      <w:jc w:val="right"/>
      <w:rPr>
        <w:rFonts w:ascii="Arial" w:hAnsi="Arial" w:cs="Arial"/>
        <w:i/>
        <w:iCs/>
        <w:sz w:val="16"/>
      </w:rPr>
    </w:pPr>
  </w:p>
  <w:p w14:paraId="2A944E97" w14:textId="77777777" w:rsidR="00C3053B" w:rsidRDefault="00000000">
    <w:pPr>
      <w:pStyle w:val="Zpat"/>
      <w:jc w:val="right"/>
    </w:pPr>
    <w:r>
      <w:rPr>
        <w:rFonts w:ascii="Arial" w:hAnsi="Arial" w:cs="Arial"/>
        <w:i/>
        <w:iCs/>
        <w:sz w:val="16"/>
      </w:rPr>
      <w:t xml:space="preserve">strana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PAGE </w:instrText>
    </w:r>
    <w:r>
      <w:rPr>
        <w:rFonts w:ascii="Arial" w:hAnsi="Arial" w:cs="Arial"/>
        <w:i/>
        <w:iCs/>
        <w:sz w:val="16"/>
      </w:rPr>
      <w:fldChar w:fldCharType="separate"/>
    </w:r>
    <w:r>
      <w:rPr>
        <w:rFonts w:ascii="Arial" w:hAnsi="Arial" w:cs="Arial"/>
        <w:i/>
        <w:iCs/>
        <w:sz w:val="16"/>
      </w:rPr>
      <w:t>3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A358" w14:textId="77777777" w:rsidR="00E015E5" w:rsidRDefault="00E015E5">
      <w:r>
        <w:separator/>
      </w:r>
    </w:p>
  </w:footnote>
  <w:footnote w:type="continuationSeparator" w:id="0">
    <w:p w14:paraId="34E87F89" w14:textId="77777777" w:rsidR="00E015E5" w:rsidRDefault="00E0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A0E" w14:textId="77777777" w:rsidR="00C3053B" w:rsidRDefault="00C3053B">
    <w:pPr>
      <w:pStyle w:val="Zhlav"/>
      <w:jc w:val="right"/>
    </w:pPr>
  </w:p>
  <w:p w14:paraId="76E54794" w14:textId="77777777" w:rsidR="00C3053B" w:rsidRDefault="00C305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341"/>
    <w:multiLevelType w:val="multilevel"/>
    <w:tmpl w:val="0166DD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016EFA"/>
    <w:multiLevelType w:val="multilevel"/>
    <w:tmpl w:val="70A4DCA0"/>
    <w:lvl w:ilvl="0">
      <w:start w:val="1"/>
      <w:numFmt w:val="upperRoman"/>
      <w:pStyle w:val="Nadpis2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473754"/>
    <w:multiLevelType w:val="multilevel"/>
    <w:tmpl w:val="802A6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4B53AD"/>
    <w:multiLevelType w:val="multilevel"/>
    <w:tmpl w:val="AC12D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EA016D"/>
    <w:multiLevelType w:val="multilevel"/>
    <w:tmpl w:val="9E1625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4671430">
    <w:abstractNumId w:val="1"/>
  </w:num>
  <w:num w:numId="2" w16cid:durableId="2002542217">
    <w:abstractNumId w:val="2"/>
  </w:num>
  <w:num w:numId="3" w16cid:durableId="739593555">
    <w:abstractNumId w:val="4"/>
  </w:num>
  <w:num w:numId="4" w16cid:durableId="1267352272">
    <w:abstractNumId w:val="3"/>
  </w:num>
  <w:num w:numId="5" w16cid:durableId="1442605810">
    <w:abstractNumId w:val="0"/>
  </w:num>
  <w:num w:numId="6" w16cid:durableId="1415054320">
    <w:abstractNumId w:val="2"/>
    <w:lvlOverride w:ilvl="0">
      <w:startOverride w:val="1"/>
    </w:lvlOverride>
  </w:num>
  <w:num w:numId="7" w16cid:durableId="161293019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3B"/>
    <w:rsid w:val="003B2366"/>
    <w:rsid w:val="003D3810"/>
    <w:rsid w:val="005333F3"/>
    <w:rsid w:val="00904F1E"/>
    <w:rsid w:val="00C3053B"/>
    <w:rsid w:val="00CC5027"/>
    <w:rsid w:val="00D724E1"/>
    <w:rsid w:val="00E015E5"/>
    <w:rsid w:val="00EC0AB3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C9C"/>
  <w15:docId w15:val="{BD16CD4F-D96A-443F-84B1-09D3BC97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Garamond" w:hAnsi="Garamond" w:cs="Garamond"/>
      <w:b/>
      <w:sz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numId w:val="1"/>
      </w:numPr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ind w:left="360" w:hanging="360"/>
      <w:outlineLvl w:val="2"/>
    </w:pPr>
  </w:style>
  <w:style w:type="paragraph" w:styleId="Nadpis4">
    <w:name w:val="heading 4"/>
    <w:basedOn w:val="Normln"/>
    <w:next w:val="Normln"/>
    <w:uiPriority w:val="9"/>
    <w:unhideWhenUsed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b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outlineLvl w:val="5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ind w:left="-360"/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Arial" w:hAnsi="Arial" w:cs="Arial"/>
      <w:sz w:val="22"/>
      <w:szCs w:val="22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Pr>
      <w:rFonts w:ascii="Arial" w:hAnsi="Arial" w:cs="Arial"/>
      <w:b w:val="0"/>
      <w:color w:val="000000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Arial" w:hAnsi="Arial" w:cs="Arial"/>
      <w:sz w:val="22"/>
      <w:szCs w:val="22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iCs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2"/>
      <w:szCs w:val="22"/>
    </w:rPr>
  </w:style>
  <w:style w:type="character" w:customStyle="1" w:styleId="WW8Num4z2">
    <w:name w:val="WW8Num4z2"/>
    <w:qFormat/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Arial" w:eastAsia="Times New Roman" w:hAnsi="Arial" w:cs="Aria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Arial" w:hAnsi="Arial" w:cs="Arial"/>
      <w:sz w:val="22"/>
      <w:szCs w:val="22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2">
    <w:name w:val="WW8Num13z2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Arial" w:hAnsi="Arial" w:cs="Arial"/>
      <w:strike w:val="0"/>
      <w:dstrike w:val="0"/>
      <w:sz w:val="22"/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Arial" w:eastAsia="Times New Roman" w:hAnsi="Arial" w:cs="Arial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Arial" w:hAnsi="Arial" w:cs="Arial"/>
      <w:sz w:val="22"/>
      <w:szCs w:val="22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hAnsi="Arial" w:cs="Arial"/>
      <w:sz w:val="22"/>
      <w:szCs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hAnsi="Arial" w:cs="Arial"/>
      <w:b w:val="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Arial" w:hAnsi="Arial" w:cs="Arial"/>
      <w:sz w:val="22"/>
      <w:szCs w:val="22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iCs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b w:val="0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  <w:rPr>
      <w:b w:val="0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Standardnpsmoodstavce1">
    <w:name w:val="Standardní písmo odstavce1"/>
    <w:qFormat/>
  </w:style>
  <w:style w:type="character" w:customStyle="1" w:styleId="Silnzdraznn">
    <w:name w:val="Silné zdůraznění"/>
    <w:qFormat/>
    <w:rPr>
      <w:b/>
      <w:bCs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Nadpis3Char">
    <w:name w:val="Nadpis 3 Char"/>
    <w:qFormat/>
    <w:rPr>
      <w:sz w:val="24"/>
      <w:szCs w:val="24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ProsttextChar">
    <w:name w:val="Prostý text Char"/>
    <w:qFormat/>
    <w:rPr>
      <w:rFonts w:ascii="Courier New" w:hAnsi="Courier New" w:cs="Courier New"/>
      <w:szCs w:val="24"/>
    </w:rPr>
  </w:style>
  <w:style w:type="character" w:customStyle="1" w:styleId="nowrap">
    <w:name w:val="nowrap"/>
    <w:qFormat/>
  </w:style>
  <w:style w:type="character" w:customStyle="1" w:styleId="TextkomenteChar">
    <w:name w:val="Text komentáře Char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1">
    <w:name w:val="Text komentáře Char1"/>
    <w:qFormat/>
    <w:rPr>
      <w:lang w:eastAsia="zh-CN"/>
    </w:rPr>
  </w:style>
  <w:style w:type="character" w:customStyle="1" w:styleId="Zkladntextodsazen2Char">
    <w:name w:val="Základní text odsazený 2 Char"/>
    <w:basedOn w:val="Standardnpsmoodstavce"/>
    <w:qFormat/>
    <w:rPr>
      <w:rFonts w:ascii="Times New Roman" w:eastAsia="Times New Roman" w:hAnsi="Times New Roman" w:cs="Times New Roman"/>
      <w:sz w:val="24"/>
      <w:lang w:bidi="ar-SA"/>
    </w:rPr>
  </w:style>
  <w:style w:type="character" w:customStyle="1" w:styleId="OdstavecseseznamemChar">
    <w:name w:val="Odstavec se seznamem Char"/>
    <w:qFormat/>
    <w:rPr>
      <w:rFonts w:ascii="Times New Roman" w:eastAsia="Times New Roman" w:hAnsi="Times New Roman" w:cs="Times New Roman"/>
      <w:sz w:val="24"/>
      <w:lang w:bidi="ar-SA"/>
    </w:rPr>
  </w:style>
  <w:style w:type="character" w:customStyle="1" w:styleId="Nevyeenzmnka1">
    <w:name w:val="Nevyřešená zmínka1"/>
    <w:basedOn w:val="Standardnpsmoodstavce"/>
    <w:qFormat/>
    <w:rPr>
      <w:color w:val="605E5C"/>
    </w:rPr>
  </w:style>
  <w:style w:type="character" w:customStyle="1" w:styleId="ProsttextChar1">
    <w:name w:val="Prostý text Char1"/>
    <w:basedOn w:val="Standardnpsmoodstavce"/>
    <w:qFormat/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Character20style">
    <w:name w:val="Character_20_style"/>
    <w:qFormat/>
  </w:style>
  <w:style w:type="character" w:customStyle="1" w:styleId="platne1">
    <w:name w:val="platne1"/>
    <w:qFormat/>
    <w:rPr>
      <w:rFonts w:cs="Times New Roman"/>
    </w:rPr>
  </w:style>
  <w:style w:type="character" w:customStyle="1" w:styleId="Navtveninternetovodkaz">
    <w:name w:val="Navštívený internetový odkaz"/>
    <w:qFormat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48"/>
      <w:szCs w:val="4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 Unicode MS;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;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;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pPr>
      <w:jc w:val="both"/>
    </w:pPr>
    <w:rPr>
      <w:rFonts w:ascii="Arial" w:hAnsi="Arial" w:cs="Arial"/>
      <w:sz w:val="22"/>
    </w:rPr>
  </w:style>
  <w:style w:type="paragraph" w:customStyle="1" w:styleId="Zkladntext31">
    <w:name w:val="Základní text 31"/>
    <w:basedOn w:val="Normln"/>
    <w:qFormat/>
    <w:rPr>
      <w:rFonts w:ascii="Arial" w:hAnsi="Arial" w:cs="Arial"/>
      <w:sz w:val="22"/>
    </w:rPr>
  </w:style>
  <w:style w:type="paragraph" w:customStyle="1" w:styleId="Prosttext1">
    <w:name w:val="Prostý text1"/>
    <w:basedOn w:val="Normln"/>
    <w:qFormat/>
    <w:rPr>
      <w:rFonts w:ascii="Courier New" w:hAnsi="Courier New" w:cs="Courier New"/>
      <w:sz w:val="20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eznamsodrkami21">
    <w:name w:val="Seznam s odrážkami 21"/>
    <w:basedOn w:val="Normln"/>
    <w:qFormat/>
  </w:style>
  <w:style w:type="paragraph" w:customStyle="1" w:styleId="Seznamsodrkami31">
    <w:name w:val="Seznam s odrážkami 31"/>
    <w:basedOn w:val="Seznamsodrkami21"/>
    <w:qFormat/>
    <w:pPr>
      <w:tabs>
        <w:tab w:val="left" w:pos="-3119"/>
      </w:tabs>
      <w:ind w:left="1134" w:hanging="425"/>
      <w:jc w:val="both"/>
    </w:pPr>
    <w:rPr>
      <w:sz w:val="20"/>
    </w:rPr>
  </w:style>
  <w:style w:type="paragraph" w:customStyle="1" w:styleId="Zkladntextodsazen31">
    <w:name w:val="Základní text odsazený 31"/>
    <w:basedOn w:val="Normln"/>
    <w:qFormat/>
    <w:pPr>
      <w:ind w:left="284"/>
      <w:jc w:val="both"/>
    </w:pPr>
  </w:style>
  <w:style w:type="paragraph" w:styleId="Zkladntextodsazen">
    <w:name w:val="Body Text Indent"/>
    <w:basedOn w:val="Normln"/>
    <w:pPr>
      <w:ind w:left="142" w:hanging="142"/>
      <w:jc w:val="both"/>
    </w:pPr>
  </w:style>
  <w:style w:type="paragraph" w:customStyle="1" w:styleId="Zkladntextodsazen21">
    <w:name w:val="Základní text odsazený 21"/>
    <w:basedOn w:val="Normln"/>
    <w:qFormat/>
    <w:pPr>
      <w:ind w:left="2124"/>
    </w:pPr>
    <w:rPr>
      <w:rFonts w:ascii="Arial" w:hAnsi="Arial" w:cs="Arial"/>
      <w:b/>
      <w:sz w:val="22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Prosttext">
    <w:name w:val="Plain Text"/>
    <w:basedOn w:val="Normln"/>
    <w:qFormat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customStyle="1" w:styleId="Bezmezer1">
    <w:name w:val="Bez mezer1"/>
    <w:qFormat/>
    <w:pPr>
      <w:jc w:val="both"/>
    </w:pPr>
    <w:rPr>
      <w:rFonts w:ascii="Times New Roman" w:eastAsia="Times New Roman" w:hAnsi="Times New Roman" w:cs="Times New Roman"/>
      <w:sz w:val="22"/>
      <w:szCs w:val="20"/>
      <w:lang w:eastAsia="cs-CZ" w:bidi="ar-SA"/>
    </w:rPr>
  </w:style>
  <w:style w:type="paragraph" w:customStyle="1" w:styleId="lnek">
    <w:name w:val="Článek"/>
    <w:basedOn w:val="Normln"/>
    <w:next w:val="Odsazen"/>
    <w:qFormat/>
    <w:p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qFormat/>
    <w:pPr>
      <w:tabs>
        <w:tab w:val="left" w:pos="737"/>
      </w:tabs>
      <w:ind w:left="737" w:hanging="737"/>
    </w:pPr>
    <w:rPr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enc@ii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952</Words>
  <Characters>5622</Characters>
  <Application>Microsoft Office Word</Application>
  <DocSecurity>0</DocSecurity>
  <Lines>46</Lines>
  <Paragraphs>13</Paragraphs>
  <ScaleCrop>false</ScaleCrop>
  <Company>Ústav biologie obratlovců AV ČR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Andrea Vincencová</cp:lastModifiedBy>
  <cp:revision>26</cp:revision>
  <dcterms:created xsi:type="dcterms:W3CDTF">2021-04-28T15:34:00Z</dcterms:created>
  <dcterms:modified xsi:type="dcterms:W3CDTF">2023-01-12T10:23:00Z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