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35" w:lineRule="auto" w:before="126"/>
        <w:ind w:left="3493" w:right="4146" w:firstLine="0"/>
        <w:jc w:val="left"/>
        <w:rPr>
          <w:rFonts w:ascii="Arial"/>
          <w:b/>
          <w:sz w:val="16"/>
        </w:rPr>
      </w:pPr>
      <w:r>
        <w:rPr/>
        <w:drawing>
          <wp:anchor distT="0" distB="0" distL="0" distR="0" allowOverlap="1" layoutInCell="1" locked="0" behindDoc="0" simplePos="0" relativeHeight="251659264">
            <wp:simplePos x="0" y="0"/>
            <wp:positionH relativeFrom="page">
              <wp:posOffset>496569</wp:posOffset>
            </wp:positionH>
            <wp:positionV relativeFrom="paragraph">
              <wp:posOffset>63548</wp:posOffset>
            </wp:positionV>
            <wp:extent cx="326720" cy="220345"/>
            <wp:effectExtent l="0" t="0" r="0" b="0"/>
            <wp:wrapNone/>
            <wp:docPr id="1" name="image1.png" descr="flagonly"/>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326720" cy="220345"/>
                    </a:xfrm>
                    <a:prstGeom prst="rect">
                      <a:avLst/>
                    </a:prstGeom>
                  </pic:spPr>
                </pic:pic>
              </a:graphicData>
            </a:graphic>
          </wp:anchor>
        </w:drawing>
      </w:r>
      <w:r>
        <w:rPr/>
        <w:drawing>
          <wp:anchor distT="0" distB="0" distL="0" distR="0" allowOverlap="1" layoutInCell="1" locked="0" behindDoc="0" simplePos="0" relativeHeight="251660288">
            <wp:simplePos x="0" y="0"/>
            <wp:positionH relativeFrom="page">
              <wp:posOffset>900430</wp:posOffset>
            </wp:positionH>
            <wp:positionV relativeFrom="paragraph">
              <wp:posOffset>63548</wp:posOffset>
            </wp:positionV>
            <wp:extent cx="1626743" cy="266065"/>
            <wp:effectExtent l="0" t="0" r="0" b="0"/>
            <wp:wrapNone/>
            <wp:docPr id="3" name="image2.png" descr="logolines"/>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1626743" cy="266065"/>
                    </a:xfrm>
                    <a:prstGeom prst="rect">
                      <a:avLst/>
                    </a:prstGeom>
                  </pic:spPr>
                </pic:pic>
              </a:graphicData>
            </a:graphic>
          </wp:anchor>
        </w:drawing>
      </w:r>
      <w:r>
        <w:rPr>
          <w:rFonts w:ascii="Arial"/>
          <w:b/>
          <w:sz w:val="16"/>
        </w:rPr>
        <w:t>European Centre for the Development of Vocational Training</w:t>
      </w:r>
    </w:p>
    <w:p>
      <w:pPr>
        <w:pStyle w:val="BodyText"/>
        <w:spacing w:before="1"/>
        <w:rPr>
          <w:rFonts w:ascii="Arial"/>
          <w:b/>
          <w:sz w:val="9"/>
        </w:rPr>
      </w:pPr>
      <w:r>
        <w:rPr/>
        <w:drawing>
          <wp:anchor distT="0" distB="0" distL="0" distR="0" allowOverlap="1" layoutInCell="1" locked="0" behindDoc="0" simplePos="0" relativeHeight="0">
            <wp:simplePos x="0" y="0"/>
            <wp:positionH relativeFrom="page">
              <wp:posOffset>900430</wp:posOffset>
            </wp:positionH>
            <wp:positionV relativeFrom="paragraph">
              <wp:posOffset>91603</wp:posOffset>
            </wp:positionV>
            <wp:extent cx="5401105" cy="75438"/>
            <wp:effectExtent l="0" t="0" r="0" b="0"/>
            <wp:wrapTopAndBottom/>
            <wp:docPr id="5" name="image3.png" descr="lineonly"/>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5401105" cy="75438"/>
                    </a:xfrm>
                    <a:prstGeom prst="rect">
                      <a:avLst/>
                    </a:prstGeom>
                  </pic:spPr>
                </pic:pic>
              </a:graphicData>
            </a:graphic>
          </wp:anchor>
        </w:drawing>
      </w:r>
    </w:p>
    <w:p>
      <w:pPr>
        <w:pStyle w:val="BodyText"/>
        <w:rPr>
          <w:rFonts w:ascii="Arial"/>
          <w:b/>
          <w:sz w:val="20"/>
        </w:rPr>
      </w:pPr>
    </w:p>
    <w:p>
      <w:pPr>
        <w:pStyle w:val="BodyText"/>
        <w:spacing w:before="3"/>
        <w:rPr>
          <w:rFonts w:ascii="Arial"/>
          <w:b/>
          <w:sz w:val="22"/>
        </w:rPr>
      </w:pPr>
    </w:p>
    <w:p>
      <w:pPr>
        <w:spacing w:line="321" w:lineRule="exact" w:before="89"/>
        <w:ind w:left="519" w:right="0" w:firstLine="0"/>
        <w:jc w:val="center"/>
        <w:rPr>
          <w:b/>
          <w:sz w:val="28"/>
        </w:rPr>
      </w:pPr>
      <w:r>
        <w:rPr>
          <w:spacing w:val="-70"/>
          <w:sz w:val="28"/>
          <w:u w:val="thick"/>
        </w:rPr>
        <w:t> </w:t>
      </w:r>
      <w:r>
        <w:rPr>
          <w:b/>
          <w:spacing w:val="-3"/>
          <w:sz w:val="28"/>
          <w:u w:val="thick"/>
        </w:rPr>
        <w:t>ZVLÁŠTNÍ </w:t>
      </w:r>
      <w:r>
        <w:rPr>
          <w:b/>
          <w:sz w:val="28"/>
          <w:u w:val="thick"/>
        </w:rPr>
        <w:t>DOHODA O GRANTU </w:t>
      </w:r>
      <w:r>
        <w:rPr>
          <w:b/>
          <w:spacing w:val="3"/>
          <w:sz w:val="28"/>
          <w:u w:val="thick"/>
        </w:rPr>
        <w:t>NA AKCI</w:t>
      </w:r>
    </w:p>
    <w:p>
      <w:pPr>
        <w:spacing w:line="321" w:lineRule="exact" w:before="0"/>
        <w:ind w:left="0" w:right="120" w:firstLine="0"/>
        <w:jc w:val="center"/>
        <w:rPr>
          <w:b/>
          <w:sz w:val="28"/>
        </w:rPr>
      </w:pPr>
      <w:r>
        <w:rPr>
          <w:spacing w:val="-70"/>
          <w:sz w:val="28"/>
          <w:u w:val="thick"/>
        </w:rPr>
        <w:t> </w:t>
      </w:r>
      <w:r>
        <w:rPr>
          <w:b/>
          <w:spacing w:val="-3"/>
          <w:sz w:val="28"/>
          <w:u w:val="thick"/>
        </w:rPr>
        <w:t>č. </w:t>
      </w:r>
      <w:r>
        <w:rPr>
          <w:b/>
          <w:sz w:val="28"/>
          <w:u w:val="thick"/>
        </w:rPr>
        <w:t>2023-CED. 915/GP/DVQ/ReferNet-SGA/001/22</w:t>
      </w:r>
    </w:p>
    <w:p>
      <w:pPr>
        <w:pStyle w:val="BodyText"/>
        <w:spacing w:before="4"/>
        <w:rPr>
          <w:b/>
          <w:sz w:val="14"/>
        </w:rPr>
      </w:pPr>
    </w:p>
    <w:p>
      <w:pPr>
        <w:pStyle w:val="BodyText"/>
        <w:spacing w:before="90"/>
        <w:ind w:left="741"/>
      </w:pPr>
      <w:r>
        <w:rPr/>
        <w:t>Tuto zvláštní dohodu (dále jen „zvláštní dohoda“) mezi sebou uzavírají:</w:t>
      </w:r>
    </w:p>
    <w:p>
      <w:pPr>
        <w:pStyle w:val="BodyText"/>
        <w:spacing w:before="7"/>
        <w:rPr>
          <w:sz w:val="32"/>
        </w:rPr>
      </w:pPr>
    </w:p>
    <w:p>
      <w:pPr>
        <w:pStyle w:val="BodyText"/>
        <w:ind w:left="741"/>
      </w:pPr>
      <w:r>
        <w:rPr/>
        <w:t>na jedné straně</w:t>
      </w:r>
    </w:p>
    <w:p>
      <w:pPr>
        <w:pStyle w:val="BodyText"/>
        <w:spacing w:before="8"/>
      </w:pPr>
    </w:p>
    <w:p>
      <w:pPr>
        <w:spacing w:line="278" w:lineRule="auto" w:before="0"/>
        <w:ind w:left="741" w:right="236" w:firstLine="0"/>
        <w:jc w:val="both"/>
        <w:rPr>
          <w:b/>
          <w:sz w:val="24"/>
        </w:rPr>
      </w:pPr>
      <w:r>
        <w:rPr>
          <w:b/>
          <w:sz w:val="24"/>
        </w:rPr>
        <w:t>Evropská unie </w:t>
      </w:r>
      <w:r>
        <w:rPr>
          <w:sz w:val="24"/>
        </w:rPr>
        <w:t>(dále jen </w:t>
      </w:r>
      <w:r>
        <w:rPr>
          <w:spacing w:val="2"/>
          <w:sz w:val="24"/>
        </w:rPr>
        <w:t>„EU“), </w:t>
      </w:r>
      <w:r>
        <w:rPr>
          <w:sz w:val="24"/>
        </w:rPr>
        <w:t>zastoupená Evropským střediskem pro rozvoj odborného vzdělávání</w:t>
      </w:r>
      <w:r>
        <w:rPr>
          <w:spacing w:val="-19"/>
          <w:sz w:val="24"/>
        </w:rPr>
        <w:t> </w:t>
      </w:r>
      <w:r>
        <w:rPr>
          <w:sz w:val="24"/>
        </w:rPr>
        <w:t>(dále jen</w:t>
      </w:r>
      <w:r>
        <w:rPr>
          <w:spacing w:val="-13"/>
          <w:sz w:val="24"/>
        </w:rPr>
        <w:t> </w:t>
      </w:r>
      <w:r>
        <w:rPr>
          <w:sz w:val="24"/>
        </w:rPr>
        <w:t>„Cedefop“),</w:t>
      </w:r>
      <w:r>
        <w:rPr>
          <w:spacing w:val="-12"/>
          <w:sz w:val="24"/>
        </w:rPr>
        <w:t> </w:t>
      </w:r>
      <w:r>
        <w:rPr>
          <w:sz w:val="24"/>
        </w:rPr>
        <w:t>které</w:t>
      </w:r>
      <w:r>
        <w:rPr>
          <w:spacing w:val="-9"/>
          <w:sz w:val="24"/>
        </w:rPr>
        <w:t> </w:t>
      </w:r>
      <w:r>
        <w:rPr>
          <w:sz w:val="24"/>
        </w:rPr>
        <w:t>pro</w:t>
      </w:r>
      <w:r>
        <w:rPr>
          <w:spacing w:val="-12"/>
          <w:sz w:val="24"/>
        </w:rPr>
        <w:t> </w:t>
      </w:r>
      <w:r>
        <w:rPr>
          <w:sz w:val="24"/>
        </w:rPr>
        <w:t>účely</w:t>
      </w:r>
      <w:r>
        <w:rPr>
          <w:spacing w:val="-13"/>
          <w:sz w:val="24"/>
        </w:rPr>
        <w:t> </w:t>
      </w:r>
      <w:r>
        <w:rPr>
          <w:sz w:val="24"/>
        </w:rPr>
        <w:t>podpisu</w:t>
      </w:r>
      <w:r>
        <w:rPr>
          <w:spacing w:val="-13"/>
          <w:sz w:val="24"/>
        </w:rPr>
        <w:t> </w:t>
      </w:r>
      <w:r>
        <w:rPr>
          <w:spacing w:val="2"/>
          <w:sz w:val="24"/>
        </w:rPr>
        <w:t>této</w:t>
      </w:r>
      <w:r>
        <w:rPr>
          <w:spacing w:val="-12"/>
          <w:sz w:val="24"/>
        </w:rPr>
        <w:t> </w:t>
      </w:r>
      <w:r>
        <w:rPr>
          <w:sz w:val="24"/>
        </w:rPr>
        <w:t>zvláštní</w:t>
      </w:r>
      <w:r>
        <w:rPr>
          <w:spacing w:val="-19"/>
          <w:sz w:val="24"/>
        </w:rPr>
        <w:t> </w:t>
      </w:r>
      <w:r>
        <w:rPr>
          <w:sz w:val="24"/>
        </w:rPr>
        <w:t>dohody</w:t>
      </w:r>
      <w:r>
        <w:rPr>
          <w:spacing w:val="-13"/>
          <w:sz w:val="24"/>
        </w:rPr>
        <w:t> </w:t>
      </w:r>
      <w:r>
        <w:rPr>
          <w:sz w:val="24"/>
        </w:rPr>
        <w:t>zastupuje</w:t>
      </w:r>
      <w:r>
        <w:rPr>
          <w:spacing w:val="-9"/>
          <w:sz w:val="24"/>
        </w:rPr>
        <w:t> </w:t>
      </w:r>
      <w:r>
        <w:rPr>
          <w:sz w:val="24"/>
        </w:rPr>
        <w:t>pan</w:t>
      </w:r>
      <w:r>
        <w:rPr>
          <w:spacing w:val="1"/>
          <w:sz w:val="24"/>
        </w:rPr>
        <w:t> </w:t>
      </w:r>
      <w:r>
        <w:rPr>
          <w:b/>
          <w:sz w:val="24"/>
        </w:rPr>
        <w:t>Loukas Zahilas, ředitel Odboru systémů a institucí odborného vzdělávání a</w:t>
      </w:r>
      <w:r>
        <w:rPr>
          <w:b/>
          <w:spacing w:val="2"/>
          <w:sz w:val="24"/>
        </w:rPr>
        <w:t> </w:t>
      </w:r>
      <w:r>
        <w:rPr>
          <w:b/>
          <w:sz w:val="24"/>
        </w:rPr>
        <w:t>přípravy</w:t>
      </w:r>
    </w:p>
    <w:p>
      <w:pPr>
        <w:pStyle w:val="Heading2"/>
        <w:spacing w:before="201"/>
      </w:pPr>
      <w:r>
        <w:rPr/>
        <w:t>a</w:t>
      </w:r>
    </w:p>
    <w:p>
      <w:pPr>
        <w:spacing w:before="224"/>
        <w:ind w:left="741" w:right="0" w:firstLine="0"/>
        <w:jc w:val="left"/>
        <w:rPr>
          <w:sz w:val="23"/>
        </w:rPr>
      </w:pPr>
      <w:r>
        <w:rPr>
          <w:sz w:val="23"/>
        </w:rPr>
        <w:t>na druhé straně „partner“</w:t>
      </w:r>
    </w:p>
    <w:p>
      <w:pPr>
        <w:pStyle w:val="BodyText"/>
        <w:spacing w:before="10"/>
        <w:rPr>
          <w:sz w:val="23"/>
        </w:rPr>
      </w:pPr>
    </w:p>
    <w:p>
      <w:pPr>
        <w:spacing w:line="262" w:lineRule="exact" w:before="1"/>
        <w:ind w:left="741" w:right="0" w:firstLine="0"/>
        <w:jc w:val="left"/>
        <w:rPr>
          <w:b/>
          <w:sz w:val="23"/>
        </w:rPr>
      </w:pPr>
      <w:r>
        <w:rPr>
          <w:b/>
          <w:sz w:val="23"/>
        </w:rPr>
        <w:t>Národní pedagogický institut České republiky – NPI ČR</w:t>
      </w:r>
    </w:p>
    <w:p>
      <w:pPr>
        <w:spacing w:line="260" w:lineRule="exact" w:before="0"/>
        <w:ind w:left="741" w:right="0" w:firstLine="0"/>
        <w:jc w:val="left"/>
        <w:rPr>
          <w:sz w:val="23"/>
        </w:rPr>
      </w:pPr>
      <w:r>
        <w:rPr>
          <w:sz w:val="23"/>
        </w:rPr>
        <w:t>Senovážné náměstí 25</w:t>
      </w:r>
    </w:p>
    <w:p>
      <w:pPr>
        <w:spacing w:line="235" w:lineRule="auto" w:before="2"/>
        <w:ind w:left="741" w:right="8290" w:firstLine="0"/>
        <w:jc w:val="left"/>
        <w:rPr>
          <w:sz w:val="23"/>
        </w:rPr>
      </w:pPr>
      <w:r>
        <w:rPr>
          <w:sz w:val="23"/>
        </w:rPr>
        <w:t>110 00 Praha Česká republika</w:t>
      </w:r>
    </w:p>
    <w:p>
      <w:pPr>
        <w:pStyle w:val="BodyText"/>
        <w:spacing w:before="3"/>
        <w:rPr>
          <w:sz w:val="23"/>
        </w:rPr>
      </w:pPr>
    </w:p>
    <w:p>
      <w:pPr>
        <w:spacing w:before="0"/>
        <w:ind w:left="741" w:right="0" w:firstLine="0"/>
        <w:jc w:val="left"/>
        <w:rPr>
          <w:b/>
          <w:sz w:val="23"/>
        </w:rPr>
      </w:pPr>
      <w:r>
        <w:rPr>
          <w:sz w:val="23"/>
        </w:rPr>
        <w:t>pro účely podpisu této zvláštní dohody zastoupený panem </w:t>
      </w:r>
      <w:r>
        <w:rPr>
          <w:b/>
          <w:sz w:val="23"/>
        </w:rPr>
        <w:t>ředitelem Ivem Jupou.</w:t>
      </w:r>
    </w:p>
    <w:p>
      <w:pPr>
        <w:pStyle w:val="BodyText"/>
        <w:rPr>
          <w:b/>
        </w:rPr>
      </w:pPr>
    </w:p>
    <w:p>
      <w:pPr>
        <w:pStyle w:val="BodyText"/>
        <w:rPr>
          <w:b/>
        </w:rPr>
      </w:pPr>
    </w:p>
    <w:p>
      <w:pPr>
        <w:pStyle w:val="BodyText"/>
        <w:spacing w:line="487" w:lineRule="auto" w:before="215"/>
        <w:ind w:left="741" w:right="5756"/>
      </w:pPr>
      <w:r>
        <w:rPr/>
        <w:t>Výše uvedené smluvní strany UZAVÍRAJÍ</w:t>
      </w:r>
    </w:p>
    <w:p>
      <w:pPr>
        <w:pStyle w:val="BodyText"/>
        <w:spacing w:line="267" w:lineRule="exact"/>
        <w:ind w:left="741"/>
      </w:pPr>
      <w:r>
        <w:rPr/>
        <w:t>tuto zvláštní dohodu s následujícími přílohami:</w:t>
      </w:r>
    </w:p>
    <w:p>
      <w:pPr>
        <w:pStyle w:val="BodyText"/>
        <w:rPr>
          <w:sz w:val="26"/>
        </w:rPr>
      </w:pPr>
    </w:p>
    <w:p>
      <w:pPr>
        <w:pStyle w:val="BodyText"/>
        <w:tabs>
          <w:tab w:pos="2011" w:val="left" w:leader="none"/>
        </w:tabs>
        <w:spacing w:before="215"/>
        <w:ind w:left="741"/>
      </w:pPr>
      <w:r>
        <w:rPr/>
        <w:t>Příloha</w:t>
      </w:r>
      <w:r>
        <w:rPr>
          <w:spacing w:val="1"/>
        </w:rPr>
        <w:t> </w:t>
      </w:r>
      <w:r>
        <w:rPr/>
        <w:t>I</w:t>
        <w:tab/>
        <w:t>Popis</w:t>
      </w:r>
      <w:r>
        <w:rPr>
          <w:spacing w:val="-4"/>
        </w:rPr>
        <w:t> </w:t>
      </w:r>
      <w:r>
        <w:rPr/>
        <w:t>akce</w:t>
      </w:r>
    </w:p>
    <w:p>
      <w:pPr>
        <w:pStyle w:val="BodyText"/>
        <w:spacing w:before="1"/>
        <w:rPr>
          <w:sz w:val="22"/>
        </w:rPr>
      </w:pPr>
    </w:p>
    <w:p>
      <w:pPr>
        <w:pStyle w:val="BodyText"/>
        <w:tabs>
          <w:tab w:pos="2011" w:val="left" w:leader="none"/>
        </w:tabs>
        <w:ind w:left="741"/>
      </w:pPr>
      <w:r>
        <w:rPr/>
        <w:t>Příloha</w:t>
      </w:r>
      <w:r>
        <w:rPr>
          <w:spacing w:val="1"/>
        </w:rPr>
        <w:t> </w:t>
      </w:r>
      <w:r>
        <w:rPr/>
        <w:t>II</w:t>
        <w:tab/>
        <w:t>Předběžný rozpočet</w:t>
      </w:r>
    </w:p>
    <w:p>
      <w:pPr>
        <w:spacing w:after="0"/>
        <w:sectPr>
          <w:headerReference w:type="default" r:id="rId5"/>
          <w:footerReference w:type="default" r:id="rId6"/>
          <w:type w:val="continuous"/>
          <w:pgSz w:w="12240" w:h="15840"/>
          <w:pgMar w:header="720" w:footer="765" w:top="1300" w:bottom="960" w:left="680" w:right="1020"/>
          <w:pgNumType w:start="1"/>
        </w:sectPr>
      </w:pPr>
    </w:p>
    <w:p>
      <w:pPr>
        <w:pStyle w:val="Heading2"/>
        <w:spacing w:before="90"/>
      </w:pPr>
      <w:r>
        <w:rPr/>
        <w:t>ČLÁNEK 1 – PŘEDMĚT ZVLÁŠTNÍ DOHODY</w:t>
      </w:r>
    </w:p>
    <w:p>
      <w:pPr>
        <w:pStyle w:val="BodyText"/>
        <w:spacing w:before="2"/>
        <w:rPr>
          <w:b/>
          <w:sz w:val="28"/>
        </w:rPr>
      </w:pPr>
    </w:p>
    <w:p>
      <w:pPr>
        <w:pStyle w:val="BodyText"/>
        <w:ind w:left="741" w:right="209"/>
        <w:jc w:val="both"/>
      </w:pPr>
      <w:r>
        <w:rPr/>
        <w:t>Tato zvláštní dohoda se  uzavírá  v rámci partnerství mezi smluvními stranami. Byla  vypracována v souladu s příslušnými ustanoveními Rámcové smlouvy o partnerství č. 2020- FPA4/GP/DSI/ReferNet_FPA/001/20,</w:t>
      </w:r>
      <w:r>
        <w:rPr>
          <w:spacing w:val="-14"/>
        </w:rPr>
        <w:t> </w:t>
      </w:r>
      <w:r>
        <w:rPr/>
        <w:t>kterou</w:t>
      </w:r>
      <w:r>
        <w:rPr>
          <w:spacing w:val="-13"/>
        </w:rPr>
        <w:t> </w:t>
      </w:r>
      <w:r>
        <w:rPr/>
        <w:t>Cedefop</w:t>
      </w:r>
      <w:r>
        <w:rPr>
          <w:spacing w:val="-13"/>
        </w:rPr>
        <w:t> </w:t>
      </w:r>
      <w:r>
        <w:rPr/>
        <w:t>a</w:t>
      </w:r>
      <w:r>
        <w:rPr>
          <w:spacing w:val="-10"/>
        </w:rPr>
        <w:t> </w:t>
      </w:r>
      <w:r>
        <w:rPr/>
        <w:t>partner</w:t>
      </w:r>
      <w:r>
        <w:rPr>
          <w:spacing w:val="-12"/>
        </w:rPr>
        <w:t> </w:t>
      </w:r>
      <w:r>
        <w:rPr/>
        <w:t>podepsali</w:t>
      </w:r>
      <w:r>
        <w:rPr>
          <w:spacing w:val="-20"/>
        </w:rPr>
        <w:t> </w:t>
      </w:r>
      <w:r>
        <w:rPr/>
        <w:t>dne</w:t>
      </w:r>
      <w:r>
        <w:rPr>
          <w:spacing w:val="8"/>
        </w:rPr>
        <w:t> </w:t>
      </w:r>
      <w:r>
        <w:rPr/>
        <w:t>23.</w:t>
      </w:r>
      <w:r>
        <w:rPr>
          <w:spacing w:val="-13"/>
        </w:rPr>
        <w:t> </w:t>
      </w:r>
      <w:r>
        <w:rPr/>
        <w:t>března</w:t>
      </w:r>
      <w:r>
        <w:rPr>
          <w:spacing w:val="-10"/>
        </w:rPr>
        <w:t> </w:t>
      </w:r>
      <w:r>
        <w:rPr/>
        <w:t>2020</w:t>
      </w:r>
      <w:r>
        <w:rPr>
          <w:spacing w:val="-14"/>
        </w:rPr>
        <w:t> </w:t>
      </w:r>
      <w:r>
        <w:rPr/>
        <w:t>(dále jen „rámcová</w:t>
      </w:r>
      <w:r>
        <w:rPr>
          <w:spacing w:val="3"/>
        </w:rPr>
        <w:t> </w:t>
      </w:r>
      <w:r>
        <w:rPr/>
        <w:t>smlouva“).</w:t>
      </w:r>
    </w:p>
    <w:p>
      <w:pPr>
        <w:pStyle w:val="BodyText"/>
        <w:spacing w:before="1"/>
      </w:pPr>
    </w:p>
    <w:p>
      <w:pPr>
        <w:pStyle w:val="BodyText"/>
        <w:ind w:left="741" w:right="224"/>
        <w:jc w:val="both"/>
      </w:pPr>
      <w:r>
        <w:rPr/>
        <w:t>Cedefop se rozhodl udělit grant („zvláštní grant k provádění </w:t>
      </w:r>
      <w:r>
        <w:rPr>
          <w:spacing w:val="2"/>
        </w:rPr>
        <w:t>akce“) </w:t>
      </w:r>
      <w:r>
        <w:rPr/>
        <w:t>k provádění akce nazvané </w:t>
      </w:r>
      <w:r>
        <w:rPr>
          <w:b/>
        </w:rPr>
        <w:t>Pracovní</w:t>
      </w:r>
      <w:r>
        <w:rPr>
          <w:b/>
          <w:spacing w:val="-8"/>
        </w:rPr>
        <w:t> </w:t>
      </w:r>
      <w:r>
        <w:rPr>
          <w:b/>
        </w:rPr>
        <w:t>plán</w:t>
      </w:r>
      <w:r>
        <w:rPr>
          <w:b/>
          <w:spacing w:val="-15"/>
        </w:rPr>
        <w:t> </w:t>
      </w:r>
      <w:r>
        <w:rPr>
          <w:b/>
        </w:rPr>
        <w:t>ReferNet</w:t>
      </w:r>
      <w:r>
        <w:rPr>
          <w:b/>
          <w:spacing w:val="-10"/>
        </w:rPr>
        <w:t> </w:t>
      </w:r>
      <w:r>
        <w:rPr>
          <w:b/>
        </w:rPr>
        <w:t>2023</w:t>
      </w:r>
      <w:r>
        <w:rPr>
          <w:b/>
          <w:spacing w:val="-11"/>
        </w:rPr>
        <w:t> </w:t>
      </w:r>
      <w:r>
        <w:rPr/>
        <w:t>(dále</w:t>
      </w:r>
      <w:r>
        <w:rPr>
          <w:spacing w:val="-7"/>
        </w:rPr>
        <w:t> </w:t>
      </w:r>
      <w:r>
        <w:rPr/>
        <w:t>jen</w:t>
      </w:r>
      <w:r>
        <w:rPr>
          <w:spacing w:val="-21"/>
        </w:rPr>
        <w:t> </w:t>
      </w:r>
      <w:r>
        <w:rPr/>
        <w:t>„akce“)</w:t>
      </w:r>
      <w:r>
        <w:rPr>
          <w:spacing w:val="-20"/>
        </w:rPr>
        <w:t> </w:t>
      </w:r>
      <w:r>
        <w:rPr/>
        <w:t>jak</w:t>
      </w:r>
      <w:r>
        <w:rPr>
          <w:spacing w:val="-12"/>
        </w:rPr>
        <w:t> </w:t>
      </w:r>
      <w:r>
        <w:rPr>
          <w:spacing w:val="-4"/>
        </w:rPr>
        <w:t>je</w:t>
      </w:r>
      <w:r>
        <w:rPr>
          <w:spacing w:val="-8"/>
        </w:rPr>
        <w:t> </w:t>
      </w:r>
      <w:r>
        <w:rPr/>
        <w:t>popsána</w:t>
      </w:r>
      <w:r>
        <w:rPr>
          <w:spacing w:val="-1"/>
        </w:rPr>
        <w:t> </w:t>
      </w:r>
      <w:r>
        <w:rPr/>
        <w:t>v</w:t>
      </w:r>
      <w:r>
        <w:rPr>
          <w:spacing w:val="-1"/>
        </w:rPr>
        <w:t> </w:t>
      </w:r>
      <w:r>
        <w:rPr>
          <w:spacing w:val="-3"/>
        </w:rPr>
        <w:t>příloze</w:t>
      </w:r>
      <w:r>
        <w:rPr>
          <w:spacing w:val="-8"/>
        </w:rPr>
        <w:t> </w:t>
      </w:r>
      <w:r>
        <w:rPr/>
        <w:t>I,</w:t>
      </w:r>
      <w:r>
        <w:rPr>
          <w:spacing w:val="-10"/>
        </w:rPr>
        <w:t> </w:t>
      </w:r>
      <w:r>
        <w:rPr>
          <w:spacing w:val="-4"/>
        </w:rPr>
        <w:t>za</w:t>
      </w:r>
      <w:r>
        <w:rPr>
          <w:spacing w:val="-8"/>
        </w:rPr>
        <w:t> </w:t>
      </w:r>
      <w:r>
        <w:rPr/>
        <w:t>podmínek</w:t>
      </w:r>
      <w:r>
        <w:rPr>
          <w:spacing w:val="-11"/>
        </w:rPr>
        <w:t> </w:t>
      </w:r>
      <w:r>
        <w:rPr/>
        <w:t>stanovených zvláštní dohodou a rámcovou</w:t>
      </w:r>
      <w:r>
        <w:rPr>
          <w:spacing w:val="-5"/>
        </w:rPr>
        <w:t> </w:t>
      </w:r>
      <w:r>
        <w:rPr/>
        <w:t>smlouvou.</w:t>
      </w:r>
    </w:p>
    <w:p>
      <w:pPr>
        <w:pStyle w:val="BodyText"/>
        <w:spacing w:before="8"/>
        <w:rPr>
          <w:sz w:val="23"/>
        </w:rPr>
      </w:pPr>
    </w:p>
    <w:p>
      <w:pPr>
        <w:pStyle w:val="BodyText"/>
        <w:ind w:left="741" w:right="241"/>
        <w:jc w:val="both"/>
      </w:pPr>
      <w:r>
        <w:rPr/>
        <w:t>Podpisem zvláštní dohody partner přijímá grant a zavazuje se, </w:t>
      </w:r>
      <w:r>
        <w:rPr>
          <w:spacing w:val="-4"/>
        </w:rPr>
        <w:t>že</w:t>
      </w:r>
      <w:r>
        <w:rPr>
          <w:spacing w:val="52"/>
        </w:rPr>
        <w:t> </w:t>
      </w:r>
      <w:r>
        <w:rPr/>
        <w:t>akci provede na vlastní odpovědnost a v souladu se všemi podmínkami a povinnostmi stanovenými touto zvláštní dohodou a rámcovou smlouvou.</w:t>
      </w:r>
    </w:p>
    <w:p>
      <w:pPr>
        <w:pStyle w:val="BodyText"/>
        <w:spacing w:before="9"/>
        <w:rPr>
          <w:sz w:val="23"/>
        </w:rPr>
      </w:pPr>
    </w:p>
    <w:p>
      <w:pPr>
        <w:pStyle w:val="BodyText"/>
        <w:spacing w:line="242" w:lineRule="auto"/>
        <w:ind w:left="741" w:right="231"/>
        <w:jc w:val="both"/>
      </w:pPr>
      <w:r>
        <w:rPr/>
        <w:t>Obecný</w:t>
      </w:r>
      <w:r>
        <w:rPr>
          <w:spacing w:val="-2"/>
        </w:rPr>
        <w:t> </w:t>
      </w:r>
      <w:r>
        <w:rPr/>
        <w:t>termín</w:t>
      </w:r>
      <w:r>
        <w:rPr>
          <w:spacing w:val="-13"/>
        </w:rPr>
        <w:t> </w:t>
      </w:r>
      <w:r>
        <w:rPr/>
        <w:t>„</w:t>
      </w:r>
      <w:r>
        <w:rPr>
          <w:i/>
        </w:rPr>
        <w:t>akce</w:t>
      </w:r>
      <w:r>
        <w:rPr/>
        <w:t>“</w:t>
      </w:r>
      <w:r>
        <w:rPr>
          <w:spacing w:val="11"/>
        </w:rPr>
        <w:t> </w:t>
      </w:r>
      <w:r>
        <w:rPr/>
        <w:t>používaný</w:t>
      </w:r>
      <w:r>
        <w:rPr>
          <w:spacing w:val="-2"/>
        </w:rPr>
        <w:t> </w:t>
      </w:r>
      <w:r>
        <w:rPr/>
        <w:t>nadále</w:t>
      </w:r>
      <w:r>
        <w:rPr>
          <w:spacing w:val="1"/>
        </w:rPr>
        <w:t> </w:t>
      </w:r>
      <w:r>
        <w:rPr/>
        <w:t>v</w:t>
      </w:r>
      <w:r>
        <w:rPr>
          <w:spacing w:val="-9"/>
        </w:rPr>
        <w:t> </w:t>
      </w:r>
      <w:r>
        <w:rPr>
          <w:spacing w:val="2"/>
        </w:rPr>
        <w:t>této</w:t>
      </w:r>
      <w:r>
        <w:rPr>
          <w:spacing w:val="-13"/>
        </w:rPr>
        <w:t> </w:t>
      </w:r>
      <w:r>
        <w:rPr/>
        <w:t>zvláštní</w:t>
      </w:r>
      <w:r>
        <w:rPr>
          <w:spacing w:val="-8"/>
        </w:rPr>
        <w:t> </w:t>
      </w:r>
      <w:r>
        <w:rPr/>
        <w:t>dohodě označuje</w:t>
      </w:r>
      <w:r>
        <w:rPr>
          <w:spacing w:val="1"/>
        </w:rPr>
        <w:t> </w:t>
      </w:r>
      <w:r>
        <w:rPr/>
        <w:t>pracovní</w:t>
      </w:r>
      <w:r>
        <w:rPr>
          <w:spacing w:val="-8"/>
        </w:rPr>
        <w:t> </w:t>
      </w:r>
      <w:r>
        <w:rPr/>
        <w:t>program</w:t>
      </w:r>
      <w:r>
        <w:rPr>
          <w:spacing w:val="-9"/>
        </w:rPr>
        <w:t> </w:t>
      </w:r>
      <w:r>
        <w:rPr/>
        <w:t>partnera tak, jak ho </w:t>
      </w:r>
      <w:r>
        <w:rPr>
          <w:spacing w:val="-3"/>
        </w:rPr>
        <w:t>popisuje </w:t>
      </w:r>
      <w:r>
        <w:rPr/>
        <w:t>příloha</w:t>
      </w:r>
      <w:r>
        <w:rPr>
          <w:spacing w:val="9"/>
        </w:rPr>
        <w:t> </w:t>
      </w:r>
      <w:r>
        <w:rPr/>
        <w:t>I.</w:t>
      </w:r>
    </w:p>
    <w:p>
      <w:pPr>
        <w:pStyle w:val="BodyText"/>
        <w:rPr>
          <w:sz w:val="26"/>
        </w:rPr>
      </w:pPr>
    </w:p>
    <w:p>
      <w:pPr>
        <w:pStyle w:val="Heading2"/>
        <w:spacing w:before="224"/>
      </w:pPr>
      <w:r>
        <w:rPr/>
        <w:t>ČLÁNEK 2 – VSTUP V PLATNOST A PROVÁDĚCÍ DOBA ZVLÁŠTNÍ DOHODY</w:t>
      </w:r>
    </w:p>
    <w:p>
      <w:pPr>
        <w:pStyle w:val="BodyText"/>
        <w:spacing w:before="2"/>
        <w:rPr>
          <w:b/>
          <w:sz w:val="28"/>
        </w:rPr>
      </w:pPr>
    </w:p>
    <w:p>
      <w:pPr>
        <w:pStyle w:val="ListParagraph"/>
        <w:numPr>
          <w:ilvl w:val="1"/>
          <w:numId w:val="1"/>
        </w:numPr>
        <w:tabs>
          <w:tab w:pos="1341" w:val="left" w:leader="none"/>
          <w:tab w:pos="1342" w:val="left" w:leader="none"/>
        </w:tabs>
        <w:spacing w:line="240" w:lineRule="auto" w:before="0" w:after="0"/>
        <w:ind w:left="1341" w:right="0" w:hanging="601"/>
        <w:jc w:val="left"/>
        <w:rPr>
          <w:sz w:val="24"/>
        </w:rPr>
      </w:pPr>
      <w:r>
        <w:rPr>
          <w:sz w:val="24"/>
        </w:rPr>
        <w:t>Zvláštní dohoda vstupuje v platnost dnem podpisu druhé smluvní</w:t>
      </w:r>
      <w:r>
        <w:rPr>
          <w:spacing w:val="-7"/>
          <w:sz w:val="24"/>
        </w:rPr>
        <w:t> </w:t>
      </w:r>
      <w:r>
        <w:rPr>
          <w:sz w:val="24"/>
        </w:rPr>
        <w:t>strany.</w:t>
      </w:r>
    </w:p>
    <w:p>
      <w:pPr>
        <w:pStyle w:val="BodyText"/>
        <w:spacing w:before="8"/>
      </w:pPr>
    </w:p>
    <w:p>
      <w:pPr>
        <w:pStyle w:val="ListParagraph"/>
        <w:numPr>
          <w:ilvl w:val="1"/>
          <w:numId w:val="1"/>
        </w:numPr>
        <w:tabs>
          <w:tab w:pos="1461" w:val="left" w:leader="none"/>
          <w:tab w:pos="1462" w:val="left" w:leader="none"/>
        </w:tabs>
        <w:spacing w:line="240" w:lineRule="auto" w:before="1" w:after="0"/>
        <w:ind w:left="1461" w:right="0" w:hanging="721"/>
        <w:jc w:val="left"/>
        <w:rPr>
          <w:sz w:val="24"/>
        </w:rPr>
      </w:pPr>
      <w:r>
        <w:rPr>
          <w:i/>
          <w:sz w:val="24"/>
        </w:rPr>
        <w:t>Akce </w:t>
      </w:r>
      <w:r>
        <w:rPr>
          <w:sz w:val="24"/>
        </w:rPr>
        <w:t>bude probíhat po dobu 12 měsíců počínaje 1. 1.</w:t>
      </w:r>
      <w:r>
        <w:rPr>
          <w:spacing w:val="10"/>
          <w:sz w:val="24"/>
        </w:rPr>
        <w:t> </w:t>
      </w:r>
      <w:r>
        <w:rPr>
          <w:sz w:val="24"/>
        </w:rPr>
        <w:t>2023.</w:t>
      </w:r>
    </w:p>
    <w:p>
      <w:pPr>
        <w:pStyle w:val="BodyText"/>
        <w:spacing w:before="9"/>
        <w:rPr>
          <w:sz w:val="23"/>
        </w:rPr>
      </w:pPr>
    </w:p>
    <w:p>
      <w:pPr>
        <w:pStyle w:val="ListParagraph"/>
        <w:numPr>
          <w:ilvl w:val="1"/>
          <w:numId w:val="1"/>
        </w:numPr>
        <w:tabs>
          <w:tab w:pos="1462" w:val="left" w:leader="none"/>
        </w:tabs>
        <w:spacing w:line="240" w:lineRule="auto" w:before="1" w:after="0"/>
        <w:ind w:left="741" w:right="223" w:firstLine="0"/>
        <w:jc w:val="both"/>
        <w:rPr>
          <w:sz w:val="24"/>
        </w:rPr>
      </w:pPr>
      <w:r>
        <w:rPr>
          <w:sz w:val="24"/>
        </w:rPr>
        <w:t>V případě, </w:t>
      </w:r>
      <w:r>
        <w:rPr>
          <w:spacing w:val="-4"/>
          <w:sz w:val="24"/>
        </w:rPr>
        <w:t>že </w:t>
      </w:r>
      <w:r>
        <w:rPr>
          <w:sz w:val="24"/>
        </w:rPr>
        <w:t>žadatel prokáže nutnost </w:t>
      </w:r>
      <w:r>
        <w:rPr>
          <w:spacing w:val="-3"/>
          <w:sz w:val="24"/>
        </w:rPr>
        <w:t>zahájit </w:t>
      </w:r>
      <w:r>
        <w:rPr>
          <w:sz w:val="24"/>
        </w:rPr>
        <w:t>akci před podpisem zvláštní dohody oběma stranami (viz bod 4 výzvy </w:t>
      </w:r>
      <w:r>
        <w:rPr>
          <w:sz w:val="23"/>
        </w:rPr>
        <w:t>GP/DVQ/ReferNet-SGA/001/22</w:t>
      </w:r>
      <w:r>
        <w:rPr>
          <w:sz w:val="24"/>
        </w:rPr>
        <w:t>), datum zahájení </w:t>
      </w:r>
      <w:r>
        <w:rPr>
          <w:spacing w:val="2"/>
          <w:sz w:val="24"/>
        </w:rPr>
        <w:t>nesmí </w:t>
      </w:r>
      <w:r>
        <w:rPr>
          <w:sz w:val="24"/>
        </w:rPr>
        <w:t>předcházet datu podání návrhu v reakci na výše uvedenou výzvu. Datum ukončení se</w:t>
      </w:r>
      <w:r>
        <w:rPr>
          <w:spacing w:val="-16"/>
          <w:sz w:val="24"/>
        </w:rPr>
        <w:t> </w:t>
      </w:r>
      <w:r>
        <w:rPr>
          <w:sz w:val="24"/>
        </w:rPr>
        <w:t>nemění.</w:t>
      </w:r>
    </w:p>
    <w:p>
      <w:pPr>
        <w:pStyle w:val="BodyText"/>
        <w:rPr>
          <w:sz w:val="26"/>
        </w:rPr>
      </w:pPr>
    </w:p>
    <w:p>
      <w:pPr>
        <w:pStyle w:val="Heading2"/>
        <w:spacing w:before="224"/>
      </w:pPr>
      <w:r>
        <w:rPr/>
        <w:t>ČLÁNEK 3 – MAXIMÁLNÍ VÝŠE A FORMA GRANTU</w:t>
      </w:r>
    </w:p>
    <w:p>
      <w:pPr>
        <w:pStyle w:val="BodyText"/>
        <w:spacing w:before="7"/>
        <w:rPr>
          <w:b/>
          <w:sz w:val="20"/>
        </w:rPr>
      </w:pPr>
    </w:p>
    <w:p>
      <w:pPr>
        <w:pStyle w:val="ListParagraph"/>
        <w:numPr>
          <w:ilvl w:val="1"/>
          <w:numId w:val="2"/>
        </w:numPr>
        <w:tabs>
          <w:tab w:pos="1162" w:val="left" w:leader="none"/>
        </w:tabs>
        <w:spacing w:line="240" w:lineRule="auto" w:before="0" w:after="0"/>
        <w:ind w:left="1161" w:right="0" w:hanging="421"/>
        <w:jc w:val="left"/>
        <w:rPr>
          <w:b/>
          <w:sz w:val="28"/>
        </w:rPr>
      </w:pPr>
      <w:r>
        <w:rPr>
          <w:b/>
          <w:sz w:val="28"/>
        </w:rPr>
        <w:t>Maximální výše grantu činí 33625</w:t>
      </w:r>
      <w:r>
        <w:rPr>
          <w:b/>
          <w:spacing w:val="1"/>
          <w:sz w:val="28"/>
        </w:rPr>
        <w:t> </w:t>
      </w:r>
      <w:r>
        <w:rPr>
          <w:b/>
          <w:sz w:val="28"/>
        </w:rPr>
        <w:t>EUR.</w:t>
      </w:r>
    </w:p>
    <w:p>
      <w:pPr>
        <w:pStyle w:val="ListParagraph"/>
        <w:numPr>
          <w:ilvl w:val="1"/>
          <w:numId w:val="2"/>
        </w:numPr>
        <w:tabs>
          <w:tab w:pos="1162" w:val="left" w:leader="none"/>
        </w:tabs>
        <w:spacing w:line="240" w:lineRule="auto" w:before="238" w:after="0"/>
        <w:ind w:left="1161" w:right="0" w:hanging="421"/>
        <w:jc w:val="left"/>
        <w:rPr>
          <w:b/>
          <w:sz w:val="28"/>
        </w:rPr>
      </w:pPr>
      <w:r>
        <w:rPr>
          <w:b/>
          <w:spacing w:val="-3"/>
          <w:sz w:val="28"/>
        </w:rPr>
        <w:t>Forma</w:t>
      </w:r>
      <w:r>
        <w:rPr>
          <w:b/>
          <w:sz w:val="28"/>
        </w:rPr>
        <w:t> grantu:</w:t>
      </w:r>
    </w:p>
    <w:p>
      <w:pPr>
        <w:pStyle w:val="BodyText"/>
        <w:spacing w:before="6"/>
        <w:rPr>
          <w:b/>
          <w:sz w:val="29"/>
        </w:rPr>
      </w:pPr>
    </w:p>
    <w:p>
      <w:pPr>
        <w:pStyle w:val="BodyText"/>
        <w:spacing w:line="235" w:lineRule="auto" w:before="1"/>
        <w:ind w:left="741" w:right="227"/>
        <w:jc w:val="both"/>
      </w:pPr>
      <w:r>
        <w:rPr/>
        <w:t>Grant pokrývá maximálně 70 % způsobilých nákladů na akci (dále jen „náhrada způsobilých nákladů“), jejichž výše se odhaduje na </w:t>
      </w:r>
      <w:r>
        <w:rPr>
          <w:b/>
        </w:rPr>
        <w:t>67250 EUR</w:t>
      </w:r>
      <w:r>
        <w:rPr/>
        <w:t>, a které partnerovi skutečně vzniknou (dále jen</w:t>
      </w:r>
    </w:p>
    <w:p>
      <w:pPr>
        <w:pStyle w:val="BodyText"/>
        <w:spacing w:before="5"/>
        <w:ind w:left="741"/>
        <w:jc w:val="both"/>
      </w:pPr>
      <w:r>
        <w:rPr/>
        <w:t>„náhrada skutečných nákladů).</w:t>
      </w:r>
    </w:p>
    <w:p>
      <w:pPr>
        <w:spacing w:after="0"/>
        <w:jc w:val="both"/>
        <w:sectPr>
          <w:pgSz w:w="12240" w:h="15840"/>
          <w:pgMar w:header="720" w:footer="765" w:top="1300" w:bottom="960" w:left="680" w:right="1020"/>
        </w:sectPr>
      </w:pPr>
    </w:p>
    <w:p>
      <w:pPr>
        <w:pStyle w:val="Heading2"/>
        <w:tabs>
          <w:tab w:pos="2020" w:val="left" w:leader="none"/>
          <w:tab w:pos="2402" w:val="left" w:leader="none"/>
          <w:tab w:pos="2782" w:val="left" w:leader="none"/>
          <w:tab w:pos="4351" w:val="left" w:leader="none"/>
          <w:tab w:pos="5504" w:val="left" w:leader="none"/>
          <w:tab w:pos="6834" w:val="left" w:leader="none"/>
          <w:tab w:pos="7283" w:val="left" w:leader="none"/>
          <w:tab w:pos="8512" w:val="left" w:leader="none"/>
          <w:tab w:pos="8952" w:val="left" w:leader="none"/>
        </w:tabs>
        <w:spacing w:line="235" w:lineRule="auto" w:before="94"/>
        <w:ind w:right="243"/>
      </w:pPr>
      <w:r>
        <w:rPr>
          <w:spacing w:val="-2"/>
        </w:rPr>
        <w:t>ČLÁNEK</w:t>
        <w:tab/>
      </w:r>
      <w:r>
        <w:rPr/>
        <w:t>4</w:t>
        <w:tab/>
        <w:t>–</w:t>
        <w:tab/>
        <w:t>PODÁVÁNÍ</w:t>
        <w:tab/>
      </w:r>
      <w:r>
        <w:rPr>
          <w:spacing w:val="-4"/>
        </w:rPr>
        <w:t>ZPRÁV,</w:t>
        <w:tab/>
      </w:r>
      <w:r>
        <w:rPr/>
        <w:t>ŽÁDOSTI</w:t>
        <w:tab/>
        <w:t>O</w:t>
        <w:tab/>
        <w:t>PLATBU</w:t>
        <w:tab/>
        <w:t>A</w:t>
        <w:tab/>
      </w:r>
      <w:r>
        <w:rPr>
          <w:spacing w:val="-3"/>
        </w:rPr>
        <w:t>PODPŮRNÁ </w:t>
      </w:r>
      <w:r>
        <w:rPr/>
        <w:t>DOKUMENTACE</w:t>
      </w:r>
    </w:p>
    <w:p>
      <w:pPr>
        <w:pStyle w:val="BodyText"/>
        <w:rPr>
          <w:b/>
          <w:sz w:val="26"/>
        </w:rPr>
      </w:pPr>
    </w:p>
    <w:p>
      <w:pPr>
        <w:pStyle w:val="BodyText"/>
        <w:spacing w:before="3"/>
        <w:rPr>
          <w:b/>
        </w:rPr>
      </w:pPr>
    </w:p>
    <w:p>
      <w:pPr>
        <w:pStyle w:val="ListParagraph"/>
        <w:numPr>
          <w:ilvl w:val="1"/>
          <w:numId w:val="3"/>
        </w:numPr>
        <w:tabs>
          <w:tab w:pos="1162" w:val="left" w:leader="none"/>
        </w:tabs>
        <w:spacing w:line="240" w:lineRule="auto" w:before="0" w:after="0"/>
        <w:ind w:left="1161" w:right="0" w:hanging="421"/>
        <w:jc w:val="left"/>
        <w:rPr>
          <w:b/>
          <w:sz w:val="28"/>
        </w:rPr>
      </w:pPr>
      <w:r>
        <w:rPr>
          <w:b/>
          <w:sz w:val="28"/>
        </w:rPr>
        <w:t>Vykazovaná</w:t>
      </w:r>
      <w:r>
        <w:rPr>
          <w:b/>
          <w:spacing w:val="-1"/>
          <w:sz w:val="28"/>
        </w:rPr>
        <w:t> </w:t>
      </w:r>
      <w:r>
        <w:rPr>
          <w:b/>
          <w:sz w:val="28"/>
        </w:rPr>
        <w:t>období</w:t>
      </w:r>
    </w:p>
    <w:p>
      <w:pPr>
        <w:pStyle w:val="BodyText"/>
        <w:spacing w:before="4"/>
        <w:rPr>
          <w:b/>
          <w:sz w:val="28"/>
        </w:rPr>
      </w:pPr>
    </w:p>
    <w:p>
      <w:pPr>
        <w:pStyle w:val="BodyText"/>
        <w:spacing w:line="244" w:lineRule="auto"/>
        <w:ind w:left="741" w:right="217"/>
      </w:pPr>
      <w:r>
        <w:rPr/>
        <w:t>Akce</w:t>
      </w:r>
      <w:r>
        <w:rPr>
          <w:spacing w:val="-9"/>
        </w:rPr>
        <w:t> </w:t>
      </w:r>
      <w:r>
        <w:rPr/>
        <w:t>bude</w:t>
      </w:r>
      <w:r>
        <w:rPr>
          <w:spacing w:val="-18"/>
        </w:rPr>
        <w:t> </w:t>
      </w:r>
      <w:r>
        <w:rPr>
          <w:spacing w:val="-5"/>
        </w:rPr>
        <w:t>mít</w:t>
      </w:r>
      <w:r>
        <w:rPr>
          <w:spacing w:val="-9"/>
        </w:rPr>
        <w:t> </w:t>
      </w:r>
      <w:r>
        <w:rPr/>
        <w:t>pouze</w:t>
      </w:r>
      <w:r>
        <w:rPr>
          <w:spacing w:val="-8"/>
        </w:rPr>
        <w:t> </w:t>
      </w:r>
      <w:r>
        <w:rPr/>
        <w:t>jedno</w:t>
      </w:r>
      <w:r>
        <w:rPr>
          <w:spacing w:val="-12"/>
        </w:rPr>
        <w:t> </w:t>
      </w:r>
      <w:r>
        <w:rPr/>
        <w:t>vykazované</w:t>
      </w:r>
      <w:r>
        <w:rPr>
          <w:spacing w:val="-9"/>
        </w:rPr>
        <w:t> </w:t>
      </w:r>
      <w:r>
        <w:rPr/>
        <w:t>období</w:t>
      </w:r>
      <w:r>
        <w:rPr>
          <w:spacing w:val="-18"/>
        </w:rPr>
        <w:t> </w:t>
      </w:r>
      <w:r>
        <w:rPr/>
        <w:t>stanovené</w:t>
      </w:r>
      <w:r>
        <w:rPr>
          <w:spacing w:val="-18"/>
        </w:rPr>
        <w:t> </w:t>
      </w:r>
      <w:r>
        <w:rPr/>
        <w:t>článkem</w:t>
      </w:r>
      <w:r>
        <w:rPr>
          <w:spacing w:val="-18"/>
        </w:rPr>
        <w:t> </w:t>
      </w:r>
      <w:r>
        <w:rPr/>
        <w:t>2.2,</w:t>
      </w:r>
      <w:r>
        <w:rPr>
          <w:spacing w:val="-13"/>
        </w:rPr>
        <w:t> </w:t>
      </w:r>
      <w:r>
        <w:rPr/>
        <w:t>s</w:t>
      </w:r>
      <w:r>
        <w:rPr>
          <w:spacing w:val="5"/>
        </w:rPr>
        <w:t> </w:t>
      </w:r>
      <w:r>
        <w:rPr/>
        <w:t>případnou</w:t>
      </w:r>
      <w:r>
        <w:rPr>
          <w:spacing w:val="-12"/>
        </w:rPr>
        <w:t> </w:t>
      </w:r>
      <w:r>
        <w:rPr/>
        <w:t>výhradou</w:t>
      </w:r>
      <w:r>
        <w:rPr>
          <w:spacing w:val="-22"/>
        </w:rPr>
        <w:t> </w:t>
      </w:r>
      <w:r>
        <w:rPr/>
        <w:t>článku 2.3.</w:t>
      </w:r>
    </w:p>
    <w:p>
      <w:pPr>
        <w:pStyle w:val="BodyText"/>
        <w:rPr>
          <w:sz w:val="26"/>
        </w:rPr>
      </w:pPr>
    </w:p>
    <w:p>
      <w:pPr>
        <w:pStyle w:val="Heading1"/>
        <w:numPr>
          <w:ilvl w:val="1"/>
          <w:numId w:val="3"/>
        </w:numPr>
        <w:tabs>
          <w:tab w:pos="1162" w:val="left" w:leader="none"/>
        </w:tabs>
        <w:spacing w:line="240" w:lineRule="auto" w:before="221" w:after="0"/>
        <w:ind w:left="1161" w:right="0" w:hanging="421"/>
        <w:jc w:val="left"/>
      </w:pPr>
      <w:r>
        <w:rPr/>
        <w:t>Žádost o platbu předběžného</w:t>
      </w:r>
      <w:r>
        <w:rPr>
          <w:spacing w:val="-2"/>
        </w:rPr>
        <w:t> </w:t>
      </w:r>
      <w:r>
        <w:rPr/>
        <w:t>financování</w:t>
      </w:r>
    </w:p>
    <w:p>
      <w:pPr>
        <w:pStyle w:val="BodyText"/>
        <w:spacing w:before="8"/>
        <w:rPr>
          <w:b/>
          <w:sz w:val="28"/>
        </w:rPr>
      </w:pPr>
    </w:p>
    <w:p>
      <w:pPr>
        <w:pStyle w:val="BodyText"/>
        <w:spacing w:line="235" w:lineRule="auto" w:before="1"/>
        <w:ind w:left="741"/>
      </w:pPr>
      <w:r>
        <w:rPr/>
        <w:t>Žádost o platbu předběžného financování musí partner předložit do 60 kalendářních dnů od data zahájení akce uvedeného v článku 2.2.</w:t>
      </w:r>
    </w:p>
    <w:p>
      <w:pPr>
        <w:pStyle w:val="BodyText"/>
        <w:spacing w:before="6"/>
        <w:rPr>
          <w:sz w:val="21"/>
        </w:rPr>
      </w:pPr>
    </w:p>
    <w:p>
      <w:pPr>
        <w:pStyle w:val="Heading1"/>
        <w:numPr>
          <w:ilvl w:val="1"/>
          <w:numId w:val="3"/>
        </w:numPr>
        <w:tabs>
          <w:tab w:pos="1162" w:val="left" w:leader="none"/>
        </w:tabs>
        <w:spacing w:line="240" w:lineRule="auto" w:before="0" w:after="0"/>
        <w:ind w:left="1161" w:right="0" w:hanging="421"/>
        <w:jc w:val="left"/>
      </w:pPr>
      <w:r>
        <w:rPr/>
        <w:t>Žádost o průběžnou platbu/průběžné platby – neuplatňuje</w:t>
      </w:r>
      <w:r>
        <w:rPr>
          <w:spacing w:val="-6"/>
        </w:rPr>
        <w:t> </w:t>
      </w:r>
      <w:r>
        <w:rPr/>
        <w:t>se</w:t>
      </w:r>
    </w:p>
    <w:p>
      <w:pPr>
        <w:pStyle w:val="ListParagraph"/>
        <w:numPr>
          <w:ilvl w:val="1"/>
          <w:numId w:val="3"/>
        </w:numPr>
        <w:tabs>
          <w:tab w:pos="1162" w:val="left" w:leader="none"/>
        </w:tabs>
        <w:spacing w:line="240" w:lineRule="auto" w:before="238" w:after="0"/>
        <w:ind w:left="1161" w:right="0" w:hanging="421"/>
        <w:jc w:val="left"/>
        <w:rPr>
          <w:b/>
          <w:sz w:val="28"/>
        </w:rPr>
      </w:pPr>
      <w:r>
        <w:rPr>
          <w:b/>
          <w:sz w:val="28"/>
        </w:rPr>
        <w:t>Žádost o platbu zůstatku a podpůrná</w:t>
      </w:r>
      <w:r>
        <w:rPr>
          <w:b/>
          <w:spacing w:val="1"/>
          <w:sz w:val="28"/>
        </w:rPr>
        <w:t> </w:t>
      </w:r>
      <w:r>
        <w:rPr>
          <w:b/>
          <w:spacing w:val="-3"/>
          <w:sz w:val="28"/>
        </w:rPr>
        <w:t>dokumentace</w:t>
      </w:r>
    </w:p>
    <w:p>
      <w:pPr>
        <w:pStyle w:val="BodyText"/>
        <w:spacing w:before="2"/>
        <w:rPr>
          <w:b/>
          <w:sz w:val="29"/>
        </w:rPr>
      </w:pPr>
    </w:p>
    <w:p>
      <w:pPr>
        <w:pStyle w:val="BodyText"/>
        <w:spacing w:line="244" w:lineRule="auto"/>
        <w:ind w:left="741" w:right="574"/>
      </w:pPr>
      <w:r>
        <w:rPr/>
        <w:t>Partner musí předložit žádost o platbu zůstatku do 60 kalendářních dnů od konce vykazovaného období.</w:t>
      </w:r>
    </w:p>
    <w:p>
      <w:pPr>
        <w:pStyle w:val="BodyText"/>
        <w:spacing w:line="264" w:lineRule="exact"/>
        <w:ind w:left="741"/>
      </w:pPr>
      <w:r>
        <w:rPr/>
        <w:t>Tato žádost musí obsahovat následující dokumentaci:</w:t>
      </w:r>
    </w:p>
    <w:p>
      <w:pPr>
        <w:pStyle w:val="BodyText"/>
        <w:spacing w:before="2"/>
        <w:rPr>
          <w:sz w:val="25"/>
        </w:rPr>
      </w:pPr>
    </w:p>
    <w:p>
      <w:pPr>
        <w:pStyle w:val="ListParagraph"/>
        <w:numPr>
          <w:ilvl w:val="2"/>
          <w:numId w:val="3"/>
        </w:numPr>
        <w:tabs>
          <w:tab w:pos="1462" w:val="left" w:leader="none"/>
        </w:tabs>
        <w:spacing w:line="235" w:lineRule="auto" w:before="0" w:after="0"/>
        <w:ind w:left="1461" w:right="234" w:hanging="361"/>
        <w:jc w:val="both"/>
        <w:rPr>
          <w:sz w:val="24"/>
        </w:rPr>
      </w:pPr>
      <w:r>
        <w:rPr>
          <w:sz w:val="24"/>
        </w:rPr>
        <w:t>závěrečnou zprávu o provádění akce (dále jen „závěrečná technická zpráva“) vypracovanou v souladu s přílohou </w:t>
      </w:r>
      <w:r>
        <w:rPr>
          <w:spacing w:val="4"/>
          <w:sz w:val="24"/>
        </w:rPr>
        <w:t>IV </w:t>
      </w:r>
      <w:r>
        <w:rPr>
          <w:sz w:val="24"/>
        </w:rPr>
        <w:t>rámcové smlouvy, která</w:t>
      </w:r>
      <w:r>
        <w:rPr>
          <w:spacing w:val="-8"/>
          <w:sz w:val="24"/>
        </w:rPr>
        <w:t> </w:t>
      </w:r>
      <w:r>
        <w:rPr>
          <w:sz w:val="24"/>
        </w:rPr>
        <w:t>obsahuje:</w:t>
      </w:r>
    </w:p>
    <w:p>
      <w:pPr>
        <w:pStyle w:val="BodyText"/>
        <w:spacing w:before="2"/>
        <w:rPr>
          <w:sz w:val="25"/>
        </w:rPr>
      </w:pPr>
    </w:p>
    <w:p>
      <w:pPr>
        <w:pStyle w:val="ListParagraph"/>
        <w:numPr>
          <w:ilvl w:val="3"/>
          <w:numId w:val="3"/>
        </w:numPr>
        <w:tabs>
          <w:tab w:pos="1962" w:val="left" w:leader="none"/>
        </w:tabs>
        <w:spacing w:line="235" w:lineRule="auto" w:before="0" w:after="0"/>
        <w:ind w:left="2032" w:right="508" w:hanging="360"/>
        <w:jc w:val="left"/>
        <w:rPr>
          <w:sz w:val="24"/>
        </w:rPr>
      </w:pPr>
      <w:r>
        <w:rPr>
          <w:sz w:val="24"/>
        </w:rPr>
        <w:t>informace odůvodňující deklarované způsobilé náklady nebo příspěvek</w:t>
      </w:r>
      <w:r>
        <w:rPr>
          <w:spacing w:val="-12"/>
          <w:sz w:val="24"/>
        </w:rPr>
        <w:t> </w:t>
      </w:r>
      <w:r>
        <w:rPr>
          <w:sz w:val="24"/>
        </w:rPr>
        <w:t>požadovaný na základě jednotkových nákladů a paušálních částek (viz článek</w:t>
      </w:r>
      <w:r>
        <w:rPr>
          <w:spacing w:val="-2"/>
          <w:sz w:val="24"/>
        </w:rPr>
        <w:t> </w:t>
      </w:r>
      <w:r>
        <w:rPr>
          <w:sz w:val="24"/>
        </w:rPr>
        <w:t>3.2);</w:t>
      </w:r>
    </w:p>
    <w:p>
      <w:pPr>
        <w:pStyle w:val="ListParagraph"/>
        <w:numPr>
          <w:ilvl w:val="3"/>
          <w:numId w:val="3"/>
        </w:numPr>
        <w:tabs>
          <w:tab w:pos="2032" w:val="left" w:leader="none"/>
        </w:tabs>
        <w:spacing w:line="240" w:lineRule="auto" w:before="5" w:after="0"/>
        <w:ind w:left="2032" w:right="0" w:hanging="360"/>
        <w:jc w:val="left"/>
        <w:rPr>
          <w:sz w:val="24"/>
        </w:rPr>
      </w:pPr>
      <w:r>
        <w:rPr>
          <w:sz w:val="24"/>
        </w:rPr>
        <w:t>informace o subdodávkách </w:t>
      </w:r>
      <w:r>
        <w:rPr>
          <w:spacing w:val="-3"/>
          <w:sz w:val="24"/>
        </w:rPr>
        <w:t>viz </w:t>
      </w:r>
      <w:r>
        <w:rPr>
          <w:sz w:val="24"/>
        </w:rPr>
        <w:t>článek II.11.1(d)(ii) rámcové</w:t>
      </w:r>
      <w:r>
        <w:rPr>
          <w:spacing w:val="-1"/>
          <w:sz w:val="24"/>
        </w:rPr>
        <w:t> </w:t>
      </w:r>
      <w:r>
        <w:rPr>
          <w:sz w:val="24"/>
        </w:rPr>
        <w:t>smlouvy;</w:t>
      </w:r>
    </w:p>
    <w:p>
      <w:pPr>
        <w:pStyle w:val="BodyText"/>
        <w:spacing w:before="8"/>
      </w:pPr>
    </w:p>
    <w:p>
      <w:pPr>
        <w:pStyle w:val="ListParagraph"/>
        <w:numPr>
          <w:ilvl w:val="2"/>
          <w:numId w:val="3"/>
        </w:numPr>
        <w:tabs>
          <w:tab w:pos="1462" w:val="left" w:leader="none"/>
        </w:tabs>
        <w:spacing w:line="240" w:lineRule="auto" w:before="0" w:after="0"/>
        <w:ind w:left="1461" w:right="217" w:hanging="361"/>
        <w:jc w:val="both"/>
        <w:rPr>
          <w:sz w:val="24"/>
        </w:rPr>
      </w:pPr>
      <w:r>
        <w:rPr>
          <w:sz w:val="24"/>
        </w:rPr>
        <w:t>závěrečnou finanční zprávu (dále jen „závěrečná finanční zpráva“). Závěrečná finanční zpráva musí obsahovat závěrečný konsolidovaný finanční </w:t>
      </w:r>
      <w:r>
        <w:rPr>
          <w:spacing w:val="2"/>
          <w:sz w:val="24"/>
        </w:rPr>
        <w:t>výkaz </w:t>
      </w:r>
      <w:r>
        <w:rPr>
          <w:sz w:val="24"/>
        </w:rPr>
        <w:t>a rozpis částek nárokovaných partnerem a jeho přidruženými</w:t>
      </w:r>
      <w:r>
        <w:rPr>
          <w:spacing w:val="-2"/>
          <w:sz w:val="24"/>
        </w:rPr>
        <w:t> </w:t>
      </w:r>
      <w:r>
        <w:rPr>
          <w:sz w:val="24"/>
        </w:rPr>
        <w:t>subjekty.</w:t>
      </w:r>
    </w:p>
    <w:p>
      <w:pPr>
        <w:pStyle w:val="BodyText"/>
        <w:spacing w:before="8"/>
        <w:rPr>
          <w:sz w:val="23"/>
        </w:rPr>
      </w:pPr>
    </w:p>
    <w:p>
      <w:pPr>
        <w:pStyle w:val="BodyText"/>
        <w:spacing w:before="1"/>
        <w:ind w:left="741" w:right="225"/>
        <w:jc w:val="both"/>
      </w:pPr>
      <w:r>
        <w:rPr/>
        <w:t>Závěrečná finanční zpráva </w:t>
      </w:r>
      <w:r>
        <w:rPr>
          <w:spacing w:val="-3"/>
        </w:rPr>
        <w:t>musí </w:t>
      </w:r>
      <w:r>
        <w:rPr/>
        <w:t>být vypracována v souladu se strukturou předběžného rozpočtu uvedeného v </w:t>
      </w:r>
      <w:r>
        <w:rPr>
          <w:spacing w:val="-3"/>
        </w:rPr>
        <w:t>příloze </w:t>
      </w:r>
      <w:r>
        <w:rPr/>
        <w:t>II zvláštní dohody a v souladu s přílohou V rámcové </w:t>
      </w:r>
      <w:r>
        <w:rPr>
          <w:spacing w:val="-3"/>
        </w:rPr>
        <w:t>smlouvy </w:t>
      </w:r>
      <w:r>
        <w:rPr/>
        <w:t>a musí podrobně uvádět částky pro každou z forem grantu stanovených článkem 3.2 pro vykazované období;</w:t>
      </w:r>
    </w:p>
    <w:p>
      <w:pPr>
        <w:pStyle w:val="BodyText"/>
        <w:spacing w:before="6"/>
      </w:pPr>
    </w:p>
    <w:p>
      <w:pPr>
        <w:pStyle w:val="ListParagraph"/>
        <w:numPr>
          <w:ilvl w:val="2"/>
          <w:numId w:val="3"/>
        </w:numPr>
        <w:tabs>
          <w:tab w:pos="1462" w:val="left" w:leader="none"/>
        </w:tabs>
        <w:spacing w:line="240" w:lineRule="auto" w:before="0" w:after="0"/>
        <w:ind w:left="1461" w:right="0" w:hanging="361"/>
        <w:jc w:val="left"/>
        <w:rPr>
          <w:sz w:val="24"/>
        </w:rPr>
      </w:pPr>
      <w:r>
        <w:rPr>
          <w:sz w:val="24"/>
        </w:rPr>
        <w:t>souhrnný finanční výkaz (dále jen „souhrnný finanční</w:t>
      </w:r>
      <w:r>
        <w:rPr>
          <w:spacing w:val="-17"/>
          <w:sz w:val="24"/>
        </w:rPr>
        <w:t> </w:t>
      </w:r>
      <w:r>
        <w:rPr>
          <w:spacing w:val="2"/>
          <w:sz w:val="24"/>
        </w:rPr>
        <w:t>výkaz“).</w:t>
      </w:r>
    </w:p>
    <w:p>
      <w:pPr>
        <w:pStyle w:val="BodyText"/>
        <w:spacing w:before="10"/>
        <w:rPr>
          <w:sz w:val="23"/>
        </w:rPr>
      </w:pPr>
    </w:p>
    <w:p>
      <w:pPr>
        <w:pStyle w:val="BodyText"/>
        <w:ind w:left="1311" w:right="231"/>
        <w:jc w:val="both"/>
      </w:pPr>
      <w:r>
        <w:rPr/>
        <w:t>Tento</w:t>
      </w:r>
      <w:r>
        <w:rPr>
          <w:spacing w:val="-12"/>
        </w:rPr>
        <w:t> </w:t>
      </w:r>
      <w:r>
        <w:rPr/>
        <w:t>výkaz</w:t>
      </w:r>
      <w:r>
        <w:rPr>
          <w:spacing w:val="-18"/>
        </w:rPr>
        <w:t> </w:t>
      </w:r>
      <w:r>
        <w:rPr>
          <w:spacing w:val="-3"/>
        </w:rPr>
        <w:t>musí</w:t>
      </w:r>
      <w:r>
        <w:rPr>
          <w:spacing w:val="-18"/>
        </w:rPr>
        <w:t> </w:t>
      </w:r>
      <w:r>
        <w:rPr/>
        <w:t>obsahovat</w:t>
      </w:r>
      <w:r>
        <w:rPr>
          <w:spacing w:val="-8"/>
        </w:rPr>
        <w:t> </w:t>
      </w:r>
      <w:r>
        <w:rPr/>
        <w:t>konsolidovaný</w:t>
      </w:r>
      <w:r>
        <w:rPr>
          <w:spacing w:val="-12"/>
        </w:rPr>
        <w:t> </w:t>
      </w:r>
      <w:r>
        <w:rPr/>
        <w:t>finanční</w:t>
      </w:r>
      <w:r>
        <w:rPr>
          <w:spacing w:val="-17"/>
        </w:rPr>
        <w:t> </w:t>
      </w:r>
      <w:r>
        <w:rPr/>
        <w:t>výkaz</w:t>
      </w:r>
      <w:r>
        <w:rPr>
          <w:spacing w:val="-18"/>
        </w:rPr>
        <w:t> </w:t>
      </w:r>
      <w:r>
        <w:rPr/>
        <w:t>a</w:t>
      </w:r>
      <w:r>
        <w:rPr>
          <w:spacing w:val="-8"/>
        </w:rPr>
        <w:t> </w:t>
      </w:r>
      <w:r>
        <w:rPr/>
        <w:t>rozpis</w:t>
      </w:r>
      <w:r>
        <w:rPr>
          <w:spacing w:val="-15"/>
        </w:rPr>
        <w:t> </w:t>
      </w:r>
      <w:r>
        <w:rPr/>
        <w:t>částek</w:t>
      </w:r>
      <w:r>
        <w:rPr>
          <w:spacing w:val="-12"/>
        </w:rPr>
        <w:t> </w:t>
      </w:r>
      <w:r>
        <w:rPr/>
        <w:t>vykazovaných</w:t>
      </w:r>
      <w:r>
        <w:rPr>
          <w:spacing w:val="-21"/>
        </w:rPr>
        <w:t> </w:t>
      </w:r>
      <w:r>
        <w:rPr/>
        <w:t>nebo požadovaných partnerem a jeho přidruženými subjekty, a to souhrnem již předložených finančních výkazů a označených účtenek, jak stanoví článek II.25.3 rámcové smlouvy pro partnera a jeho přidružené</w:t>
      </w:r>
      <w:r>
        <w:rPr>
          <w:spacing w:val="-2"/>
        </w:rPr>
        <w:t> </w:t>
      </w:r>
      <w:r>
        <w:rPr/>
        <w:t>subjekty.</w:t>
      </w:r>
    </w:p>
    <w:p>
      <w:pPr>
        <w:spacing w:after="0"/>
        <w:jc w:val="both"/>
        <w:sectPr>
          <w:pgSz w:w="12240" w:h="15840"/>
          <w:pgMar w:header="720" w:footer="765" w:top="1300" w:bottom="960" w:left="680" w:right="1020"/>
        </w:sectPr>
      </w:pPr>
    </w:p>
    <w:p>
      <w:pPr>
        <w:pStyle w:val="BodyText"/>
        <w:spacing w:before="80"/>
        <w:ind w:left="1281"/>
      </w:pPr>
      <w:r>
        <w:rPr/>
        <w:t>Souhrnný finanční výkaz musí být vypracován v souladu s přílohou V rámcové smlouvy;</w:t>
      </w:r>
    </w:p>
    <w:p>
      <w:pPr>
        <w:pStyle w:val="BodyText"/>
        <w:spacing w:before="9"/>
        <w:rPr>
          <w:sz w:val="23"/>
        </w:rPr>
      </w:pPr>
    </w:p>
    <w:p>
      <w:pPr>
        <w:pStyle w:val="ListParagraph"/>
        <w:numPr>
          <w:ilvl w:val="2"/>
          <w:numId w:val="3"/>
        </w:numPr>
        <w:tabs>
          <w:tab w:pos="1462" w:val="left" w:leader="none"/>
        </w:tabs>
        <w:spacing w:line="242" w:lineRule="auto" w:before="1" w:after="0"/>
        <w:ind w:left="1461" w:right="364" w:hanging="361"/>
        <w:jc w:val="left"/>
        <w:rPr>
          <w:sz w:val="24"/>
        </w:rPr>
      </w:pPr>
      <w:r>
        <w:rPr>
          <w:sz w:val="24"/>
        </w:rPr>
        <w:t>osvědčení o finančních výkazech a podkladových účtech (dále jen „osvědčení o</w:t>
      </w:r>
      <w:r>
        <w:rPr>
          <w:spacing w:val="-21"/>
          <w:sz w:val="24"/>
        </w:rPr>
        <w:t> </w:t>
      </w:r>
      <w:r>
        <w:rPr>
          <w:sz w:val="24"/>
        </w:rPr>
        <w:t>finančních výkazech“)</w:t>
      </w:r>
    </w:p>
    <w:p>
      <w:pPr>
        <w:pStyle w:val="BodyText"/>
        <w:spacing w:before="8"/>
        <w:rPr>
          <w:sz w:val="23"/>
        </w:rPr>
      </w:pPr>
    </w:p>
    <w:p>
      <w:pPr>
        <w:pStyle w:val="BodyText"/>
        <w:spacing w:line="242" w:lineRule="auto"/>
        <w:ind w:left="741" w:right="227"/>
        <w:jc w:val="both"/>
      </w:pPr>
      <w:r>
        <w:rPr/>
        <w:t>Toto</w:t>
      </w:r>
      <w:r>
        <w:rPr>
          <w:spacing w:val="-13"/>
        </w:rPr>
        <w:t> </w:t>
      </w:r>
      <w:r>
        <w:rPr/>
        <w:t>osvědčení</w:t>
      </w:r>
      <w:r>
        <w:rPr>
          <w:spacing w:val="-18"/>
        </w:rPr>
        <w:t> </w:t>
      </w:r>
      <w:r>
        <w:rPr>
          <w:spacing w:val="-3"/>
        </w:rPr>
        <w:t>musí</w:t>
      </w:r>
      <w:r>
        <w:rPr>
          <w:spacing w:val="-18"/>
        </w:rPr>
        <w:t> </w:t>
      </w:r>
      <w:r>
        <w:rPr/>
        <w:t>být</w:t>
      </w:r>
      <w:r>
        <w:rPr>
          <w:spacing w:val="-5"/>
        </w:rPr>
        <w:t> </w:t>
      </w:r>
      <w:r>
        <w:rPr/>
        <w:t>vydáno</w:t>
      </w:r>
      <w:r>
        <w:rPr>
          <w:spacing w:val="-12"/>
        </w:rPr>
        <w:t> </w:t>
      </w:r>
      <w:r>
        <w:rPr/>
        <w:t>schváleným</w:t>
      </w:r>
      <w:r>
        <w:rPr>
          <w:spacing w:val="-18"/>
        </w:rPr>
        <w:t> </w:t>
      </w:r>
      <w:r>
        <w:rPr/>
        <w:t>auditorem</w:t>
      </w:r>
      <w:r>
        <w:rPr>
          <w:spacing w:val="-18"/>
        </w:rPr>
        <w:t> </w:t>
      </w:r>
      <w:r>
        <w:rPr/>
        <w:t>nebo</w:t>
      </w:r>
      <w:r>
        <w:rPr>
          <w:spacing w:val="-12"/>
        </w:rPr>
        <w:t> </w:t>
      </w:r>
      <w:r>
        <w:rPr/>
        <w:t>v</w:t>
      </w:r>
      <w:r>
        <w:rPr>
          <w:spacing w:val="3"/>
        </w:rPr>
        <w:t> </w:t>
      </w:r>
      <w:r>
        <w:rPr/>
        <w:t>případě</w:t>
      </w:r>
      <w:r>
        <w:rPr>
          <w:spacing w:val="-18"/>
        </w:rPr>
        <w:t> </w:t>
      </w:r>
      <w:r>
        <w:rPr/>
        <w:t>veřejných</w:t>
      </w:r>
      <w:r>
        <w:rPr>
          <w:spacing w:val="-12"/>
        </w:rPr>
        <w:t> </w:t>
      </w:r>
      <w:r>
        <w:rPr/>
        <w:t>orgánů</w:t>
      </w:r>
      <w:r>
        <w:rPr>
          <w:spacing w:val="-12"/>
        </w:rPr>
        <w:t> </w:t>
      </w:r>
      <w:r>
        <w:rPr/>
        <w:t>příslušným nezávislým veřejnoprávním činitelem a vypracováno v souladu s přílohou VI rámcové</w:t>
      </w:r>
      <w:r>
        <w:rPr>
          <w:spacing w:val="-15"/>
        </w:rPr>
        <w:t> </w:t>
      </w:r>
      <w:r>
        <w:rPr/>
        <w:t>smlouvy.</w:t>
      </w:r>
    </w:p>
    <w:p>
      <w:pPr>
        <w:pStyle w:val="BodyText"/>
        <w:spacing w:before="8"/>
        <w:rPr>
          <w:sz w:val="23"/>
        </w:rPr>
      </w:pPr>
    </w:p>
    <w:p>
      <w:pPr>
        <w:pStyle w:val="BodyText"/>
        <w:spacing w:before="1"/>
        <w:ind w:left="741" w:right="228"/>
        <w:jc w:val="both"/>
      </w:pPr>
      <w:r>
        <w:rPr/>
        <w:t>Osvědčení musí potvrzovat, že náklady vykázané v závěrečné finanční zprávě partnerem nebo jeho přidruženými subjekty jako druh nákladů hrazených v souladu s článkem 3.2 jsou skutečné, přesně zdokumentované a způsobilé v souladu se zvláštní dohodou a rámcovou smlouvou.</w:t>
      </w:r>
    </w:p>
    <w:p>
      <w:pPr>
        <w:pStyle w:val="BodyText"/>
        <w:spacing w:before="8"/>
        <w:rPr>
          <w:sz w:val="23"/>
        </w:rPr>
      </w:pPr>
    </w:p>
    <w:p>
      <w:pPr>
        <w:pStyle w:val="BodyText"/>
        <w:spacing w:line="244" w:lineRule="auto"/>
        <w:ind w:left="741" w:right="241"/>
        <w:jc w:val="both"/>
      </w:pPr>
      <w:r>
        <w:rPr/>
        <w:t>Dále</w:t>
      </w:r>
      <w:r>
        <w:rPr>
          <w:spacing w:val="-7"/>
        </w:rPr>
        <w:t> </w:t>
      </w:r>
      <w:r>
        <w:rPr/>
        <w:t>musí</w:t>
      </w:r>
      <w:r>
        <w:rPr>
          <w:spacing w:val="-17"/>
        </w:rPr>
        <w:t> </w:t>
      </w:r>
      <w:r>
        <w:rPr/>
        <w:t>osvědčení</w:t>
      </w:r>
      <w:r>
        <w:rPr>
          <w:spacing w:val="-17"/>
        </w:rPr>
        <w:t> </w:t>
      </w:r>
      <w:r>
        <w:rPr/>
        <w:t>potvrzovat,</w:t>
      </w:r>
      <w:r>
        <w:rPr>
          <w:spacing w:val="-11"/>
        </w:rPr>
        <w:t> </w:t>
      </w:r>
      <w:r>
        <w:rPr>
          <w:spacing w:val="-4"/>
        </w:rPr>
        <w:t>že</w:t>
      </w:r>
      <w:r>
        <w:rPr>
          <w:spacing w:val="-7"/>
        </w:rPr>
        <w:t> </w:t>
      </w:r>
      <w:r>
        <w:rPr/>
        <w:t>všechny</w:t>
      </w:r>
      <w:r>
        <w:rPr>
          <w:spacing w:val="-11"/>
        </w:rPr>
        <w:t> </w:t>
      </w:r>
      <w:r>
        <w:rPr/>
        <w:t>příjmy</w:t>
      </w:r>
      <w:r>
        <w:rPr>
          <w:spacing w:val="-11"/>
        </w:rPr>
        <w:t> </w:t>
      </w:r>
      <w:r>
        <w:rPr/>
        <w:t>uvedené</w:t>
      </w:r>
      <w:r>
        <w:rPr>
          <w:spacing w:val="-7"/>
        </w:rPr>
        <w:t> </w:t>
      </w:r>
      <w:r>
        <w:rPr/>
        <w:t>v</w:t>
      </w:r>
      <w:r>
        <w:rPr>
          <w:spacing w:val="10"/>
        </w:rPr>
        <w:t> </w:t>
      </w:r>
      <w:r>
        <w:rPr/>
        <w:t>článku</w:t>
      </w:r>
      <w:r>
        <w:rPr>
          <w:spacing w:val="-11"/>
        </w:rPr>
        <w:t> </w:t>
      </w:r>
      <w:r>
        <w:rPr/>
        <w:t>II.25.3</w:t>
      </w:r>
      <w:r>
        <w:rPr>
          <w:spacing w:val="-10"/>
        </w:rPr>
        <w:t> </w:t>
      </w:r>
      <w:r>
        <w:rPr/>
        <w:t>rámcové</w:t>
      </w:r>
      <w:r>
        <w:rPr>
          <w:spacing w:val="-7"/>
        </w:rPr>
        <w:t> </w:t>
      </w:r>
      <w:r>
        <w:rPr/>
        <w:t>smlouvy</w:t>
      </w:r>
      <w:r>
        <w:rPr>
          <w:spacing w:val="-11"/>
        </w:rPr>
        <w:t> </w:t>
      </w:r>
      <w:r>
        <w:rPr/>
        <w:t>byly vykázané.</w:t>
      </w:r>
    </w:p>
    <w:p>
      <w:pPr>
        <w:pStyle w:val="BodyText"/>
        <w:spacing w:before="2"/>
        <w:rPr>
          <w:sz w:val="23"/>
        </w:rPr>
      </w:pPr>
    </w:p>
    <w:p>
      <w:pPr>
        <w:pStyle w:val="BodyText"/>
        <w:spacing w:line="244" w:lineRule="auto" w:before="1"/>
        <w:ind w:left="741" w:right="240"/>
        <w:jc w:val="both"/>
      </w:pPr>
      <w:r>
        <w:rPr/>
        <w:t>Partner musí potvrdit, že informace uvedené v žádosti o platbu zůstatku jsou úplné, spolehlivé a pravdivé.</w:t>
      </w:r>
    </w:p>
    <w:p>
      <w:pPr>
        <w:pStyle w:val="BodyText"/>
        <w:spacing w:before="3"/>
        <w:rPr>
          <w:sz w:val="23"/>
        </w:rPr>
      </w:pPr>
    </w:p>
    <w:p>
      <w:pPr>
        <w:pStyle w:val="BodyText"/>
        <w:ind w:left="741" w:right="230"/>
        <w:jc w:val="both"/>
      </w:pPr>
      <w:r>
        <w:rPr/>
        <w:t>Partner </w:t>
      </w:r>
      <w:r>
        <w:rPr>
          <w:spacing w:val="-3"/>
        </w:rPr>
        <w:t>musí </w:t>
      </w:r>
      <w:r>
        <w:rPr/>
        <w:t>rovněž potvrdit, </w:t>
      </w:r>
      <w:r>
        <w:rPr>
          <w:spacing w:val="-4"/>
        </w:rPr>
        <w:t>že </w:t>
      </w:r>
      <w:r>
        <w:rPr/>
        <w:t>vzniklé náklady lze považovat </w:t>
      </w:r>
      <w:r>
        <w:rPr>
          <w:spacing w:val="-4"/>
        </w:rPr>
        <w:t>za </w:t>
      </w:r>
      <w:r>
        <w:rPr/>
        <w:t>způsobilé v souladu s rámcovou smlouvou</w:t>
      </w:r>
      <w:r>
        <w:rPr>
          <w:spacing w:val="-12"/>
        </w:rPr>
        <w:t> </w:t>
      </w:r>
      <w:r>
        <w:rPr/>
        <w:t>a</w:t>
      </w:r>
      <w:r>
        <w:rPr>
          <w:spacing w:val="-7"/>
        </w:rPr>
        <w:t> </w:t>
      </w:r>
      <w:r>
        <w:rPr/>
        <w:t>se</w:t>
      </w:r>
      <w:r>
        <w:rPr>
          <w:spacing w:val="2"/>
        </w:rPr>
        <w:t> </w:t>
      </w:r>
      <w:r>
        <w:rPr/>
        <w:t>zvláštní</w:t>
      </w:r>
      <w:r>
        <w:rPr>
          <w:spacing w:val="-14"/>
        </w:rPr>
        <w:t> </w:t>
      </w:r>
      <w:r>
        <w:rPr/>
        <w:t>dohodou,</w:t>
      </w:r>
      <w:r>
        <w:rPr>
          <w:spacing w:val="-12"/>
        </w:rPr>
        <w:t> </w:t>
      </w:r>
      <w:r>
        <w:rPr/>
        <w:t>a</w:t>
      </w:r>
      <w:r>
        <w:rPr>
          <w:spacing w:val="3"/>
        </w:rPr>
        <w:t> </w:t>
      </w:r>
      <w:r>
        <w:rPr>
          <w:spacing w:val="-4"/>
        </w:rPr>
        <w:t>že</w:t>
      </w:r>
      <w:r>
        <w:rPr>
          <w:spacing w:val="2"/>
        </w:rPr>
        <w:t> </w:t>
      </w:r>
      <w:r>
        <w:rPr/>
        <w:t>žádost</w:t>
      </w:r>
      <w:r>
        <w:rPr>
          <w:spacing w:val="-7"/>
        </w:rPr>
        <w:t> </w:t>
      </w:r>
      <w:r>
        <w:rPr/>
        <w:t>o</w:t>
      </w:r>
      <w:r>
        <w:rPr>
          <w:spacing w:val="-11"/>
        </w:rPr>
        <w:t> </w:t>
      </w:r>
      <w:r>
        <w:rPr/>
        <w:t>platbu</w:t>
      </w:r>
      <w:r>
        <w:rPr>
          <w:spacing w:val="-1"/>
        </w:rPr>
        <w:t> </w:t>
      </w:r>
      <w:r>
        <w:rPr>
          <w:spacing w:val="-4"/>
        </w:rPr>
        <w:t>je</w:t>
      </w:r>
      <w:r>
        <w:rPr>
          <w:spacing w:val="-7"/>
        </w:rPr>
        <w:t> </w:t>
      </w:r>
      <w:r>
        <w:rPr/>
        <w:t>podložena</w:t>
      </w:r>
      <w:r>
        <w:rPr>
          <w:spacing w:val="-8"/>
        </w:rPr>
        <w:t> </w:t>
      </w:r>
      <w:r>
        <w:rPr/>
        <w:t>odpovídající</w:t>
      </w:r>
      <w:r>
        <w:rPr>
          <w:spacing w:val="-17"/>
        </w:rPr>
        <w:t> </w:t>
      </w:r>
      <w:r>
        <w:rPr/>
        <w:t>dokumentací,</w:t>
      </w:r>
      <w:r>
        <w:rPr>
          <w:spacing w:val="-11"/>
        </w:rPr>
        <w:t> </w:t>
      </w:r>
      <w:r>
        <w:rPr/>
        <w:t>kterou </w:t>
      </w:r>
      <w:r>
        <w:rPr>
          <w:spacing w:val="-5"/>
        </w:rPr>
        <w:t>lze </w:t>
      </w:r>
      <w:r>
        <w:rPr/>
        <w:t>získat v rámci kontrol či auditů popsaných v článku II.27 rámcové</w:t>
      </w:r>
      <w:r>
        <w:rPr>
          <w:spacing w:val="-41"/>
        </w:rPr>
        <w:t> </w:t>
      </w:r>
      <w:r>
        <w:rPr>
          <w:spacing w:val="-3"/>
        </w:rPr>
        <w:t>smlouvy.</w:t>
      </w:r>
    </w:p>
    <w:p>
      <w:pPr>
        <w:pStyle w:val="BodyText"/>
        <w:spacing w:before="8"/>
        <w:rPr>
          <w:sz w:val="23"/>
        </w:rPr>
      </w:pPr>
    </w:p>
    <w:p>
      <w:pPr>
        <w:pStyle w:val="BodyText"/>
        <w:spacing w:line="242" w:lineRule="auto"/>
        <w:ind w:left="741" w:right="243"/>
        <w:jc w:val="both"/>
      </w:pPr>
      <w:r>
        <w:rPr/>
        <w:t>Dále musí partner potvrdit, že všechny příjmy uvedené v článku II.25.3 rámcové smlouvy byly vykázané.</w:t>
      </w:r>
    </w:p>
    <w:p>
      <w:pPr>
        <w:pStyle w:val="BodyText"/>
        <w:spacing w:before="4"/>
        <w:rPr>
          <w:sz w:val="21"/>
        </w:rPr>
      </w:pPr>
    </w:p>
    <w:p>
      <w:pPr>
        <w:pStyle w:val="Heading1"/>
        <w:numPr>
          <w:ilvl w:val="1"/>
          <w:numId w:val="3"/>
        </w:numPr>
        <w:tabs>
          <w:tab w:pos="1162" w:val="left" w:leader="none"/>
        </w:tabs>
        <w:spacing w:line="240" w:lineRule="auto" w:before="1" w:after="0"/>
        <w:ind w:left="1161" w:right="0" w:hanging="421"/>
        <w:jc w:val="left"/>
      </w:pPr>
      <w:r>
        <w:rPr/>
        <w:t>Informace o vzniklých kumulativních výdajích – Neuplatňuje</w:t>
      </w:r>
      <w:r>
        <w:rPr>
          <w:spacing w:val="3"/>
        </w:rPr>
        <w:t> </w:t>
      </w:r>
      <w:r>
        <w:rPr/>
        <w:t>se</w:t>
      </w:r>
    </w:p>
    <w:p>
      <w:pPr>
        <w:pStyle w:val="ListParagraph"/>
        <w:numPr>
          <w:ilvl w:val="1"/>
          <w:numId w:val="3"/>
        </w:numPr>
        <w:tabs>
          <w:tab w:pos="1281" w:val="left" w:leader="none"/>
          <w:tab w:pos="1282" w:val="left" w:leader="none"/>
        </w:tabs>
        <w:spacing w:line="240" w:lineRule="auto" w:before="238" w:after="0"/>
        <w:ind w:left="1281" w:right="0" w:hanging="541"/>
        <w:jc w:val="left"/>
        <w:rPr>
          <w:b/>
          <w:sz w:val="28"/>
        </w:rPr>
      </w:pPr>
      <w:r>
        <w:rPr>
          <w:b/>
          <w:sz w:val="28"/>
        </w:rPr>
        <w:t>Měna žádostí o </w:t>
      </w:r>
      <w:r>
        <w:rPr>
          <w:b/>
          <w:spacing w:val="3"/>
          <w:sz w:val="28"/>
        </w:rPr>
        <w:t>platbu </w:t>
      </w:r>
      <w:r>
        <w:rPr>
          <w:b/>
          <w:sz w:val="28"/>
        </w:rPr>
        <w:t>a finančních výkazů a </w:t>
      </w:r>
      <w:r>
        <w:rPr>
          <w:b/>
          <w:spacing w:val="4"/>
          <w:sz w:val="28"/>
        </w:rPr>
        <w:t>přepočet </w:t>
      </w:r>
      <w:r>
        <w:rPr>
          <w:b/>
          <w:spacing w:val="6"/>
          <w:sz w:val="28"/>
        </w:rPr>
        <w:t>na</w:t>
      </w:r>
      <w:r>
        <w:rPr>
          <w:b/>
          <w:spacing w:val="13"/>
          <w:sz w:val="28"/>
        </w:rPr>
        <w:t> </w:t>
      </w:r>
      <w:r>
        <w:rPr>
          <w:b/>
          <w:sz w:val="28"/>
        </w:rPr>
        <w:t>eura</w:t>
      </w:r>
    </w:p>
    <w:p>
      <w:pPr>
        <w:pStyle w:val="BodyText"/>
        <w:spacing w:before="2"/>
        <w:rPr>
          <w:b/>
          <w:sz w:val="29"/>
        </w:rPr>
      </w:pPr>
    </w:p>
    <w:p>
      <w:pPr>
        <w:pStyle w:val="BodyText"/>
        <w:spacing w:before="1"/>
        <w:ind w:left="741"/>
        <w:jc w:val="both"/>
      </w:pPr>
      <w:r>
        <w:rPr/>
        <w:t>Částky uváděné v žádostech o platbu a finančních výkazech musí být v eurech.</w:t>
      </w:r>
    </w:p>
    <w:p>
      <w:pPr>
        <w:spacing w:line="273" w:lineRule="auto" w:before="233"/>
        <w:ind w:left="741" w:right="224" w:firstLine="0"/>
        <w:jc w:val="both"/>
        <w:rPr>
          <w:sz w:val="23"/>
        </w:rPr>
      </w:pPr>
      <w:r>
        <w:rPr>
          <w:sz w:val="23"/>
        </w:rPr>
        <w:t>Jestliže</w:t>
      </w:r>
      <w:r>
        <w:rPr>
          <w:spacing w:val="-13"/>
          <w:sz w:val="23"/>
        </w:rPr>
        <w:t> </w:t>
      </w:r>
      <w:r>
        <w:rPr>
          <w:sz w:val="23"/>
        </w:rPr>
        <w:t>partner</w:t>
      </w:r>
      <w:r>
        <w:rPr>
          <w:spacing w:val="-8"/>
          <w:sz w:val="23"/>
        </w:rPr>
        <w:t> </w:t>
      </w:r>
      <w:r>
        <w:rPr>
          <w:sz w:val="23"/>
        </w:rPr>
        <w:t>a</w:t>
      </w:r>
      <w:r>
        <w:rPr>
          <w:spacing w:val="-13"/>
          <w:sz w:val="23"/>
        </w:rPr>
        <w:t> </w:t>
      </w:r>
      <w:r>
        <w:rPr>
          <w:sz w:val="23"/>
        </w:rPr>
        <w:t>jeho</w:t>
      </w:r>
      <w:r>
        <w:rPr>
          <w:spacing w:val="-15"/>
          <w:sz w:val="23"/>
        </w:rPr>
        <w:t> </w:t>
      </w:r>
      <w:r>
        <w:rPr>
          <w:sz w:val="23"/>
        </w:rPr>
        <w:t>přidružené</w:t>
      </w:r>
      <w:r>
        <w:rPr>
          <w:spacing w:val="-13"/>
          <w:sz w:val="23"/>
        </w:rPr>
        <w:t> </w:t>
      </w:r>
      <w:r>
        <w:rPr>
          <w:sz w:val="23"/>
        </w:rPr>
        <w:t>subjekty</w:t>
      </w:r>
      <w:r>
        <w:rPr>
          <w:spacing w:val="-15"/>
          <w:sz w:val="23"/>
        </w:rPr>
        <w:t> </w:t>
      </w:r>
      <w:r>
        <w:rPr>
          <w:sz w:val="23"/>
        </w:rPr>
        <w:t>vedou</w:t>
      </w:r>
      <w:r>
        <w:rPr>
          <w:spacing w:val="-6"/>
          <w:sz w:val="23"/>
        </w:rPr>
        <w:t> </w:t>
      </w:r>
      <w:r>
        <w:rPr>
          <w:sz w:val="23"/>
        </w:rPr>
        <w:t>své</w:t>
      </w:r>
      <w:r>
        <w:rPr>
          <w:spacing w:val="-13"/>
          <w:sz w:val="23"/>
        </w:rPr>
        <w:t> </w:t>
      </w:r>
      <w:r>
        <w:rPr>
          <w:sz w:val="23"/>
        </w:rPr>
        <w:t>účetnictví</w:t>
      </w:r>
      <w:r>
        <w:rPr>
          <w:spacing w:val="-14"/>
          <w:sz w:val="23"/>
        </w:rPr>
        <w:t> </w:t>
      </w:r>
      <w:r>
        <w:rPr>
          <w:sz w:val="23"/>
        </w:rPr>
        <w:t>v</w:t>
      </w:r>
      <w:r>
        <w:rPr>
          <w:spacing w:val="5"/>
          <w:sz w:val="23"/>
        </w:rPr>
        <w:t> </w:t>
      </w:r>
      <w:r>
        <w:rPr>
          <w:sz w:val="23"/>
        </w:rPr>
        <w:t>jiné</w:t>
      </w:r>
      <w:r>
        <w:rPr>
          <w:spacing w:val="-13"/>
          <w:sz w:val="23"/>
        </w:rPr>
        <w:t> </w:t>
      </w:r>
      <w:r>
        <w:rPr>
          <w:sz w:val="23"/>
        </w:rPr>
        <w:t>měně</w:t>
      </w:r>
      <w:r>
        <w:rPr>
          <w:spacing w:val="-22"/>
          <w:sz w:val="23"/>
        </w:rPr>
        <w:t> </w:t>
      </w:r>
      <w:r>
        <w:rPr>
          <w:sz w:val="23"/>
        </w:rPr>
        <w:t>než</w:t>
      </w:r>
      <w:r>
        <w:rPr>
          <w:spacing w:val="-22"/>
          <w:sz w:val="23"/>
        </w:rPr>
        <w:t> </w:t>
      </w:r>
      <w:r>
        <w:rPr>
          <w:sz w:val="23"/>
        </w:rPr>
        <w:t>v</w:t>
      </w:r>
      <w:r>
        <w:rPr>
          <w:spacing w:val="5"/>
          <w:sz w:val="23"/>
        </w:rPr>
        <w:t> </w:t>
      </w:r>
      <w:r>
        <w:rPr>
          <w:sz w:val="23"/>
        </w:rPr>
        <w:t>eurech,</w:t>
      </w:r>
      <w:r>
        <w:rPr>
          <w:spacing w:val="-18"/>
          <w:sz w:val="23"/>
        </w:rPr>
        <w:t> </w:t>
      </w:r>
      <w:r>
        <w:rPr>
          <w:sz w:val="23"/>
        </w:rPr>
        <w:t>musí</w:t>
      </w:r>
      <w:r>
        <w:rPr>
          <w:spacing w:val="-23"/>
          <w:sz w:val="23"/>
        </w:rPr>
        <w:t> </w:t>
      </w:r>
      <w:r>
        <w:rPr>
          <w:sz w:val="23"/>
        </w:rPr>
        <w:t>přepočítat náklady uvedené v </w:t>
      </w:r>
      <w:r>
        <w:rPr>
          <w:spacing w:val="-3"/>
          <w:sz w:val="23"/>
        </w:rPr>
        <w:t>jejich </w:t>
      </w:r>
      <w:r>
        <w:rPr>
          <w:sz w:val="23"/>
        </w:rPr>
        <w:t>účetních </w:t>
      </w:r>
      <w:r>
        <w:rPr>
          <w:spacing w:val="-4"/>
          <w:sz w:val="23"/>
        </w:rPr>
        <w:t>záznamech </w:t>
      </w:r>
      <w:r>
        <w:rPr>
          <w:sz w:val="23"/>
        </w:rPr>
        <w:t>na eura s </w:t>
      </w:r>
      <w:r>
        <w:rPr>
          <w:spacing w:val="-3"/>
          <w:sz w:val="23"/>
        </w:rPr>
        <w:t>použitím </w:t>
      </w:r>
      <w:r>
        <w:rPr>
          <w:sz w:val="23"/>
        </w:rPr>
        <w:t>průměru denních směnných </w:t>
      </w:r>
      <w:r>
        <w:rPr>
          <w:spacing w:val="-3"/>
          <w:sz w:val="23"/>
        </w:rPr>
        <w:t>kurzů </w:t>
      </w:r>
      <w:r>
        <w:rPr>
          <w:sz w:val="23"/>
        </w:rPr>
        <w:t>zveřejňovaných v řadě C Úředního věstníku Evropské unie (k </w:t>
      </w:r>
      <w:r>
        <w:rPr>
          <w:spacing w:val="-3"/>
          <w:sz w:val="23"/>
        </w:rPr>
        <w:t>dispozici </w:t>
      </w:r>
      <w:r>
        <w:rPr>
          <w:sz w:val="23"/>
        </w:rPr>
        <w:t>na adrese </w:t>
      </w:r>
      <w:hyperlink r:id="rId10">
        <w:r>
          <w:rPr>
            <w:color w:val="0000FF"/>
            <w:sz w:val="23"/>
            <w:u w:val="single" w:color="0000FF"/>
          </w:rPr>
          <w:t>http://www.ecb.europa.eu/stats/exchange/eurofxref/html/index.en.html</w:t>
        </w:r>
      </w:hyperlink>
      <w:r>
        <w:rPr>
          <w:sz w:val="23"/>
        </w:rPr>
        <w:t>) a na ReferNet Extranetu </w:t>
      </w:r>
      <w:r>
        <w:rPr>
          <w:spacing w:val="2"/>
          <w:sz w:val="23"/>
        </w:rPr>
        <w:t>pro </w:t>
      </w:r>
      <w:r>
        <w:rPr>
          <w:sz w:val="23"/>
        </w:rPr>
        <w:t>dané vykazované</w:t>
      </w:r>
      <w:r>
        <w:rPr>
          <w:spacing w:val="-11"/>
          <w:sz w:val="23"/>
        </w:rPr>
        <w:t> </w:t>
      </w:r>
      <w:r>
        <w:rPr>
          <w:sz w:val="23"/>
        </w:rPr>
        <w:t>období.</w:t>
      </w:r>
    </w:p>
    <w:p>
      <w:pPr>
        <w:pStyle w:val="BodyText"/>
        <w:spacing w:before="5"/>
        <w:rPr>
          <w:sz w:val="19"/>
        </w:rPr>
      </w:pPr>
    </w:p>
    <w:p>
      <w:pPr>
        <w:pStyle w:val="BodyText"/>
        <w:spacing w:line="278" w:lineRule="auto"/>
        <w:ind w:left="741" w:right="234"/>
        <w:jc w:val="both"/>
      </w:pPr>
      <w:r>
        <w:rPr/>
        <w:t>Jestliže partner a jeho přidružené subjekty vedou své účetnictví v eurech, musí náklady v jiné měně přepočítat na eura v souladu se svou běžnou účetní praxí.</w:t>
      </w:r>
    </w:p>
    <w:p>
      <w:pPr>
        <w:spacing w:after="0" w:line="278" w:lineRule="auto"/>
        <w:jc w:val="both"/>
        <w:sectPr>
          <w:pgSz w:w="12240" w:h="15840"/>
          <w:pgMar w:header="720" w:footer="765" w:top="1300" w:bottom="960" w:left="680" w:right="1020"/>
        </w:sectPr>
      </w:pPr>
    </w:p>
    <w:p>
      <w:pPr>
        <w:pStyle w:val="Heading1"/>
        <w:numPr>
          <w:ilvl w:val="1"/>
          <w:numId w:val="3"/>
        </w:numPr>
        <w:tabs>
          <w:tab w:pos="1252" w:val="left" w:leader="none"/>
        </w:tabs>
        <w:spacing w:line="240" w:lineRule="auto" w:before="82" w:after="0"/>
        <w:ind w:left="1251" w:right="0" w:hanging="511"/>
        <w:jc w:val="left"/>
      </w:pPr>
      <w:r>
        <w:rPr>
          <w:spacing w:val="2"/>
        </w:rPr>
        <w:t>Jazyk </w:t>
      </w:r>
      <w:r>
        <w:rPr/>
        <w:t>žádostí o </w:t>
      </w:r>
      <w:r>
        <w:rPr>
          <w:spacing w:val="3"/>
        </w:rPr>
        <w:t>platbu, </w:t>
      </w:r>
      <w:r>
        <w:rPr>
          <w:spacing w:val="2"/>
        </w:rPr>
        <w:t>technických </w:t>
      </w:r>
      <w:r>
        <w:rPr/>
        <w:t>a finančních</w:t>
      </w:r>
      <w:r>
        <w:rPr>
          <w:spacing w:val="60"/>
        </w:rPr>
        <w:t> </w:t>
      </w:r>
      <w:r>
        <w:rPr>
          <w:spacing w:val="2"/>
        </w:rPr>
        <w:t>zpráv</w:t>
      </w:r>
    </w:p>
    <w:p>
      <w:pPr>
        <w:pStyle w:val="BodyText"/>
        <w:spacing w:before="4"/>
        <w:rPr>
          <w:b/>
          <w:sz w:val="28"/>
        </w:rPr>
      </w:pPr>
    </w:p>
    <w:p>
      <w:pPr>
        <w:pStyle w:val="BodyText"/>
        <w:spacing w:line="242" w:lineRule="auto"/>
        <w:ind w:left="741" w:right="113"/>
        <w:jc w:val="both"/>
      </w:pPr>
      <w:r>
        <w:rPr/>
        <w:t>Veškeré</w:t>
      </w:r>
      <w:r>
        <w:rPr>
          <w:spacing w:val="2"/>
        </w:rPr>
        <w:t> </w:t>
      </w:r>
      <w:r>
        <w:rPr/>
        <w:t>žádosti</w:t>
      </w:r>
      <w:r>
        <w:rPr>
          <w:spacing w:val="-17"/>
        </w:rPr>
        <w:t> </w:t>
      </w:r>
      <w:r>
        <w:rPr/>
        <w:t>o</w:t>
      </w:r>
      <w:r>
        <w:rPr>
          <w:spacing w:val="-1"/>
        </w:rPr>
        <w:t> </w:t>
      </w:r>
      <w:r>
        <w:rPr/>
        <w:t>platbu,</w:t>
      </w:r>
      <w:r>
        <w:rPr>
          <w:spacing w:val="-11"/>
        </w:rPr>
        <w:t> </w:t>
      </w:r>
      <w:r>
        <w:rPr/>
        <w:t>technické</w:t>
      </w:r>
      <w:r>
        <w:rPr>
          <w:spacing w:val="-7"/>
        </w:rPr>
        <w:t> </w:t>
      </w:r>
      <w:r>
        <w:rPr/>
        <w:t>a</w:t>
      </w:r>
      <w:r>
        <w:rPr>
          <w:spacing w:val="-7"/>
        </w:rPr>
        <w:t> </w:t>
      </w:r>
      <w:r>
        <w:rPr/>
        <w:t>finanční</w:t>
      </w:r>
      <w:r>
        <w:rPr>
          <w:spacing w:val="-7"/>
        </w:rPr>
        <w:t> </w:t>
      </w:r>
      <w:r>
        <w:rPr/>
        <w:t>zprávy</w:t>
      </w:r>
      <w:r>
        <w:rPr>
          <w:spacing w:val="-11"/>
        </w:rPr>
        <w:t> </w:t>
      </w:r>
      <w:r>
        <w:rPr/>
        <w:t>včetně</w:t>
      </w:r>
      <w:r>
        <w:rPr>
          <w:spacing w:val="-7"/>
        </w:rPr>
        <w:t> </w:t>
      </w:r>
      <w:r>
        <w:rPr/>
        <w:t>finančních</w:t>
      </w:r>
      <w:r>
        <w:rPr>
          <w:spacing w:val="-11"/>
        </w:rPr>
        <w:t> </w:t>
      </w:r>
      <w:r>
        <w:rPr/>
        <w:t>výkazů musí</w:t>
      </w:r>
      <w:r>
        <w:rPr>
          <w:spacing w:val="-17"/>
        </w:rPr>
        <w:t> </w:t>
      </w:r>
      <w:r>
        <w:rPr/>
        <w:t>být</w:t>
      </w:r>
      <w:r>
        <w:rPr>
          <w:spacing w:val="-7"/>
        </w:rPr>
        <w:t> </w:t>
      </w:r>
      <w:r>
        <w:rPr/>
        <w:t>předkládané v anglickém</w:t>
      </w:r>
      <w:r>
        <w:rPr>
          <w:spacing w:val="2"/>
        </w:rPr>
        <w:t> </w:t>
      </w:r>
      <w:r>
        <w:rPr/>
        <w:t>jazyce.</w:t>
      </w:r>
    </w:p>
    <w:p>
      <w:pPr>
        <w:pStyle w:val="BodyText"/>
        <w:spacing w:before="5"/>
        <w:rPr>
          <w:sz w:val="25"/>
        </w:rPr>
      </w:pPr>
    </w:p>
    <w:p>
      <w:pPr>
        <w:pStyle w:val="Heading2"/>
        <w:spacing w:before="1"/>
        <w:jc w:val="both"/>
      </w:pPr>
      <w:r>
        <w:rPr/>
        <w:t>ČLÁNEK 5 – PLATBY A PLATEBNÍ UJEDNÁNÍ</w:t>
      </w:r>
    </w:p>
    <w:p>
      <w:pPr>
        <w:pStyle w:val="BodyText"/>
        <w:spacing w:before="7"/>
        <w:rPr>
          <w:b/>
          <w:sz w:val="20"/>
        </w:rPr>
      </w:pPr>
    </w:p>
    <w:p>
      <w:pPr>
        <w:pStyle w:val="ListParagraph"/>
        <w:numPr>
          <w:ilvl w:val="1"/>
          <w:numId w:val="4"/>
        </w:numPr>
        <w:tabs>
          <w:tab w:pos="1162" w:val="left" w:leader="none"/>
        </w:tabs>
        <w:spacing w:line="240" w:lineRule="auto" w:before="0" w:after="0"/>
        <w:ind w:left="1161" w:right="0" w:hanging="421"/>
        <w:jc w:val="left"/>
        <w:rPr>
          <w:b/>
          <w:sz w:val="28"/>
        </w:rPr>
      </w:pPr>
      <w:r>
        <w:rPr>
          <w:b/>
          <w:sz w:val="28"/>
        </w:rPr>
        <w:t>Platby, </w:t>
      </w:r>
      <w:r>
        <w:rPr>
          <w:b/>
          <w:spacing w:val="-4"/>
          <w:sz w:val="28"/>
        </w:rPr>
        <w:t>které </w:t>
      </w:r>
      <w:r>
        <w:rPr>
          <w:b/>
          <w:spacing w:val="-3"/>
          <w:sz w:val="28"/>
        </w:rPr>
        <w:t>mají </w:t>
      </w:r>
      <w:r>
        <w:rPr>
          <w:b/>
          <w:sz w:val="28"/>
        </w:rPr>
        <w:t>být</w:t>
      </w:r>
      <w:r>
        <w:rPr>
          <w:b/>
          <w:spacing w:val="19"/>
          <w:sz w:val="28"/>
        </w:rPr>
        <w:t> </w:t>
      </w:r>
      <w:r>
        <w:rPr>
          <w:b/>
          <w:sz w:val="28"/>
        </w:rPr>
        <w:t>provedené</w:t>
      </w:r>
    </w:p>
    <w:p>
      <w:pPr>
        <w:pStyle w:val="BodyText"/>
        <w:spacing w:before="4"/>
        <w:rPr>
          <w:b/>
          <w:sz w:val="28"/>
        </w:rPr>
      </w:pPr>
    </w:p>
    <w:p>
      <w:pPr>
        <w:pStyle w:val="BodyText"/>
        <w:ind w:left="741"/>
        <w:jc w:val="both"/>
      </w:pPr>
      <w:r>
        <w:rPr/>
        <w:t>Cedefop ve prospěch partnera provede </w:t>
      </w:r>
      <w:r>
        <w:rPr>
          <w:spacing w:val="-3"/>
        </w:rPr>
        <w:t>následující</w:t>
      </w:r>
      <w:r>
        <w:rPr>
          <w:spacing w:val="15"/>
        </w:rPr>
        <w:t> </w:t>
      </w:r>
      <w:r>
        <w:rPr/>
        <w:t>platby:</w:t>
      </w:r>
    </w:p>
    <w:p>
      <w:pPr>
        <w:pStyle w:val="ListParagraph"/>
        <w:numPr>
          <w:ilvl w:val="0"/>
          <w:numId w:val="5"/>
        </w:numPr>
        <w:tabs>
          <w:tab w:pos="982" w:val="left" w:leader="none"/>
        </w:tabs>
        <w:spacing w:line="278" w:lineRule="auto" w:before="44" w:after="0"/>
        <w:ind w:left="981" w:right="1270" w:hanging="241"/>
        <w:jc w:val="left"/>
        <w:rPr>
          <w:sz w:val="24"/>
        </w:rPr>
      </w:pPr>
      <w:r>
        <w:rPr>
          <w:sz w:val="24"/>
        </w:rPr>
        <w:t>jednu platbu v rámci předběžného financování na základě žádosti o předběžnou</w:t>
      </w:r>
      <w:r>
        <w:rPr>
          <w:spacing w:val="-20"/>
          <w:sz w:val="24"/>
        </w:rPr>
        <w:t> </w:t>
      </w:r>
      <w:r>
        <w:rPr>
          <w:sz w:val="24"/>
        </w:rPr>
        <w:t>platbu stanovenou v článku</w:t>
      </w:r>
      <w:r>
        <w:rPr>
          <w:spacing w:val="2"/>
          <w:sz w:val="24"/>
        </w:rPr>
        <w:t> </w:t>
      </w:r>
      <w:r>
        <w:rPr>
          <w:sz w:val="24"/>
        </w:rPr>
        <w:t>4.2.;</w:t>
      </w:r>
    </w:p>
    <w:p>
      <w:pPr>
        <w:pStyle w:val="ListParagraph"/>
        <w:numPr>
          <w:ilvl w:val="0"/>
          <w:numId w:val="5"/>
        </w:numPr>
        <w:tabs>
          <w:tab w:pos="982" w:val="left" w:leader="none"/>
        </w:tabs>
        <w:spacing w:line="240" w:lineRule="auto" w:before="200" w:after="0"/>
        <w:ind w:left="981" w:right="0" w:hanging="241"/>
        <w:jc w:val="left"/>
        <w:rPr>
          <w:sz w:val="24"/>
        </w:rPr>
      </w:pPr>
      <w:r>
        <w:rPr>
          <w:sz w:val="24"/>
        </w:rPr>
        <w:t>jednu platbu zůstatku na základě žádosti o platbu zůstatku stanovenou v článku</w:t>
      </w:r>
      <w:r>
        <w:rPr>
          <w:spacing w:val="-5"/>
          <w:sz w:val="24"/>
        </w:rPr>
        <w:t> </w:t>
      </w:r>
      <w:r>
        <w:rPr>
          <w:sz w:val="24"/>
        </w:rPr>
        <w:t>4.4.</w:t>
      </w:r>
    </w:p>
    <w:p>
      <w:pPr>
        <w:pStyle w:val="BodyText"/>
        <w:spacing w:before="1"/>
      </w:pPr>
    </w:p>
    <w:p>
      <w:pPr>
        <w:pStyle w:val="Heading1"/>
        <w:numPr>
          <w:ilvl w:val="1"/>
          <w:numId w:val="4"/>
        </w:numPr>
        <w:tabs>
          <w:tab w:pos="1162" w:val="left" w:leader="none"/>
        </w:tabs>
        <w:spacing w:line="240" w:lineRule="auto" w:before="0" w:after="0"/>
        <w:ind w:left="1161" w:right="0" w:hanging="421"/>
        <w:jc w:val="left"/>
      </w:pPr>
      <w:r>
        <w:rPr/>
        <w:t>Předběžné</w:t>
      </w:r>
      <w:r>
        <w:rPr>
          <w:spacing w:val="-5"/>
        </w:rPr>
        <w:t> </w:t>
      </w:r>
      <w:r>
        <w:rPr/>
        <w:t>financování</w:t>
      </w:r>
    </w:p>
    <w:p>
      <w:pPr>
        <w:pStyle w:val="BodyText"/>
        <w:spacing w:before="2"/>
        <w:rPr>
          <w:b/>
          <w:sz w:val="29"/>
        </w:rPr>
      </w:pPr>
    </w:p>
    <w:p>
      <w:pPr>
        <w:pStyle w:val="BodyText"/>
        <w:spacing w:line="278" w:lineRule="auto" w:before="1"/>
        <w:ind w:left="741" w:right="236"/>
        <w:jc w:val="both"/>
      </w:pPr>
      <w:r>
        <w:rPr/>
        <w:t>Účelem předběžného financování je poskytnout partnerovi počáteční hotovost. Tyto prostředky zůstávají až do zúčtování proti průběžným platbám ve vlastnictví Cedefop, nebo pokud nejsou zúčtovány proti průběžným platbám, zůstávají ve vlastnictví Cedefop až do vyplacení zůstatku.</w:t>
      </w:r>
    </w:p>
    <w:p>
      <w:pPr>
        <w:pStyle w:val="BodyText"/>
        <w:spacing w:line="278" w:lineRule="auto" w:before="190"/>
        <w:ind w:left="741" w:right="229"/>
        <w:jc w:val="both"/>
      </w:pPr>
      <w:r>
        <w:rPr/>
        <w:t>Cedefop </w:t>
      </w:r>
      <w:r>
        <w:rPr>
          <w:spacing w:val="-4"/>
        </w:rPr>
        <w:t>je </w:t>
      </w:r>
      <w:r>
        <w:rPr/>
        <w:t>povinen uhradit  partnerovi platbu předběžného financování ve výši  </w:t>
      </w:r>
      <w:r>
        <w:rPr>
          <w:b/>
        </w:rPr>
        <w:t>20175 EUR  </w:t>
      </w:r>
      <w:r>
        <w:rPr/>
        <w:t>do  30 kalendářních dnů od obdržení žádosti o platbu předběžného financování s </w:t>
      </w:r>
      <w:r>
        <w:rPr>
          <w:spacing w:val="-3"/>
        </w:rPr>
        <w:t>výjimkou </w:t>
      </w:r>
      <w:r>
        <w:rPr/>
        <w:t>případů,</w:t>
      </w:r>
      <w:r>
        <w:rPr>
          <w:spacing w:val="-42"/>
        </w:rPr>
        <w:t> </w:t>
      </w:r>
      <w:r>
        <w:rPr/>
        <w:t>kdy platí článek II.24.1 rámcové</w:t>
      </w:r>
      <w:r>
        <w:rPr>
          <w:spacing w:val="-5"/>
        </w:rPr>
        <w:t> </w:t>
      </w:r>
      <w:r>
        <w:rPr/>
        <w:t>smlouvy.</w:t>
      </w:r>
    </w:p>
    <w:p>
      <w:pPr>
        <w:pStyle w:val="BodyText"/>
        <w:spacing w:before="1"/>
        <w:rPr>
          <w:sz w:val="21"/>
        </w:rPr>
      </w:pPr>
    </w:p>
    <w:p>
      <w:pPr>
        <w:pStyle w:val="Heading1"/>
        <w:numPr>
          <w:ilvl w:val="1"/>
          <w:numId w:val="4"/>
        </w:numPr>
        <w:tabs>
          <w:tab w:pos="1162" w:val="left" w:leader="none"/>
        </w:tabs>
        <w:spacing w:line="240" w:lineRule="auto" w:before="0" w:after="0"/>
        <w:ind w:left="1161" w:right="0" w:hanging="421"/>
        <w:jc w:val="left"/>
      </w:pPr>
      <w:r>
        <w:rPr/>
        <w:t>Průběžné platby – Neuplatňuje</w:t>
      </w:r>
      <w:r>
        <w:rPr>
          <w:spacing w:val="-8"/>
        </w:rPr>
        <w:t> </w:t>
      </w:r>
      <w:r>
        <w:rPr/>
        <w:t>se</w:t>
      </w:r>
    </w:p>
    <w:p>
      <w:pPr>
        <w:pStyle w:val="ListParagraph"/>
        <w:numPr>
          <w:ilvl w:val="1"/>
          <w:numId w:val="4"/>
        </w:numPr>
        <w:tabs>
          <w:tab w:pos="1162" w:val="left" w:leader="none"/>
        </w:tabs>
        <w:spacing w:line="240" w:lineRule="auto" w:before="238" w:after="0"/>
        <w:ind w:left="1161" w:right="0" w:hanging="421"/>
        <w:jc w:val="left"/>
        <w:rPr>
          <w:b/>
          <w:sz w:val="28"/>
        </w:rPr>
      </w:pPr>
      <w:r>
        <w:rPr>
          <w:b/>
          <w:sz w:val="28"/>
        </w:rPr>
        <w:t>Platba</w:t>
      </w:r>
      <w:r>
        <w:rPr>
          <w:b/>
          <w:spacing w:val="-1"/>
          <w:sz w:val="28"/>
        </w:rPr>
        <w:t> </w:t>
      </w:r>
      <w:r>
        <w:rPr>
          <w:b/>
          <w:sz w:val="28"/>
        </w:rPr>
        <w:t>zůstatku</w:t>
      </w:r>
    </w:p>
    <w:p>
      <w:pPr>
        <w:pStyle w:val="BodyText"/>
        <w:spacing w:before="3"/>
        <w:rPr>
          <w:b/>
          <w:sz w:val="29"/>
        </w:rPr>
      </w:pPr>
    </w:p>
    <w:p>
      <w:pPr>
        <w:pStyle w:val="BodyText"/>
        <w:spacing w:line="268" w:lineRule="auto"/>
        <w:ind w:left="741" w:right="240"/>
        <w:jc w:val="both"/>
      </w:pPr>
      <w:r>
        <w:rPr/>
        <w:t>Platba zůstatku představuje úhradu nebo náhradu zbývající části způsobilých nákladů, které partnerovi vznikly v souvislosti s prováděním akce.</w:t>
      </w:r>
    </w:p>
    <w:p>
      <w:pPr>
        <w:pStyle w:val="BodyText"/>
        <w:spacing w:line="273" w:lineRule="auto" w:before="212"/>
        <w:ind w:left="741" w:right="220"/>
        <w:jc w:val="both"/>
      </w:pPr>
      <w:r>
        <w:rPr/>
        <w:t>Jestliže</w:t>
      </w:r>
      <w:r>
        <w:rPr>
          <w:spacing w:val="-11"/>
        </w:rPr>
        <w:t> </w:t>
      </w:r>
      <w:r>
        <w:rPr/>
        <w:t>celková</w:t>
      </w:r>
      <w:r>
        <w:rPr>
          <w:spacing w:val="-11"/>
        </w:rPr>
        <w:t> </w:t>
      </w:r>
      <w:r>
        <w:rPr/>
        <w:t>částka</w:t>
      </w:r>
      <w:r>
        <w:rPr>
          <w:spacing w:val="-20"/>
        </w:rPr>
        <w:t> </w:t>
      </w:r>
      <w:r>
        <w:rPr/>
        <w:t>předchozích</w:t>
      </w:r>
      <w:r>
        <w:rPr>
          <w:spacing w:val="-15"/>
        </w:rPr>
        <w:t> </w:t>
      </w:r>
      <w:r>
        <w:rPr/>
        <w:t>plateb</w:t>
      </w:r>
      <w:r>
        <w:rPr>
          <w:spacing w:val="-14"/>
        </w:rPr>
        <w:t> </w:t>
      </w:r>
      <w:r>
        <w:rPr/>
        <w:t>přesahuje</w:t>
      </w:r>
      <w:r>
        <w:rPr>
          <w:spacing w:val="-11"/>
        </w:rPr>
        <w:t> </w:t>
      </w:r>
      <w:r>
        <w:rPr/>
        <w:t>konečnou</w:t>
      </w:r>
      <w:r>
        <w:rPr>
          <w:spacing w:val="-15"/>
        </w:rPr>
        <w:t> </w:t>
      </w:r>
      <w:r>
        <w:rPr/>
        <w:t>výši</w:t>
      </w:r>
      <w:r>
        <w:rPr>
          <w:spacing w:val="-20"/>
        </w:rPr>
        <w:t> </w:t>
      </w:r>
      <w:r>
        <w:rPr/>
        <w:t>grantu</w:t>
      </w:r>
      <w:r>
        <w:rPr>
          <w:spacing w:val="-14"/>
        </w:rPr>
        <w:t> </w:t>
      </w:r>
      <w:r>
        <w:rPr/>
        <w:t>stanovenou</w:t>
      </w:r>
      <w:r>
        <w:rPr>
          <w:spacing w:val="-15"/>
        </w:rPr>
        <w:t> </w:t>
      </w:r>
      <w:r>
        <w:rPr/>
        <w:t>v</w:t>
      </w:r>
      <w:r>
        <w:rPr>
          <w:spacing w:val="9"/>
        </w:rPr>
        <w:t> </w:t>
      </w:r>
      <w:r>
        <w:rPr/>
        <w:t>článku</w:t>
      </w:r>
      <w:r>
        <w:rPr>
          <w:spacing w:val="-15"/>
        </w:rPr>
        <w:t> </w:t>
      </w:r>
      <w:r>
        <w:rPr/>
        <w:t>II.25 rámcové </w:t>
      </w:r>
      <w:r>
        <w:rPr>
          <w:spacing w:val="-3"/>
        </w:rPr>
        <w:t>smlouvy, </w:t>
      </w:r>
      <w:r>
        <w:rPr/>
        <w:t>bude mít platba zůstatku podobu inkasa tak, jak ukládá článek II.26 rámcové smlouvy.</w:t>
      </w:r>
    </w:p>
    <w:p>
      <w:pPr>
        <w:pStyle w:val="BodyText"/>
        <w:spacing w:line="276" w:lineRule="auto" w:before="207"/>
        <w:ind w:left="741" w:right="225"/>
        <w:jc w:val="both"/>
      </w:pPr>
      <w:r>
        <w:rPr/>
        <w:t>Je-li celková částka předchozích plateb </w:t>
      </w:r>
      <w:r>
        <w:rPr>
          <w:spacing w:val="-4"/>
        </w:rPr>
        <w:t>nižší </w:t>
      </w:r>
      <w:r>
        <w:rPr/>
        <w:t>než konečná výše grantu stanovená článkem II.25 rámcové </w:t>
      </w:r>
      <w:r>
        <w:rPr>
          <w:spacing w:val="-3"/>
        </w:rPr>
        <w:t>smlouvy, </w:t>
      </w:r>
      <w:r>
        <w:rPr/>
        <w:t>uhradí Cedefop zůstatek do 60 kalendářních dnů od doručení dokumentace uložené článkem 4.4, s výjimkou případů, kdy platí článek II.24.1 nebo článek II.24.2 rámcové smlouvy.</w:t>
      </w:r>
    </w:p>
    <w:p>
      <w:pPr>
        <w:spacing w:after="0" w:line="276" w:lineRule="auto"/>
        <w:jc w:val="both"/>
        <w:sectPr>
          <w:pgSz w:w="12240" w:h="15840"/>
          <w:pgMar w:header="720" w:footer="765" w:top="1300" w:bottom="960" w:left="680" w:right="1020"/>
        </w:sectPr>
      </w:pPr>
    </w:p>
    <w:p>
      <w:pPr>
        <w:pStyle w:val="BodyText"/>
        <w:spacing w:line="273" w:lineRule="auto" w:before="80"/>
        <w:ind w:left="741" w:right="234"/>
        <w:jc w:val="both"/>
      </w:pPr>
      <w:r>
        <w:rPr/>
        <w:t>Podmínkou pro provedení platby </w:t>
      </w:r>
      <w:r>
        <w:rPr>
          <w:spacing w:val="-4"/>
        </w:rPr>
        <w:t>je </w:t>
      </w:r>
      <w:r>
        <w:rPr/>
        <w:t>schválení žádosti o zaplacení zůstatku a </w:t>
      </w:r>
      <w:r>
        <w:rPr>
          <w:spacing w:val="-3"/>
        </w:rPr>
        <w:t>příslušné </w:t>
      </w:r>
      <w:r>
        <w:rPr/>
        <w:t>dokumentace. Toto schválení neznamená, </w:t>
      </w:r>
      <w:r>
        <w:rPr>
          <w:spacing w:val="-4"/>
        </w:rPr>
        <w:t>že </w:t>
      </w:r>
      <w:r>
        <w:rPr/>
        <w:t>bylo uznáno splnění požadavků, pravost, úplnost nebo správnost obsahu žádosti a dokumentace.</w:t>
      </w:r>
    </w:p>
    <w:p>
      <w:pPr>
        <w:pStyle w:val="BodyText"/>
        <w:spacing w:line="278" w:lineRule="auto" w:before="207"/>
        <w:ind w:left="741" w:right="226"/>
        <w:jc w:val="both"/>
      </w:pPr>
      <w:r>
        <w:rPr>
          <w:spacing w:val="-3"/>
        </w:rPr>
        <w:t>Výši </w:t>
      </w:r>
      <w:r>
        <w:rPr/>
        <w:t>zůstatku stanoví Cedefop odečtením celkové částky předběžného financování a průběžných plateb</w:t>
      </w:r>
      <w:r>
        <w:rPr>
          <w:spacing w:val="-15"/>
        </w:rPr>
        <w:t> </w:t>
      </w:r>
      <w:r>
        <w:rPr/>
        <w:t>(pokud</w:t>
      </w:r>
      <w:r>
        <w:rPr>
          <w:spacing w:val="-13"/>
        </w:rPr>
        <w:t> </w:t>
      </w:r>
      <w:r>
        <w:rPr/>
        <w:t>byly</w:t>
      </w:r>
      <w:r>
        <w:rPr>
          <w:spacing w:val="-14"/>
        </w:rPr>
        <w:t> </w:t>
      </w:r>
      <w:r>
        <w:rPr/>
        <w:t>provedeny)</w:t>
      </w:r>
      <w:r>
        <w:rPr>
          <w:spacing w:val="-14"/>
        </w:rPr>
        <w:t> </w:t>
      </w:r>
      <w:r>
        <w:rPr/>
        <w:t>od</w:t>
      </w:r>
      <w:r>
        <w:rPr>
          <w:spacing w:val="-23"/>
        </w:rPr>
        <w:t> </w:t>
      </w:r>
      <w:r>
        <w:rPr/>
        <w:t>konečné</w:t>
      </w:r>
      <w:r>
        <w:rPr>
          <w:spacing w:val="-11"/>
        </w:rPr>
        <w:t> </w:t>
      </w:r>
      <w:r>
        <w:rPr/>
        <w:t>výše</w:t>
      </w:r>
      <w:r>
        <w:rPr>
          <w:spacing w:val="-10"/>
        </w:rPr>
        <w:t> </w:t>
      </w:r>
      <w:r>
        <w:rPr/>
        <w:t>grantu</w:t>
      </w:r>
      <w:r>
        <w:rPr>
          <w:spacing w:val="-24"/>
        </w:rPr>
        <w:t> </w:t>
      </w:r>
      <w:r>
        <w:rPr/>
        <w:t>stanovené</w:t>
      </w:r>
      <w:r>
        <w:rPr>
          <w:spacing w:val="-10"/>
        </w:rPr>
        <w:t> </w:t>
      </w:r>
      <w:r>
        <w:rPr/>
        <w:t>v</w:t>
      </w:r>
      <w:r>
        <w:rPr>
          <w:spacing w:val="5"/>
        </w:rPr>
        <w:t> </w:t>
      </w:r>
      <w:r>
        <w:rPr/>
        <w:t>souladu</w:t>
      </w:r>
      <w:r>
        <w:rPr>
          <w:spacing w:val="-14"/>
        </w:rPr>
        <w:t> </w:t>
      </w:r>
      <w:r>
        <w:rPr/>
        <w:t>s</w:t>
      </w:r>
      <w:r>
        <w:rPr>
          <w:spacing w:val="-7"/>
        </w:rPr>
        <w:t> </w:t>
      </w:r>
      <w:r>
        <w:rPr/>
        <w:t>článkem</w:t>
      </w:r>
      <w:r>
        <w:rPr>
          <w:spacing w:val="-20"/>
        </w:rPr>
        <w:t> </w:t>
      </w:r>
      <w:r>
        <w:rPr/>
        <w:t>II.25</w:t>
      </w:r>
      <w:r>
        <w:rPr>
          <w:spacing w:val="-13"/>
        </w:rPr>
        <w:t> </w:t>
      </w:r>
      <w:r>
        <w:rPr/>
        <w:t>rámcové smlouvy.</w:t>
      </w:r>
    </w:p>
    <w:p>
      <w:pPr>
        <w:pStyle w:val="BodyText"/>
        <w:spacing w:before="190"/>
        <w:ind w:left="741" w:right="882"/>
      </w:pPr>
      <w:r>
        <w:rPr/>
        <w:t>Splatnou částku však lze započíst, bez souhlasu partnera, proti jakékoli jiné částce splatné ze strany partnera ve prospěch Komise nebo výkonné agentury (v rámci rozpočtu EU nebo Euratomu), a to až do výše maximální částky grantu.</w:t>
      </w:r>
    </w:p>
    <w:p>
      <w:pPr>
        <w:pStyle w:val="BodyText"/>
        <w:spacing w:before="4"/>
        <w:rPr>
          <w:sz w:val="21"/>
        </w:rPr>
      </w:pPr>
    </w:p>
    <w:p>
      <w:pPr>
        <w:pStyle w:val="Heading1"/>
        <w:numPr>
          <w:ilvl w:val="1"/>
          <w:numId w:val="4"/>
        </w:numPr>
        <w:tabs>
          <w:tab w:pos="1162" w:val="left" w:leader="none"/>
        </w:tabs>
        <w:spacing w:line="240" w:lineRule="auto" w:before="0" w:after="0"/>
        <w:ind w:left="1161" w:right="0" w:hanging="421"/>
        <w:jc w:val="left"/>
      </w:pPr>
      <w:r>
        <w:rPr/>
        <w:t>Oznámení splatných</w:t>
      </w:r>
      <w:r>
        <w:rPr>
          <w:spacing w:val="4"/>
        </w:rPr>
        <w:t> </w:t>
      </w:r>
      <w:r>
        <w:rPr>
          <w:spacing w:val="-3"/>
        </w:rPr>
        <w:t>částek</w:t>
      </w:r>
    </w:p>
    <w:p>
      <w:pPr>
        <w:pStyle w:val="BodyText"/>
        <w:spacing w:before="2"/>
        <w:rPr>
          <w:b/>
          <w:sz w:val="29"/>
        </w:rPr>
      </w:pPr>
    </w:p>
    <w:p>
      <w:pPr>
        <w:spacing w:before="0"/>
        <w:ind w:left="741" w:right="0" w:firstLine="0"/>
        <w:jc w:val="left"/>
        <w:rPr>
          <w:sz w:val="24"/>
        </w:rPr>
      </w:pPr>
      <w:r>
        <w:rPr>
          <w:sz w:val="24"/>
        </w:rPr>
        <w:t>Cedefop je povinen zaslat partnerovi </w:t>
      </w:r>
      <w:r>
        <w:rPr>
          <w:i/>
          <w:sz w:val="24"/>
        </w:rPr>
        <w:t>oficiální oznámení</w:t>
      </w:r>
      <w:r>
        <w:rPr>
          <w:sz w:val="24"/>
        </w:rPr>
        <w:t>:</w:t>
      </w:r>
    </w:p>
    <w:p>
      <w:pPr>
        <w:pStyle w:val="BodyText"/>
        <w:spacing w:before="10"/>
        <w:rPr>
          <w:sz w:val="23"/>
        </w:rPr>
      </w:pPr>
    </w:p>
    <w:p>
      <w:pPr>
        <w:pStyle w:val="ListParagraph"/>
        <w:numPr>
          <w:ilvl w:val="2"/>
          <w:numId w:val="4"/>
        </w:numPr>
        <w:tabs>
          <w:tab w:pos="1462" w:val="left" w:leader="none"/>
        </w:tabs>
        <w:spacing w:line="240" w:lineRule="auto" w:before="0" w:after="0"/>
        <w:ind w:left="1461" w:right="0" w:hanging="361"/>
        <w:jc w:val="left"/>
        <w:rPr>
          <w:sz w:val="24"/>
        </w:rPr>
      </w:pPr>
      <w:r>
        <w:rPr>
          <w:sz w:val="24"/>
        </w:rPr>
        <w:t>o splatnosti částky;</w:t>
      </w:r>
      <w:r>
        <w:rPr>
          <w:spacing w:val="-5"/>
          <w:sz w:val="24"/>
        </w:rPr>
        <w:t> </w:t>
      </w:r>
      <w:r>
        <w:rPr>
          <w:sz w:val="24"/>
        </w:rPr>
        <w:t>a</w:t>
      </w:r>
    </w:p>
    <w:p>
      <w:pPr>
        <w:pStyle w:val="ListParagraph"/>
        <w:numPr>
          <w:ilvl w:val="2"/>
          <w:numId w:val="4"/>
        </w:numPr>
        <w:tabs>
          <w:tab w:pos="1462" w:val="left" w:leader="none"/>
        </w:tabs>
        <w:spacing w:line="235" w:lineRule="auto" w:before="8" w:after="0"/>
        <w:ind w:left="1461" w:right="702" w:hanging="361"/>
        <w:jc w:val="left"/>
        <w:rPr>
          <w:sz w:val="24"/>
        </w:rPr>
      </w:pPr>
      <w:r>
        <w:rPr>
          <w:sz w:val="24"/>
        </w:rPr>
        <w:t>uvede, </w:t>
      </w:r>
      <w:r>
        <w:rPr>
          <w:spacing w:val="-3"/>
          <w:sz w:val="24"/>
        </w:rPr>
        <w:t>zda </w:t>
      </w:r>
      <w:r>
        <w:rPr>
          <w:sz w:val="24"/>
        </w:rPr>
        <w:t>se jedná o další platbu předběžného financování, o průběžnou platbu nebo o platbu</w:t>
      </w:r>
      <w:r>
        <w:rPr>
          <w:spacing w:val="-1"/>
          <w:sz w:val="24"/>
        </w:rPr>
        <w:t> </w:t>
      </w:r>
      <w:r>
        <w:rPr>
          <w:sz w:val="24"/>
        </w:rPr>
        <w:t>zůstatku.</w:t>
      </w:r>
    </w:p>
    <w:p>
      <w:pPr>
        <w:pStyle w:val="BodyText"/>
        <w:spacing w:before="10"/>
      </w:pPr>
    </w:p>
    <w:p>
      <w:pPr>
        <w:pStyle w:val="BodyText"/>
        <w:spacing w:line="244" w:lineRule="auto"/>
        <w:ind w:left="741" w:right="982"/>
      </w:pPr>
      <w:r>
        <w:rPr/>
        <w:t>V případě platby zůstatku bude v oznámení uvedena rovněž konečná výše grantu stanovená v souladu s článkem II.25 rámcové smlouvy.</w:t>
      </w:r>
    </w:p>
    <w:p>
      <w:pPr>
        <w:pStyle w:val="BodyText"/>
        <w:rPr>
          <w:sz w:val="26"/>
        </w:rPr>
      </w:pPr>
    </w:p>
    <w:p>
      <w:pPr>
        <w:pStyle w:val="Heading1"/>
        <w:numPr>
          <w:ilvl w:val="1"/>
          <w:numId w:val="4"/>
        </w:numPr>
        <w:tabs>
          <w:tab w:pos="1162" w:val="left" w:leader="none"/>
        </w:tabs>
        <w:spacing w:line="240" w:lineRule="auto" w:before="211" w:after="0"/>
        <w:ind w:left="1161" w:right="0" w:hanging="421"/>
        <w:jc w:val="left"/>
      </w:pPr>
      <w:r>
        <w:rPr/>
        <w:t>Úrok z</w:t>
      </w:r>
      <w:r>
        <w:rPr>
          <w:spacing w:val="-1"/>
        </w:rPr>
        <w:t> </w:t>
      </w:r>
      <w:r>
        <w:rPr/>
        <w:t>prodlení</w:t>
      </w:r>
    </w:p>
    <w:p>
      <w:pPr>
        <w:pStyle w:val="BodyText"/>
        <w:spacing w:before="8"/>
        <w:rPr>
          <w:b/>
          <w:sz w:val="32"/>
        </w:rPr>
      </w:pPr>
    </w:p>
    <w:p>
      <w:pPr>
        <w:pStyle w:val="BodyText"/>
        <w:spacing w:line="276" w:lineRule="auto"/>
        <w:ind w:left="741" w:right="224"/>
        <w:jc w:val="both"/>
      </w:pPr>
      <w:r>
        <w:rPr/>
        <w:t>Neprovede-li Cedefop platbu ve stanovené lhůtě, </w:t>
      </w:r>
      <w:r>
        <w:rPr>
          <w:spacing w:val="-4"/>
        </w:rPr>
        <w:t>má </w:t>
      </w:r>
      <w:r>
        <w:rPr/>
        <w:t>partner nárok na úrok z prodlení vypočítaný podle sazby Evropské centrální banky používané pro </w:t>
      </w:r>
      <w:r>
        <w:rPr>
          <w:spacing w:val="-3"/>
        </w:rPr>
        <w:t>její </w:t>
      </w:r>
      <w:r>
        <w:rPr/>
        <w:t>hlavní refinanční operace v eurech </w:t>
      </w:r>
      <w:r>
        <w:rPr>
          <w:spacing w:val="-3"/>
        </w:rPr>
        <w:t>(dále </w:t>
      </w:r>
      <w:r>
        <w:rPr/>
        <w:t>jen „referenční sazba“), plus tři a půl bodu. Referenční sazba </w:t>
      </w:r>
      <w:r>
        <w:rPr>
          <w:spacing w:val="-4"/>
        </w:rPr>
        <w:t>je  </w:t>
      </w:r>
      <w:r>
        <w:rPr/>
        <w:t>sazba platná prvního dne měsíce,  v němž uplynula lhůta pro platbu, zveřejněná v řadě C </w:t>
      </w:r>
      <w:r>
        <w:rPr>
          <w:spacing w:val="-3"/>
        </w:rPr>
        <w:t>Úředního </w:t>
      </w:r>
      <w:r>
        <w:rPr/>
        <w:t>věstníku Evropské</w:t>
      </w:r>
      <w:r>
        <w:rPr>
          <w:spacing w:val="18"/>
        </w:rPr>
        <w:t> </w:t>
      </w:r>
      <w:r>
        <w:rPr/>
        <w:t>unie.</w:t>
      </w:r>
    </w:p>
    <w:p>
      <w:pPr>
        <w:pStyle w:val="BodyText"/>
        <w:spacing w:line="273" w:lineRule="auto" w:before="202"/>
        <w:ind w:left="741" w:right="243"/>
        <w:jc w:val="both"/>
      </w:pPr>
      <w:r>
        <w:rPr>
          <w:spacing w:val="-3"/>
        </w:rPr>
        <w:t>Úroky </w:t>
      </w:r>
      <w:r>
        <w:rPr/>
        <w:t>z prodlení se neplatí v případě, </w:t>
      </w:r>
      <w:r>
        <w:rPr>
          <w:spacing w:val="-4"/>
        </w:rPr>
        <w:t>že je </w:t>
      </w:r>
      <w:r>
        <w:rPr/>
        <w:t>partner členským státem EU (včetně orgánů regionální</w:t>
      </w:r>
      <w:r>
        <w:rPr>
          <w:spacing w:val="-38"/>
        </w:rPr>
        <w:t> </w:t>
      </w:r>
      <w:r>
        <w:rPr/>
        <w:t>a místní správy a dalších veřejných orgánů jednajících ve věci rámcové </w:t>
      </w:r>
      <w:r>
        <w:rPr>
          <w:spacing w:val="-3"/>
        </w:rPr>
        <w:t>smlouvy </w:t>
      </w:r>
      <w:r>
        <w:rPr/>
        <w:t>a zvláštní dohody jménem členského</w:t>
      </w:r>
      <w:r>
        <w:rPr>
          <w:spacing w:val="-7"/>
        </w:rPr>
        <w:t> </w:t>
      </w:r>
      <w:r>
        <w:rPr/>
        <w:t>státu).</w:t>
      </w:r>
    </w:p>
    <w:p>
      <w:pPr>
        <w:pStyle w:val="BodyText"/>
        <w:spacing w:line="278" w:lineRule="auto" w:before="206"/>
        <w:ind w:left="741" w:right="232"/>
        <w:jc w:val="both"/>
      </w:pPr>
      <w:r>
        <w:rPr/>
        <w:t>Pozastaví-li Cedefop běh lhůty pro platbu v souladu s článkem II. 24. 2 rámcové smlouvy nebo platby samotné v souladu s článkem II. 24. 1 rámcové smlouvy, nepovažuje se tato skutečnost za opožděnou platbu.</w:t>
      </w:r>
    </w:p>
    <w:p>
      <w:pPr>
        <w:pStyle w:val="BodyText"/>
        <w:spacing w:before="10"/>
        <w:rPr>
          <w:sz w:val="27"/>
        </w:rPr>
      </w:pPr>
    </w:p>
    <w:p>
      <w:pPr>
        <w:pStyle w:val="BodyText"/>
        <w:ind w:left="741" w:right="112"/>
        <w:jc w:val="both"/>
      </w:pPr>
      <w:r>
        <w:rPr/>
        <w:t>Úrok z prodlení se vztahuje k období, které začíná běžet prvním dnem po stanoveném datu platby a končí dnem skutečného provedení platby včetně v souladu s článkem 5.8. Cedefop nezohledňuje úroky z prodlení pro účely výpočtu konečné výše grantu ve smyslu článku II. 25 rámcové smlouvy.</w:t>
      </w:r>
    </w:p>
    <w:p>
      <w:pPr>
        <w:spacing w:after="0"/>
        <w:jc w:val="both"/>
        <w:sectPr>
          <w:pgSz w:w="12240" w:h="15840"/>
          <w:pgMar w:header="720" w:footer="765" w:top="1300" w:bottom="960" w:left="680" w:right="1020"/>
        </w:sectPr>
      </w:pPr>
    </w:p>
    <w:p>
      <w:pPr>
        <w:pStyle w:val="BodyText"/>
        <w:spacing w:line="273" w:lineRule="auto" w:before="80"/>
        <w:ind w:left="741" w:right="224"/>
        <w:jc w:val="both"/>
      </w:pPr>
      <w:r>
        <w:rPr>
          <w:spacing w:val="-3"/>
        </w:rPr>
        <w:t>Výjimku </w:t>
      </w:r>
      <w:r>
        <w:rPr/>
        <w:t>v rámci prvního odstavce tvoří případy, kdy </w:t>
      </w:r>
      <w:r>
        <w:rPr>
          <w:spacing w:val="-4"/>
        </w:rPr>
        <w:t>je </w:t>
      </w:r>
      <w:r>
        <w:rPr/>
        <w:t>úrok z prodlení roven částce 200 </w:t>
      </w:r>
      <w:r>
        <w:rPr>
          <w:spacing w:val="-4"/>
        </w:rPr>
        <w:t>EUR</w:t>
      </w:r>
      <w:r>
        <w:rPr>
          <w:spacing w:val="-23"/>
        </w:rPr>
        <w:t> </w:t>
      </w:r>
      <w:r>
        <w:rPr/>
        <w:t>nebo </w:t>
      </w:r>
      <w:r>
        <w:rPr>
          <w:spacing w:val="-3"/>
        </w:rPr>
        <w:t>nižší, </w:t>
      </w:r>
      <w:r>
        <w:rPr/>
        <w:t>v takových případech </w:t>
      </w:r>
      <w:r>
        <w:rPr>
          <w:spacing w:val="-3"/>
        </w:rPr>
        <w:t>bude </w:t>
      </w:r>
      <w:r>
        <w:rPr/>
        <w:t>partnerovi vyplacen pouze </w:t>
      </w:r>
      <w:r>
        <w:rPr>
          <w:spacing w:val="-6"/>
        </w:rPr>
        <w:t>na </w:t>
      </w:r>
      <w:r>
        <w:rPr/>
        <w:t>žádost podanou do dvou měsíců od přijetí opožděné</w:t>
      </w:r>
      <w:r>
        <w:rPr>
          <w:spacing w:val="-5"/>
        </w:rPr>
        <w:t> </w:t>
      </w:r>
      <w:r>
        <w:rPr/>
        <w:t>platby.</w:t>
      </w:r>
    </w:p>
    <w:p>
      <w:pPr>
        <w:pStyle w:val="BodyText"/>
        <w:spacing w:before="8"/>
        <w:rPr>
          <w:sz w:val="21"/>
        </w:rPr>
      </w:pPr>
    </w:p>
    <w:p>
      <w:pPr>
        <w:pStyle w:val="Heading1"/>
        <w:numPr>
          <w:ilvl w:val="1"/>
          <w:numId w:val="4"/>
        </w:numPr>
        <w:tabs>
          <w:tab w:pos="1162" w:val="left" w:leader="none"/>
        </w:tabs>
        <w:spacing w:line="240" w:lineRule="auto" w:before="0" w:after="0"/>
        <w:ind w:left="1161" w:right="0" w:hanging="421"/>
        <w:jc w:val="left"/>
      </w:pPr>
      <w:r>
        <w:rPr/>
        <w:t>Měna</w:t>
      </w:r>
      <w:r>
        <w:rPr>
          <w:spacing w:val="-1"/>
        </w:rPr>
        <w:t> </w:t>
      </w:r>
      <w:r>
        <w:rPr/>
        <w:t>plateb</w:t>
      </w:r>
    </w:p>
    <w:p>
      <w:pPr>
        <w:pStyle w:val="BodyText"/>
        <w:spacing w:before="3"/>
        <w:rPr>
          <w:b/>
          <w:sz w:val="28"/>
        </w:rPr>
      </w:pPr>
    </w:p>
    <w:p>
      <w:pPr>
        <w:pStyle w:val="BodyText"/>
        <w:ind w:left="741"/>
      </w:pPr>
      <w:r>
        <w:rPr/>
        <w:t>Cedefop bude veškeré platby provádět v eurech.</w:t>
      </w:r>
    </w:p>
    <w:p>
      <w:pPr>
        <w:pStyle w:val="BodyText"/>
        <w:rPr>
          <w:sz w:val="26"/>
        </w:rPr>
      </w:pPr>
    </w:p>
    <w:p>
      <w:pPr>
        <w:pStyle w:val="Heading1"/>
        <w:numPr>
          <w:ilvl w:val="1"/>
          <w:numId w:val="4"/>
        </w:numPr>
        <w:tabs>
          <w:tab w:pos="1162" w:val="left" w:leader="none"/>
        </w:tabs>
        <w:spacing w:line="240" w:lineRule="auto" w:before="229" w:after="0"/>
        <w:ind w:left="1161" w:right="0" w:hanging="421"/>
        <w:jc w:val="left"/>
      </w:pPr>
      <w:r>
        <w:rPr/>
        <w:t>Datum</w:t>
      </w:r>
      <w:r>
        <w:rPr>
          <w:spacing w:val="-14"/>
        </w:rPr>
        <w:t> </w:t>
      </w:r>
      <w:r>
        <w:rPr/>
        <w:t>platby</w:t>
      </w:r>
    </w:p>
    <w:p>
      <w:pPr>
        <w:pStyle w:val="BodyText"/>
        <w:spacing w:before="2"/>
        <w:rPr>
          <w:b/>
          <w:sz w:val="29"/>
        </w:rPr>
      </w:pPr>
    </w:p>
    <w:p>
      <w:pPr>
        <w:pStyle w:val="BodyText"/>
        <w:ind w:left="741"/>
      </w:pPr>
      <w:r>
        <w:rPr/>
        <w:t>Platby ze strany Cedefop se považují za provedené v den, kdy jsou odečteny z jeho účtu.</w:t>
      </w:r>
    </w:p>
    <w:p>
      <w:pPr>
        <w:pStyle w:val="BodyText"/>
        <w:spacing w:before="7"/>
        <w:rPr>
          <w:sz w:val="20"/>
        </w:rPr>
      </w:pPr>
    </w:p>
    <w:p>
      <w:pPr>
        <w:pStyle w:val="Heading1"/>
        <w:numPr>
          <w:ilvl w:val="1"/>
          <w:numId w:val="4"/>
        </w:numPr>
        <w:tabs>
          <w:tab w:pos="1162" w:val="left" w:leader="none"/>
        </w:tabs>
        <w:spacing w:line="240" w:lineRule="auto" w:before="0" w:after="0"/>
        <w:ind w:left="1161" w:right="0" w:hanging="421"/>
        <w:jc w:val="left"/>
      </w:pPr>
      <w:r>
        <w:rPr/>
        <w:t>Náklady na platební</w:t>
      </w:r>
      <w:r>
        <w:rPr>
          <w:spacing w:val="-8"/>
        </w:rPr>
        <w:t> </w:t>
      </w:r>
      <w:r>
        <w:rPr/>
        <w:t>převody</w:t>
      </w:r>
    </w:p>
    <w:p>
      <w:pPr>
        <w:pStyle w:val="BodyText"/>
        <w:spacing w:before="2"/>
        <w:rPr>
          <w:b/>
          <w:sz w:val="29"/>
        </w:rPr>
      </w:pPr>
    </w:p>
    <w:p>
      <w:pPr>
        <w:pStyle w:val="BodyText"/>
        <w:ind w:left="741"/>
      </w:pPr>
      <w:r>
        <w:rPr/>
        <w:t>Náklady na platební převody ponesou strany dohody takto:</w:t>
      </w:r>
    </w:p>
    <w:p>
      <w:pPr>
        <w:pStyle w:val="BodyText"/>
        <w:spacing w:before="3"/>
        <w:rPr>
          <w:sz w:val="28"/>
        </w:rPr>
      </w:pPr>
    </w:p>
    <w:p>
      <w:pPr>
        <w:pStyle w:val="ListParagraph"/>
        <w:numPr>
          <w:ilvl w:val="2"/>
          <w:numId w:val="4"/>
        </w:numPr>
        <w:tabs>
          <w:tab w:pos="1462" w:val="left" w:leader="none"/>
        </w:tabs>
        <w:spacing w:line="240" w:lineRule="auto" w:before="0" w:after="0"/>
        <w:ind w:left="1461" w:right="0" w:hanging="361"/>
        <w:jc w:val="left"/>
        <w:rPr>
          <w:sz w:val="24"/>
        </w:rPr>
      </w:pPr>
      <w:r>
        <w:rPr>
          <w:sz w:val="24"/>
        </w:rPr>
        <w:t>Cedefop ponese náklady na převodní transakce účtované jeho</w:t>
      </w:r>
      <w:r>
        <w:rPr>
          <w:spacing w:val="5"/>
          <w:sz w:val="24"/>
        </w:rPr>
        <w:t> </w:t>
      </w:r>
      <w:r>
        <w:rPr>
          <w:sz w:val="24"/>
        </w:rPr>
        <w:t>bankou;</w:t>
      </w:r>
    </w:p>
    <w:p>
      <w:pPr>
        <w:pStyle w:val="ListParagraph"/>
        <w:numPr>
          <w:ilvl w:val="2"/>
          <w:numId w:val="4"/>
        </w:numPr>
        <w:tabs>
          <w:tab w:pos="1462" w:val="left" w:leader="none"/>
        </w:tabs>
        <w:spacing w:line="240" w:lineRule="auto" w:before="34" w:after="0"/>
        <w:ind w:left="1461" w:right="0" w:hanging="361"/>
        <w:jc w:val="left"/>
        <w:rPr>
          <w:sz w:val="24"/>
        </w:rPr>
      </w:pPr>
      <w:r>
        <w:rPr>
          <w:sz w:val="24"/>
        </w:rPr>
        <w:t>partner ponese náklady na převodní transakce účtované jeho</w:t>
      </w:r>
      <w:r>
        <w:rPr>
          <w:spacing w:val="4"/>
          <w:sz w:val="24"/>
        </w:rPr>
        <w:t> </w:t>
      </w:r>
      <w:r>
        <w:rPr>
          <w:sz w:val="24"/>
        </w:rPr>
        <w:t>bankou;</w:t>
      </w:r>
    </w:p>
    <w:p>
      <w:pPr>
        <w:pStyle w:val="ListParagraph"/>
        <w:numPr>
          <w:ilvl w:val="2"/>
          <w:numId w:val="4"/>
        </w:numPr>
        <w:tabs>
          <w:tab w:pos="1462" w:val="left" w:leader="none"/>
        </w:tabs>
        <w:spacing w:line="244" w:lineRule="auto" w:before="44" w:after="0"/>
        <w:ind w:left="1461" w:right="784" w:hanging="361"/>
        <w:jc w:val="left"/>
        <w:rPr>
          <w:sz w:val="24"/>
        </w:rPr>
      </w:pPr>
      <w:r>
        <w:rPr>
          <w:sz w:val="24"/>
        </w:rPr>
        <w:t>strana, která zapříčiní opakování určitého převodu, ponese veškeré náklady s takovým převodem</w:t>
      </w:r>
      <w:r>
        <w:rPr>
          <w:spacing w:val="-7"/>
          <w:sz w:val="24"/>
        </w:rPr>
        <w:t> </w:t>
      </w:r>
      <w:r>
        <w:rPr>
          <w:sz w:val="24"/>
        </w:rPr>
        <w:t>spojené.</w:t>
      </w:r>
    </w:p>
    <w:p>
      <w:pPr>
        <w:pStyle w:val="BodyText"/>
        <w:spacing w:before="10"/>
        <w:rPr>
          <w:sz w:val="27"/>
        </w:rPr>
      </w:pPr>
    </w:p>
    <w:p>
      <w:pPr>
        <w:pStyle w:val="Heading1"/>
        <w:numPr>
          <w:ilvl w:val="1"/>
          <w:numId w:val="4"/>
        </w:numPr>
        <w:tabs>
          <w:tab w:pos="1302" w:val="left" w:leader="none"/>
        </w:tabs>
        <w:spacing w:line="240" w:lineRule="auto" w:before="0" w:after="0"/>
        <w:ind w:left="1301" w:right="0" w:hanging="561"/>
        <w:jc w:val="left"/>
      </w:pPr>
      <w:r>
        <w:rPr/>
        <w:t>Platby ve prospěch</w:t>
      </w:r>
      <w:r>
        <w:rPr>
          <w:spacing w:val="-3"/>
        </w:rPr>
        <w:t> </w:t>
      </w:r>
      <w:r>
        <w:rPr/>
        <w:t>partnera</w:t>
      </w:r>
    </w:p>
    <w:p>
      <w:pPr>
        <w:pStyle w:val="BodyText"/>
        <w:spacing w:before="4"/>
        <w:rPr>
          <w:b/>
          <w:sz w:val="28"/>
        </w:rPr>
      </w:pPr>
    </w:p>
    <w:p>
      <w:pPr>
        <w:pStyle w:val="BodyText"/>
        <w:spacing w:line="453" w:lineRule="auto"/>
        <w:ind w:left="741" w:right="3901"/>
      </w:pPr>
      <w:r>
        <w:rPr/>
        <w:t>Cedefop bude provádět převody </w:t>
      </w:r>
      <w:r>
        <w:rPr>
          <w:spacing w:val="-6"/>
        </w:rPr>
        <w:t>na </w:t>
      </w:r>
      <w:r>
        <w:rPr/>
        <w:t>účet partnera. Provedením plateb bude platební povinnost Cedefop</w:t>
      </w:r>
      <w:r>
        <w:rPr>
          <w:spacing w:val="2"/>
        </w:rPr>
        <w:t> </w:t>
      </w:r>
      <w:r>
        <w:rPr>
          <w:spacing w:val="-3"/>
        </w:rPr>
        <w:t>splněna.</w:t>
      </w:r>
    </w:p>
    <w:p>
      <w:pPr>
        <w:pStyle w:val="Heading2"/>
        <w:spacing w:before="48"/>
      </w:pPr>
      <w:r>
        <w:rPr/>
        <w:t>ČLÁNEK 6 – BANKOVNÍ SPOJENÍ PRO ÚČELY PLATEB</w:t>
      </w:r>
    </w:p>
    <w:p>
      <w:pPr>
        <w:pStyle w:val="BodyText"/>
        <w:spacing w:line="650" w:lineRule="exact" w:before="68"/>
        <w:ind w:left="741" w:right="3447"/>
      </w:pPr>
      <w:r>
        <w:rPr/>
        <w:t>Veškeré platby budou prováděny na tento bankovní účet partnera: Název banky: Česká národní banka</w:t>
      </w:r>
    </w:p>
    <w:p>
      <w:pPr>
        <w:pStyle w:val="BodyText"/>
        <w:spacing w:line="202" w:lineRule="exact"/>
        <w:ind w:left="741"/>
      </w:pPr>
      <w:r>
        <w:rPr/>
        <w:t>Celý název majitele účtu: Národní pedagogický institut České republiky</w:t>
      </w:r>
    </w:p>
    <w:p>
      <w:pPr>
        <w:spacing w:before="4"/>
        <w:ind w:left="721" w:right="0" w:firstLine="0"/>
        <w:jc w:val="left"/>
        <w:rPr>
          <w:sz w:val="23"/>
        </w:rPr>
      </w:pPr>
      <w:r>
        <w:rPr>
          <w:sz w:val="24"/>
        </w:rPr>
        <w:t>IBAN</w:t>
      </w:r>
      <w:r>
        <w:rPr>
          <w:sz w:val="23"/>
        </w:rPr>
        <w:t>: CZ5007101100070079530011</w:t>
      </w:r>
    </w:p>
    <w:p>
      <w:pPr>
        <w:pStyle w:val="BodyText"/>
        <w:spacing w:before="3"/>
        <w:rPr>
          <w:sz w:val="21"/>
        </w:rPr>
      </w:pPr>
    </w:p>
    <w:p>
      <w:pPr>
        <w:pStyle w:val="Heading2"/>
      </w:pPr>
      <w:r>
        <w:rPr/>
        <w:t>ČLÁNEK 7 – KONTAKTNÍ ÚDAJE SMLUVNÍCH STRAN</w:t>
      </w:r>
    </w:p>
    <w:p>
      <w:pPr>
        <w:pStyle w:val="BodyText"/>
        <w:spacing w:before="1"/>
        <w:rPr>
          <w:b/>
        </w:rPr>
      </w:pPr>
    </w:p>
    <w:p>
      <w:pPr>
        <w:pStyle w:val="ListParagraph"/>
        <w:numPr>
          <w:ilvl w:val="1"/>
          <w:numId w:val="6"/>
        </w:numPr>
        <w:tabs>
          <w:tab w:pos="1162" w:val="left" w:leader="none"/>
        </w:tabs>
        <w:spacing w:line="240" w:lineRule="auto" w:before="0" w:after="0"/>
        <w:ind w:left="1161" w:right="0" w:hanging="421"/>
        <w:jc w:val="left"/>
        <w:rPr>
          <w:b/>
          <w:sz w:val="28"/>
        </w:rPr>
      </w:pPr>
      <w:r>
        <w:rPr>
          <w:b/>
          <w:sz w:val="28"/>
        </w:rPr>
        <w:t>Kontaktní údaje</w:t>
      </w:r>
      <w:r>
        <w:rPr>
          <w:b/>
          <w:spacing w:val="-4"/>
          <w:sz w:val="28"/>
        </w:rPr>
        <w:t> </w:t>
      </w:r>
      <w:r>
        <w:rPr>
          <w:b/>
          <w:sz w:val="28"/>
        </w:rPr>
        <w:t>Cedefop</w:t>
      </w:r>
    </w:p>
    <w:p>
      <w:pPr>
        <w:pStyle w:val="BodyText"/>
        <w:spacing w:before="4"/>
        <w:rPr>
          <w:b/>
          <w:sz w:val="28"/>
        </w:rPr>
      </w:pPr>
    </w:p>
    <w:p>
      <w:pPr>
        <w:pStyle w:val="BodyText"/>
        <w:ind w:left="741"/>
      </w:pPr>
      <w:r>
        <w:rPr/>
        <w:t>Veškerá korespondence určená Cedefop musí být zasílána na tuto adresu:</w:t>
      </w:r>
    </w:p>
    <w:p>
      <w:pPr>
        <w:spacing w:after="0"/>
        <w:sectPr>
          <w:pgSz w:w="12240" w:h="15840"/>
          <w:pgMar w:header="720" w:footer="765" w:top="1300" w:bottom="960" w:left="680" w:right="1020"/>
        </w:sectPr>
      </w:pPr>
    </w:p>
    <w:p>
      <w:pPr>
        <w:pStyle w:val="BodyText"/>
        <w:spacing w:before="80"/>
        <w:ind w:left="1311"/>
      </w:pPr>
      <w:r>
        <w:rPr/>
        <w:t>Cedefop:</w:t>
      </w:r>
    </w:p>
    <w:p>
      <w:pPr>
        <w:pStyle w:val="BodyText"/>
        <w:spacing w:line="288" w:lineRule="auto" w:before="64"/>
        <w:ind w:left="1311" w:right="7043"/>
      </w:pPr>
      <w:r>
        <w:rPr/>
        <w:t>(Procurement Service) ‘SERVICE POST’</w:t>
      </w:r>
    </w:p>
    <w:p>
      <w:pPr>
        <w:pStyle w:val="BodyText"/>
        <w:spacing w:before="8"/>
        <w:ind w:left="1311"/>
      </w:pPr>
      <w:r>
        <w:rPr/>
        <w:t>Europe 123</w:t>
      </w:r>
    </w:p>
    <w:p>
      <w:pPr>
        <w:pStyle w:val="BodyText"/>
        <w:spacing w:line="295" w:lineRule="auto" w:before="54"/>
        <w:ind w:left="1311" w:right="5756"/>
      </w:pPr>
      <w:r>
        <w:rPr/>
        <w:t>57001 Thermi (Thessaloniki) Greece</w:t>
      </w:r>
    </w:p>
    <w:p>
      <w:pPr>
        <w:spacing w:before="2"/>
        <w:ind w:left="1311" w:right="0" w:firstLine="0"/>
        <w:jc w:val="left"/>
        <w:rPr>
          <w:i/>
          <w:sz w:val="24"/>
        </w:rPr>
      </w:pPr>
      <w:r>
        <w:rPr>
          <w:sz w:val="24"/>
        </w:rPr>
        <w:t>Tel: 2310 490111 </w:t>
      </w:r>
      <w:r>
        <w:rPr>
          <w:i/>
          <w:color w:val="585857"/>
          <w:sz w:val="24"/>
        </w:rPr>
        <w:t>(uvádějte pouze v případě zásilek kurýrní poštou)</w:t>
      </w:r>
    </w:p>
    <w:p>
      <w:pPr>
        <w:pStyle w:val="BodyText"/>
        <w:spacing w:before="54"/>
        <w:ind w:left="1311"/>
      </w:pPr>
      <w:r>
        <w:rPr/>
        <w:t>[Uveďte titul a referenci]</w:t>
      </w:r>
    </w:p>
    <w:p>
      <w:pPr>
        <w:pStyle w:val="BodyText"/>
        <w:spacing w:before="54"/>
        <w:ind w:left="1311"/>
      </w:pPr>
      <w:r>
        <w:rPr/>
        <w:t>E-mail: </w:t>
      </w:r>
      <w:hyperlink r:id="rId11">
        <w:r>
          <w:rPr>
            <w:color w:val="0000FF"/>
            <w:u w:val="single" w:color="0000FF"/>
          </w:rPr>
          <w:t>c4t-services@cedefop.europa.eu</w:t>
        </w:r>
      </w:hyperlink>
    </w:p>
    <w:p>
      <w:pPr>
        <w:pStyle w:val="BodyText"/>
        <w:spacing w:before="5"/>
        <w:rPr>
          <w:sz w:val="21"/>
        </w:rPr>
      </w:pPr>
    </w:p>
    <w:p>
      <w:pPr>
        <w:pStyle w:val="Heading1"/>
        <w:numPr>
          <w:ilvl w:val="1"/>
          <w:numId w:val="6"/>
        </w:numPr>
        <w:tabs>
          <w:tab w:pos="1162" w:val="left" w:leader="none"/>
        </w:tabs>
        <w:spacing w:line="240" w:lineRule="auto" w:before="1" w:after="0"/>
        <w:ind w:left="1161" w:right="0" w:hanging="421"/>
        <w:jc w:val="left"/>
      </w:pPr>
      <w:r>
        <w:rPr/>
        <w:t>Communication details of the</w:t>
      </w:r>
      <w:r>
        <w:rPr>
          <w:spacing w:val="-1"/>
        </w:rPr>
        <w:t> </w:t>
      </w:r>
      <w:r>
        <w:rPr/>
        <w:t>partner</w:t>
      </w:r>
    </w:p>
    <w:p>
      <w:pPr>
        <w:pStyle w:val="BodyText"/>
        <w:spacing w:before="3"/>
        <w:rPr>
          <w:b/>
          <w:sz w:val="28"/>
        </w:rPr>
      </w:pPr>
    </w:p>
    <w:p>
      <w:pPr>
        <w:pStyle w:val="BodyText"/>
        <w:spacing w:line="384" w:lineRule="auto"/>
        <w:ind w:left="1451" w:right="1456" w:hanging="711"/>
      </w:pPr>
      <w:r>
        <w:rPr/>
        <w:t>Veškerá korespondence ze strany Cedefop partnerovi musí být zasílána na tuto adresu: Kaňáková Martina</w:t>
      </w:r>
    </w:p>
    <w:p>
      <w:pPr>
        <w:pStyle w:val="BodyText"/>
        <w:spacing w:line="384" w:lineRule="auto"/>
        <w:ind w:left="1451" w:right="3636"/>
      </w:pPr>
      <w:r>
        <w:rPr/>
        <w:t>Národní pedagogický institut České republiky – NPI ČR Senovážné náměstí 25</w:t>
      </w:r>
    </w:p>
    <w:p>
      <w:pPr>
        <w:pStyle w:val="BodyText"/>
        <w:spacing w:line="263" w:lineRule="exact"/>
        <w:ind w:left="1451"/>
      </w:pPr>
      <w:r>
        <w:rPr/>
        <w:t>110 00 Praha Česká republika</w:t>
      </w:r>
    </w:p>
    <w:p>
      <w:pPr>
        <w:pStyle w:val="BodyText"/>
        <w:spacing w:before="5"/>
        <w:rPr>
          <w:sz w:val="25"/>
        </w:rPr>
      </w:pPr>
    </w:p>
    <w:p>
      <w:pPr>
        <w:pStyle w:val="Heading2"/>
      </w:pPr>
      <w:r>
        <w:rPr/>
        <w:t>ČLÁNEK 8 – PŘIDRUŽENÉ SUBJEKTY PARTNERA – NEUPLATŇUJE SE</w:t>
      </w:r>
    </w:p>
    <w:p>
      <w:pPr>
        <w:pStyle w:val="BodyText"/>
        <w:spacing w:before="7"/>
        <w:rPr>
          <w:b/>
          <w:sz w:val="21"/>
        </w:rPr>
      </w:pPr>
    </w:p>
    <w:p>
      <w:pPr>
        <w:spacing w:line="235" w:lineRule="auto" w:before="0"/>
        <w:ind w:left="741" w:right="531" w:firstLine="0"/>
        <w:jc w:val="left"/>
        <w:rPr>
          <w:b/>
          <w:sz w:val="24"/>
        </w:rPr>
      </w:pPr>
      <w:r>
        <w:rPr>
          <w:b/>
          <w:sz w:val="24"/>
        </w:rPr>
        <w:t>ČLÁNEK 9 – DODATEČNÁ USTANOVENÍ O VYUŽITÍ VÝSLEDKŮ (VČETNĚ PRÁV DUŠEVNÍHO A PRŮMYSLOVÉHO VLASTNICTVÍ)</w:t>
      </w:r>
    </w:p>
    <w:p>
      <w:pPr>
        <w:pStyle w:val="BodyText"/>
        <w:spacing w:line="278" w:lineRule="auto" w:before="55"/>
        <w:ind w:left="741"/>
      </w:pPr>
      <w:r>
        <w:rPr/>
        <w:t>V souladu s článkem II. 9. 3 rámcové smlouvy, podle kterého Unie získává právo na využívání výsledků akce, mohou být tyto výsledky vytěžovány v následujících režimech:</w:t>
      </w:r>
    </w:p>
    <w:p>
      <w:pPr>
        <w:pStyle w:val="BodyText"/>
        <w:spacing w:before="6"/>
        <w:rPr>
          <w:sz w:val="23"/>
        </w:rPr>
      </w:pPr>
    </w:p>
    <w:p>
      <w:pPr>
        <w:pStyle w:val="ListParagraph"/>
        <w:numPr>
          <w:ilvl w:val="0"/>
          <w:numId w:val="7"/>
        </w:numPr>
        <w:tabs>
          <w:tab w:pos="1461" w:val="left" w:leader="none"/>
          <w:tab w:pos="1462" w:val="left" w:leader="none"/>
        </w:tabs>
        <w:spacing w:line="240" w:lineRule="auto" w:before="0" w:after="0"/>
        <w:ind w:left="1461" w:right="0" w:hanging="721"/>
        <w:jc w:val="left"/>
        <w:rPr>
          <w:sz w:val="24"/>
        </w:rPr>
      </w:pPr>
      <w:r>
        <w:rPr>
          <w:sz w:val="24"/>
        </w:rPr>
        <w:t>využití pro vlastní</w:t>
      </w:r>
      <w:r>
        <w:rPr>
          <w:spacing w:val="-14"/>
          <w:sz w:val="24"/>
        </w:rPr>
        <w:t> </w:t>
      </w:r>
      <w:r>
        <w:rPr>
          <w:sz w:val="24"/>
        </w:rPr>
        <w:t>účely:</w:t>
      </w:r>
    </w:p>
    <w:p>
      <w:pPr>
        <w:pStyle w:val="BodyText"/>
        <w:spacing w:before="11"/>
      </w:pPr>
    </w:p>
    <w:p>
      <w:pPr>
        <w:pStyle w:val="ListParagraph"/>
        <w:numPr>
          <w:ilvl w:val="1"/>
          <w:numId w:val="7"/>
        </w:numPr>
        <w:tabs>
          <w:tab w:pos="1871" w:val="left" w:leader="none"/>
          <w:tab w:pos="1872" w:val="left" w:leader="none"/>
        </w:tabs>
        <w:spacing w:line="240" w:lineRule="auto" w:before="0" w:after="0"/>
        <w:ind w:left="1872" w:right="0" w:hanging="421"/>
        <w:jc w:val="left"/>
        <w:rPr>
          <w:sz w:val="24"/>
        </w:rPr>
      </w:pPr>
      <w:r>
        <w:rPr>
          <w:sz w:val="24"/>
        </w:rPr>
        <w:t>poskytnutí přístupu zaměstnancům</w:t>
      </w:r>
      <w:r>
        <w:rPr>
          <w:spacing w:val="-3"/>
          <w:sz w:val="24"/>
        </w:rPr>
        <w:t> </w:t>
      </w:r>
      <w:r>
        <w:rPr>
          <w:sz w:val="24"/>
        </w:rPr>
        <w:t>zadavatele;</w:t>
      </w:r>
    </w:p>
    <w:p>
      <w:pPr>
        <w:pStyle w:val="ListParagraph"/>
        <w:numPr>
          <w:ilvl w:val="1"/>
          <w:numId w:val="7"/>
        </w:numPr>
        <w:tabs>
          <w:tab w:pos="1871" w:val="left" w:leader="none"/>
          <w:tab w:pos="1872" w:val="left" w:leader="none"/>
        </w:tabs>
        <w:spacing w:line="252" w:lineRule="auto" w:before="6" w:after="0"/>
        <w:ind w:left="1872" w:right="163" w:hanging="421"/>
        <w:jc w:val="left"/>
        <w:rPr>
          <w:sz w:val="24"/>
        </w:rPr>
      </w:pPr>
      <w:r>
        <w:rPr>
          <w:sz w:val="24"/>
        </w:rPr>
        <w:t>poskytnutí přístupu osobám a subjektům, které se zadavatelem spolupracují nebo které pro něj pracují, včetně dodavatelů, subdodavatelů, ať už právnických nebo fyzických osob, dále institucím, úřadům a agenturám EU, jakož i vnitrostátním orgánům</w:t>
      </w:r>
      <w:r>
        <w:rPr>
          <w:spacing w:val="-21"/>
          <w:sz w:val="24"/>
        </w:rPr>
        <w:t> </w:t>
      </w:r>
      <w:r>
        <w:rPr>
          <w:sz w:val="24"/>
        </w:rPr>
        <w:t>členských států </w:t>
      </w:r>
      <w:r>
        <w:rPr>
          <w:spacing w:val="-4"/>
          <w:sz w:val="24"/>
        </w:rPr>
        <w:t>EU;</w:t>
      </w:r>
    </w:p>
    <w:p>
      <w:pPr>
        <w:pStyle w:val="ListParagraph"/>
        <w:numPr>
          <w:ilvl w:val="1"/>
          <w:numId w:val="7"/>
        </w:numPr>
        <w:tabs>
          <w:tab w:pos="1871" w:val="left" w:leader="none"/>
          <w:tab w:pos="1872" w:val="left" w:leader="none"/>
        </w:tabs>
        <w:spacing w:line="285" w:lineRule="exact" w:before="0" w:after="0"/>
        <w:ind w:left="1872" w:right="0" w:hanging="421"/>
        <w:jc w:val="left"/>
        <w:rPr>
          <w:sz w:val="24"/>
        </w:rPr>
      </w:pPr>
      <w:r>
        <w:rPr>
          <w:sz w:val="24"/>
        </w:rPr>
        <w:t>instalace, stahování/nahrávání,</w:t>
      </w:r>
      <w:r>
        <w:rPr>
          <w:spacing w:val="-1"/>
          <w:sz w:val="24"/>
        </w:rPr>
        <w:t> </w:t>
      </w:r>
      <w:r>
        <w:rPr>
          <w:sz w:val="24"/>
        </w:rPr>
        <w:t>zpracování;</w:t>
      </w:r>
    </w:p>
    <w:p>
      <w:pPr>
        <w:pStyle w:val="ListParagraph"/>
        <w:numPr>
          <w:ilvl w:val="1"/>
          <w:numId w:val="7"/>
        </w:numPr>
        <w:tabs>
          <w:tab w:pos="1871" w:val="left" w:leader="none"/>
          <w:tab w:pos="1872" w:val="left" w:leader="none"/>
        </w:tabs>
        <w:spacing w:line="290" w:lineRule="exact" w:before="0" w:after="0"/>
        <w:ind w:left="1872" w:right="0" w:hanging="421"/>
        <w:jc w:val="left"/>
        <w:rPr>
          <w:sz w:val="24"/>
        </w:rPr>
      </w:pPr>
      <w:r>
        <w:rPr>
          <w:sz w:val="24"/>
        </w:rPr>
        <w:t>upravování, kompilace, kombinování,</w:t>
      </w:r>
      <w:r>
        <w:rPr>
          <w:spacing w:val="-1"/>
          <w:sz w:val="24"/>
        </w:rPr>
        <w:t> </w:t>
      </w:r>
      <w:r>
        <w:rPr>
          <w:sz w:val="24"/>
        </w:rPr>
        <w:t>vyhledávání;</w:t>
      </w:r>
    </w:p>
    <w:p>
      <w:pPr>
        <w:pStyle w:val="ListParagraph"/>
        <w:numPr>
          <w:ilvl w:val="1"/>
          <w:numId w:val="7"/>
        </w:numPr>
        <w:tabs>
          <w:tab w:pos="1871" w:val="left" w:leader="none"/>
          <w:tab w:pos="1872" w:val="left" w:leader="none"/>
        </w:tabs>
        <w:spacing w:line="292" w:lineRule="exact" w:before="0" w:after="0"/>
        <w:ind w:left="1872" w:right="0" w:hanging="421"/>
        <w:jc w:val="left"/>
        <w:rPr>
          <w:sz w:val="24"/>
        </w:rPr>
      </w:pPr>
      <w:r>
        <w:rPr>
          <w:sz w:val="24"/>
        </w:rPr>
        <w:t>kopírování, rozmnožování v celku nebo jenom po částech a v neomezeném počtu</w:t>
      </w:r>
      <w:r>
        <w:rPr>
          <w:spacing w:val="-5"/>
          <w:sz w:val="24"/>
        </w:rPr>
        <w:t> </w:t>
      </w:r>
      <w:r>
        <w:rPr>
          <w:spacing w:val="-3"/>
          <w:sz w:val="24"/>
        </w:rPr>
        <w:t>kopií.</w:t>
      </w:r>
    </w:p>
    <w:p>
      <w:pPr>
        <w:pStyle w:val="BodyText"/>
        <w:spacing w:before="2"/>
        <w:rPr>
          <w:sz w:val="28"/>
        </w:rPr>
      </w:pPr>
    </w:p>
    <w:p>
      <w:pPr>
        <w:pStyle w:val="ListParagraph"/>
        <w:numPr>
          <w:ilvl w:val="0"/>
          <w:numId w:val="8"/>
        </w:numPr>
        <w:tabs>
          <w:tab w:pos="1462" w:val="left" w:leader="none"/>
        </w:tabs>
        <w:spacing w:line="268" w:lineRule="auto" w:before="0" w:after="0"/>
        <w:ind w:left="1461" w:right="231" w:hanging="361"/>
        <w:jc w:val="left"/>
        <w:rPr>
          <w:sz w:val="24"/>
        </w:rPr>
      </w:pPr>
      <w:r>
        <w:rPr>
          <w:sz w:val="24"/>
        </w:rPr>
        <w:t>veřejná</w:t>
      </w:r>
      <w:r>
        <w:rPr>
          <w:spacing w:val="-8"/>
          <w:sz w:val="24"/>
        </w:rPr>
        <w:t> </w:t>
      </w:r>
      <w:r>
        <w:rPr>
          <w:sz w:val="24"/>
        </w:rPr>
        <w:t>distribuce</w:t>
      </w:r>
      <w:r>
        <w:rPr>
          <w:spacing w:val="-8"/>
          <w:sz w:val="24"/>
        </w:rPr>
        <w:t> </w:t>
      </w:r>
      <w:r>
        <w:rPr>
          <w:sz w:val="24"/>
        </w:rPr>
        <w:t>v</w:t>
      </w:r>
      <w:r>
        <w:rPr>
          <w:spacing w:val="3"/>
          <w:sz w:val="24"/>
        </w:rPr>
        <w:t> </w:t>
      </w:r>
      <w:r>
        <w:rPr>
          <w:sz w:val="24"/>
        </w:rPr>
        <w:t>tištěné</w:t>
      </w:r>
      <w:r>
        <w:rPr>
          <w:spacing w:val="-8"/>
          <w:sz w:val="24"/>
        </w:rPr>
        <w:t> </w:t>
      </w:r>
      <w:r>
        <w:rPr>
          <w:sz w:val="24"/>
        </w:rPr>
        <w:t>podobě,</w:t>
      </w:r>
      <w:r>
        <w:rPr>
          <w:spacing w:val="-12"/>
          <w:sz w:val="24"/>
        </w:rPr>
        <w:t> </w:t>
      </w:r>
      <w:r>
        <w:rPr>
          <w:sz w:val="24"/>
        </w:rPr>
        <w:t>v</w:t>
      </w:r>
      <w:r>
        <w:rPr>
          <w:spacing w:val="1"/>
          <w:sz w:val="24"/>
        </w:rPr>
        <w:t> </w:t>
      </w:r>
      <w:r>
        <w:rPr>
          <w:sz w:val="24"/>
        </w:rPr>
        <w:t>elektronické</w:t>
      </w:r>
      <w:r>
        <w:rPr>
          <w:spacing w:val="-7"/>
          <w:sz w:val="24"/>
        </w:rPr>
        <w:t> </w:t>
      </w:r>
      <w:r>
        <w:rPr>
          <w:sz w:val="24"/>
        </w:rPr>
        <w:t>nebo</w:t>
      </w:r>
      <w:r>
        <w:rPr>
          <w:spacing w:val="-12"/>
          <w:sz w:val="24"/>
        </w:rPr>
        <w:t> </w:t>
      </w:r>
      <w:r>
        <w:rPr>
          <w:sz w:val="24"/>
        </w:rPr>
        <w:t>digitální</w:t>
      </w:r>
      <w:r>
        <w:rPr>
          <w:spacing w:val="-18"/>
          <w:sz w:val="24"/>
        </w:rPr>
        <w:t> </w:t>
      </w:r>
      <w:r>
        <w:rPr>
          <w:sz w:val="24"/>
        </w:rPr>
        <w:t>podobě,</w:t>
      </w:r>
      <w:r>
        <w:rPr>
          <w:spacing w:val="-12"/>
          <w:sz w:val="24"/>
        </w:rPr>
        <w:t> </w:t>
      </w:r>
      <w:r>
        <w:rPr>
          <w:sz w:val="24"/>
        </w:rPr>
        <w:t>na</w:t>
      </w:r>
      <w:r>
        <w:rPr>
          <w:spacing w:val="-7"/>
          <w:sz w:val="24"/>
        </w:rPr>
        <w:t> </w:t>
      </w:r>
      <w:r>
        <w:rPr>
          <w:sz w:val="24"/>
        </w:rPr>
        <w:t>internetu</w:t>
      </w:r>
      <w:r>
        <w:rPr>
          <w:spacing w:val="-12"/>
          <w:sz w:val="24"/>
        </w:rPr>
        <w:t> </w:t>
      </w:r>
      <w:r>
        <w:rPr>
          <w:sz w:val="24"/>
        </w:rPr>
        <w:t>včetně sociálních sítí v podobě souboru ke stažení nebo bez možnosti</w:t>
      </w:r>
      <w:r>
        <w:rPr>
          <w:spacing w:val="-13"/>
          <w:sz w:val="24"/>
        </w:rPr>
        <w:t> </w:t>
      </w:r>
      <w:r>
        <w:rPr>
          <w:sz w:val="24"/>
        </w:rPr>
        <w:t>stažení;</w:t>
      </w:r>
    </w:p>
    <w:p>
      <w:pPr>
        <w:pStyle w:val="ListParagraph"/>
        <w:numPr>
          <w:ilvl w:val="0"/>
          <w:numId w:val="8"/>
        </w:numPr>
        <w:tabs>
          <w:tab w:pos="1462" w:val="left" w:leader="none"/>
        </w:tabs>
        <w:spacing w:line="240" w:lineRule="auto" w:before="13" w:after="0"/>
        <w:ind w:left="1461" w:right="0" w:hanging="361"/>
        <w:jc w:val="left"/>
        <w:rPr>
          <w:sz w:val="24"/>
        </w:rPr>
      </w:pPr>
      <w:r>
        <w:rPr>
          <w:sz w:val="24"/>
        </w:rPr>
        <w:t>komunikace prostřednictvím tiskových informačních</w:t>
      </w:r>
      <w:r>
        <w:rPr>
          <w:spacing w:val="-6"/>
          <w:sz w:val="24"/>
        </w:rPr>
        <w:t> </w:t>
      </w:r>
      <w:r>
        <w:rPr>
          <w:sz w:val="24"/>
        </w:rPr>
        <w:t>služeb;</w:t>
      </w:r>
    </w:p>
    <w:p>
      <w:pPr>
        <w:pStyle w:val="ListParagraph"/>
        <w:numPr>
          <w:ilvl w:val="0"/>
          <w:numId w:val="8"/>
        </w:numPr>
        <w:tabs>
          <w:tab w:pos="1462" w:val="left" w:leader="none"/>
        </w:tabs>
        <w:spacing w:line="240" w:lineRule="auto" w:before="44" w:after="0"/>
        <w:ind w:left="1461" w:right="0" w:hanging="361"/>
        <w:jc w:val="left"/>
        <w:rPr>
          <w:sz w:val="24"/>
        </w:rPr>
      </w:pPr>
      <w:r>
        <w:rPr>
          <w:sz w:val="24"/>
        </w:rPr>
        <w:t>začlenění do široce dostupných databází nebo indexů, například prostřednictvím</w:t>
      </w:r>
      <w:r>
        <w:rPr>
          <w:spacing w:val="17"/>
          <w:sz w:val="24"/>
        </w:rPr>
        <w:t> </w:t>
      </w:r>
      <w:r>
        <w:rPr>
          <w:sz w:val="24"/>
        </w:rPr>
        <w:t>portálů</w:t>
      </w:r>
    </w:p>
    <w:p>
      <w:pPr>
        <w:pStyle w:val="BodyText"/>
        <w:spacing w:line="271" w:lineRule="auto" w:before="44"/>
        <w:ind w:left="1461"/>
      </w:pPr>
      <w:r>
        <w:rPr/>
        <w:t>„otevřeného přístupu“ nebo „otevřených dat“  nebo podobných úložišť, ať již volně přístupných nebo přístupných pouze na základě předplatného;</w:t>
      </w:r>
    </w:p>
    <w:p>
      <w:pPr>
        <w:spacing w:after="0" w:line="271" w:lineRule="auto"/>
        <w:sectPr>
          <w:pgSz w:w="12240" w:h="15840"/>
          <w:pgMar w:header="720" w:footer="765" w:top="1300" w:bottom="960" w:left="680" w:right="1020"/>
        </w:sectPr>
      </w:pPr>
    </w:p>
    <w:p>
      <w:pPr>
        <w:pStyle w:val="ListParagraph"/>
        <w:numPr>
          <w:ilvl w:val="0"/>
          <w:numId w:val="8"/>
        </w:numPr>
        <w:tabs>
          <w:tab w:pos="1462" w:val="left" w:leader="none"/>
        </w:tabs>
        <w:spacing w:line="278" w:lineRule="auto" w:before="80" w:after="0"/>
        <w:ind w:left="1461" w:right="605" w:hanging="361"/>
        <w:jc w:val="left"/>
        <w:rPr>
          <w:sz w:val="24"/>
        </w:rPr>
      </w:pPr>
      <w:r>
        <w:rPr>
          <w:sz w:val="24"/>
        </w:rPr>
        <w:t>upravovat nebo parafrázovat </w:t>
      </w:r>
      <w:r>
        <w:rPr>
          <w:spacing w:val="-3"/>
          <w:sz w:val="24"/>
        </w:rPr>
        <w:t>jiným </w:t>
      </w:r>
      <w:r>
        <w:rPr>
          <w:sz w:val="24"/>
        </w:rPr>
        <w:t>způsobem výsledky akce, včetně zkracování, shrnutí obsahu, úpravy obsahu, opravy technických chyb a podle potřeby vkládání</w:t>
      </w:r>
      <w:r>
        <w:rPr>
          <w:spacing w:val="-5"/>
          <w:sz w:val="24"/>
        </w:rPr>
        <w:t> </w:t>
      </w:r>
      <w:r>
        <w:rPr>
          <w:sz w:val="24"/>
        </w:rPr>
        <w:t>textu;</w:t>
      </w:r>
    </w:p>
    <w:p>
      <w:pPr>
        <w:pStyle w:val="ListParagraph"/>
        <w:numPr>
          <w:ilvl w:val="0"/>
          <w:numId w:val="8"/>
        </w:numPr>
        <w:tabs>
          <w:tab w:pos="1462" w:val="left" w:leader="none"/>
        </w:tabs>
        <w:spacing w:line="278" w:lineRule="auto" w:before="0" w:after="0"/>
        <w:ind w:left="1461" w:right="398" w:hanging="361"/>
        <w:jc w:val="left"/>
        <w:rPr>
          <w:sz w:val="24"/>
        </w:rPr>
      </w:pPr>
      <w:r>
        <w:rPr>
          <w:sz w:val="24"/>
        </w:rPr>
        <w:t>ořezávání, vkládání meta-dat nebo jiných grafických vizuálních, zvukových nebo</w:t>
      </w:r>
      <w:r>
        <w:rPr>
          <w:spacing w:val="-18"/>
          <w:sz w:val="24"/>
        </w:rPr>
        <w:t> </w:t>
      </w:r>
      <w:r>
        <w:rPr>
          <w:sz w:val="24"/>
        </w:rPr>
        <w:t>slovních prvků a vkládání nových podle výsledků</w:t>
      </w:r>
      <w:r>
        <w:rPr>
          <w:spacing w:val="-2"/>
          <w:sz w:val="24"/>
        </w:rPr>
        <w:t> </w:t>
      </w:r>
      <w:r>
        <w:rPr>
          <w:sz w:val="24"/>
        </w:rPr>
        <w:t>akce;</w:t>
      </w:r>
    </w:p>
    <w:p>
      <w:pPr>
        <w:pStyle w:val="ListParagraph"/>
        <w:numPr>
          <w:ilvl w:val="0"/>
          <w:numId w:val="8"/>
        </w:numPr>
        <w:tabs>
          <w:tab w:pos="1462" w:val="left" w:leader="none"/>
        </w:tabs>
        <w:spacing w:line="278" w:lineRule="auto" w:before="0" w:after="0"/>
        <w:ind w:left="1461" w:right="799" w:hanging="361"/>
        <w:jc w:val="left"/>
        <w:rPr>
          <w:sz w:val="24"/>
        </w:rPr>
      </w:pPr>
      <w:r>
        <w:rPr>
          <w:sz w:val="24"/>
        </w:rPr>
        <w:t>extrahování částí (např. video nebo audio souborů), rozdělení do částí nebo</w:t>
      </w:r>
      <w:r>
        <w:rPr>
          <w:spacing w:val="-18"/>
          <w:sz w:val="24"/>
        </w:rPr>
        <w:t> </w:t>
      </w:r>
      <w:r>
        <w:rPr>
          <w:sz w:val="24"/>
        </w:rPr>
        <w:t>kompilace výsledků akce;</w:t>
      </w:r>
    </w:p>
    <w:p>
      <w:pPr>
        <w:pStyle w:val="ListParagraph"/>
        <w:numPr>
          <w:ilvl w:val="0"/>
          <w:numId w:val="8"/>
        </w:numPr>
        <w:tabs>
          <w:tab w:pos="1462" w:val="left" w:leader="none"/>
        </w:tabs>
        <w:spacing w:line="266" w:lineRule="exact" w:before="0" w:after="0"/>
        <w:ind w:left="1461" w:right="0" w:hanging="361"/>
        <w:jc w:val="left"/>
        <w:rPr>
          <w:sz w:val="24"/>
        </w:rPr>
      </w:pPr>
      <w:r>
        <w:rPr>
          <w:sz w:val="24"/>
        </w:rPr>
        <w:t>zpracovávání odvozených studií založených na výsledcích</w:t>
      </w:r>
      <w:r>
        <w:rPr>
          <w:spacing w:val="-2"/>
          <w:sz w:val="24"/>
        </w:rPr>
        <w:t> </w:t>
      </w:r>
      <w:r>
        <w:rPr>
          <w:sz w:val="24"/>
        </w:rPr>
        <w:t>akce;</w:t>
      </w:r>
    </w:p>
    <w:p>
      <w:pPr>
        <w:pStyle w:val="ListParagraph"/>
        <w:numPr>
          <w:ilvl w:val="0"/>
          <w:numId w:val="8"/>
        </w:numPr>
        <w:tabs>
          <w:tab w:pos="1462" w:val="left" w:leader="none"/>
        </w:tabs>
        <w:spacing w:line="235" w:lineRule="auto" w:before="38" w:after="0"/>
        <w:ind w:left="1461" w:right="1072" w:hanging="361"/>
        <w:jc w:val="left"/>
        <w:rPr>
          <w:sz w:val="24"/>
        </w:rPr>
      </w:pPr>
      <w:r>
        <w:rPr>
          <w:sz w:val="24"/>
        </w:rPr>
        <w:t>překládání, vkládání titulků, dabování výsledků akce do všech úředních jazyků</w:t>
      </w:r>
      <w:r>
        <w:rPr>
          <w:spacing w:val="-23"/>
          <w:sz w:val="24"/>
        </w:rPr>
        <w:t> </w:t>
      </w:r>
      <w:r>
        <w:rPr>
          <w:sz w:val="24"/>
        </w:rPr>
        <w:t>EU, norštiny a</w:t>
      </w:r>
      <w:r>
        <w:rPr>
          <w:spacing w:val="2"/>
          <w:sz w:val="24"/>
        </w:rPr>
        <w:t> </w:t>
      </w:r>
      <w:r>
        <w:rPr>
          <w:sz w:val="24"/>
        </w:rPr>
        <w:t>islandštiny;</w:t>
      </w:r>
    </w:p>
    <w:p>
      <w:pPr>
        <w:pStyle w:val="ListParagraph"/>
        <w:numPr>
          <w:ilvl w:val="0"/>
          <w:numId w:val="8"/>
        </w:numPr>
        <w:tabs>
          <w:tab w:pos="1462" w:val="left" w:leader="none"/>
        </w:tabs>
        <w:spacing w:line="240" w:lineRule="auto" w:before="6" w:after="0"/>
        <w:ind w:left="1461" w:right="221" w:hanging="361"/>
        <w:jc w:val="both"/>
        <w:rPr>
          <w:sz w:val="24"/>
        </w:rPr>
      </w:pPr>
      <w:r>
        <w:rPr>
          <w:sz w:val="24"/>
        </w:rPr>
        <w:t>udělování licence nebo </w:t>
      </w:r>
      <w:r>
        <w:rPr>
          <w:spacing w:val="-3"/>
          <w:sz w:val="24"/>
        </w:rPr>
        <w:t>dílčí </w:t>
      </w:r>
      <w:r>
        <w:rPr>
          <w:sz w:val="24"/>
        </w:rPr>
        <w:t>licence třetím stranám, včetně případů, kdy existují licence na dříve existující práva, na všechna práva nebo </w:t>
      </w:r>
      <w:r>
        <w:rPr>
          <w:spacing w:val="-3"/>
          <w:sz w:val="24"/>
        </w:rPr>
        <w:t>režimy </w:t>
      </w:r>
      <w:r>
        <w:rPr>
          <w:sz w:val="24"/>
        </w:rPr>
        <w:t>vytěžování stanovená v článku II.9.3 rámcové</w:t>
      </w:r>
      <w:r>
        <w:rPr>
          <w:spacing w:val="3"/>
          <w:sz w:val="24"/>
        </w:rPr>
        <w:t> </w:t>
      </w:r>
      <w:r>
        <w:rPr>
          <w:spacing w:val="-3"/>
          <w:sz w:val="24"/>
        </w:rPr>
        <w:t>smlouvy;</w:t>
      </w:r>
    </w:p>
    <w:p>
      <w:pPr>
        <w:pStyle w:val="BodyText"/>
        <w:spacing w:before="6"/>
      </w:pPr>
    </w:p>
    <w:p>
      <w:pPr>
        <w:pStyle w:val="BodyText"/>
        <w:spacing w:line="278" w:lineRule="auto"/>
        <w:ind w:left="741" w:right="243"/>
      </w:pPr>
      <w:r>
        <w:rPr/>
        <w:t>Partner musí zajistit, aby Unie měla práva na využívání uvedená v článku II.9.3 rámcové smlouvy po celou dobu trvání dotčených práv průmyslového nebo duševního vlastnictví.</w:t>
      </w:r>
    </w:p>
    <w:p>
      <w:pPr>
        <w:pStyle w:val="BodyText"/>
        <w:spacing w:before="10"/>
        <w:rPr>
          <w:sz w:val="20"/>
        </w:rPr>
      </w:pPr>
    </w:p>
    <w:p>
      <w:pPr>
        <w:pStyle w:val="Heading2"/>
        <w:spacing w:before="1"/>
      </w:pPr>
      <w:r>
        <w:rPr/>
        <w:t>ČLÁNEK 10 – NEZPŮSOBILOST DANĚ Z PŘIDANÉ HODNOTY</w:t>
      </w:r>
    </w:p>
    <w:p>
      <w:pPr>
        <w:pStyle w:val="BodyText"/>
        <w:spacing w:before="54"/>
        <w:ind w:left="741" w:right="294"/>
      </w:pPr>
      <w:r>
        <w:rPr/>
        <w:t>Výjimku z článku II. 19. 2 (h) rámcové smlouvy, kdy placená daň z přidané hodnoty (DPH) není ve smyslu zvláštní dohody považovaná za způsobilou, tvoří následující činnosti popsané v příloze I:</w:t>
      </w:r>
    </w:p>
    <w:p>
      <w:pPr>
        <w:pStyle w:val="ListParagraph"/>
        <w:numPr>
          <w:ilvl w:val="0"/>
          <w:numId w:val="9"/>
        </w:numPr>
        <w:tabs>
          <w:tab w:pos="1461" w:val="left" w:leader="none"/>
          <w:tab w:pos="1462" w:val="left" w:leader="none"/>
        </w:tabs>
        <w:spacing w:line="242" w:lineRule="auto" w:before="0" w:after="0"/>
        <w:ind w:left="1461" w:right="973" w:hanging="361"/>
        <w:jc w:val="left"/>
        <w:rPr>
          <w:rFonts w:ascii="Symbol" w:hAnsi="Symbol"/>
          <w:sz w:val="24"/>
        </w:rPr>
      </w:pPr>
      <w:r>
        <w:rPr>
          <w:sz w:val="24"/>
        </w:rPr>
        <w:t>dani podléhající nebo od daně osvobozené činnosti, které </w:t>
      </w:r>
      <w:r>
        <w:rPr>
          <w:spacing w:val="-3"/>
          <w:sz w:val="24"/>
        </w:rPr>
        <w:t>jsou </w:t>
      </w:r>
      <w:r>
        <w:rPr>
          <w:sz w:val="24"/>
        </w:rPr>
        <w:t>odečitatelné. U těchto činností </w:t>
      </w:r>
      <w:r>
        <w:rPr>
          <w:spacing w:val="-4"/>
          <w:sz w:val="24"/>
        </w:rPr>
        <w:t>je </w:t>
      </w:r>
      <w:r>
        <w:rPr>
          <w:sz w:val="24"/>
        </w:rPr>
        <w:t>DPH odečitatelná, a tedy</w:t>
      </w:r>
      <w:r>
        <w:rPr>
          <w:spacing w:val="7"/>
          <w:sz w:val="24"/>
        </w:rPr>
        <w:t> </w:t>
      </w:r>
      <w:r>
        <w:rPr>
          <w:sz w:val="24"/>
        </w:rPr>
        <w:t>nezpůsobilá;</w:t>
      </w:r>
    </w:p>
    <w:p>
      <w:pPr>
        <w:pStyle w:val="ListParagraph"/>
        <w:numPr>
          <w:ilvl w:val="0"/>
          <w:numId w:val="9"/>
        </w:numPr>
        <w:tabs>
          <w:tab w:pos="1461" w:val="left" w:leader="none"/>
          <w:tab w:pos="1462" w:val="left" w:leader="none"/>
        </w:tabs>
        <w:spacing w:line="244" w:lineRule="auto" w:before="0" w:after="0"/>
        <w:ind w:left="1461" w:right="1145" w:hanging="361"/>
        <w:jc w:val="left"/>
        <w:rPr>
          <w:rFonts w:ascii="Symbol" w:hAnsi="Symbol"/>
          <w:sz w:val="20"/>
        </w:rPr>
      </w:pPr>
      <w:r>
        <w:rPr>
          <w:sz w:val="24"/>
        </w:rPr>
        <w:t>činnosti vykonávané partnerem v roli orgánu veřejné správy, ať už </w:t>
      </w:r>
      <w:r>
        <w:rPr>
          <w:spacing w:val="-4"/>
          <w:sz w:val="24"/>
        </w:rPr>
        <w:t>je </w:t>
      </w:r>
      <w:r>
        <w:rPr>
          <w:sz w:val="24"/>
        </w:rPr>
        <w:t>to stát, orgán regionální nebo místní samosprávy, či </w:t>
      </w:r>
      <w:r>
        <w:rPr>
          <w:spacing w:val="-4"/>
          <w:sz w:val="24"/>
        </w:rPr>
        <w:t>jiný </w:t>
      </w:r>
      <w:r>
        <w:rPr>
          <w:sz w:val="24"/>
        </w:rPr>
        <w:t>subjekt veřejného</w:t>
      </w:r>
      <w:r>
        <w:rPr>
          <w:spacing w:val="12"/>
          <w:sz w:val="24"/>
        </w:rPr>
        <w:t> </w:t>
      </w:r>
      <w:r>
        <w:rPr>
          <w:sz w:val="24"/>
        </w:rPr>
        <w:t>práva.</w:t>
      </w:r>
    </w:p>
    <w:p>
      <w:pPr>
        <w:pStyle w:val="BodyText"/>
        <w:spacing w:before="5"/>
        <w:rPr>
          <w:sz w:val="20"/>
        </w:rPr>
      </w:pPr>
    </w:p>
    <w:p>
      <w:pPr>
        <w:pStyle w:val="Heading2"/>
        <w:ind w:right="583"/>
        <w:jc w:val="both"/>
      </w:pPr>
      <w:r>
        <w:rPr/>
        <w:t>ČLÁNEK 11 - ZVLÁŠTNÍ USTANOVENÍ O ROZPOČTOVÝCH PŘEVODECH ZAHRNUJÍCÍCH NEPŘEDVÍDANÉ UDÁLOSTI A ZTRÁTY VZNIKLÉ PŘEVODEM MĚN</w:t>
      </w:r>
    </w:p>
    <w:p>
      <w:pPr>
        <w:pStyle w:val="BodyText"/>
        <w:rPr>
          <w:b/>
          <w:sz w:val="28"/>
        </w:rPr>
      </w:pPr>
    </w:p>
    <w:p>
      <w:pPr>
        <w:pStyle w:val="BodyText"/>
        <w:ind w:left="741" w:right="230"/>
        <w:jc w:val="both"/>
      </w:pPr>
      <w:r>
        <w:rPr/>
        <w:t>Odchylně od ustanovení prvního odstavce článku II.22 rámcové smlouvy, každé použití ustanovení o rozpočtových převodech a kurzových ztrátách zahrnutých v předběžném rozpočtu v příloze II podléhá oznamovací povinnosti ze strany partnera a Cedefop je musí nejdříve schválit.</w:t>
      </w:r>
    </w:p>
    <w:p>
      <w:pPr>
        <w:pStyle w:val="BodyText"/>
        <w:rPr>
          <w:sz w:val="26"/>
        </w:rPr>
      </w:pPr>
    </w:p>
    <w:p>
      <w:pPr>
        <w:spacing w:before="213"/>
        <w:ind w:left="741" w:right="0" w:firstLine="0"/>
        <w:jc w:val="left"/>
        <w:rPr>
          <w:sz w:val="22"/>
        </w:rPr>
      </w:pPr>
      <w:r>
        <w:rPr>
          <w:sz w:val="22"/>
        </w:rPr>
        <w:t>PODPISY</w:t>
      </w:r>
    </w:p>
    <w:p>
      <w:pPr>
        <w:pStyle w:val="BodyText"/>
        <w:spacing w:before="6"/>
        <w:rPr>
          <w:sz w:val="21"/>
        </w:rPr>
      </w:pPr>
    </w:p>
    <w:p>
      <w:pPr>
        <w:tabs>
          <w:tab w:pos="6555" w:val="left" w:leader="none"/>
        </w:tabs>
        <w:spacing w:before="0"/>
        <w:ind w:left="741" w:right="0" w:firstLine="0"/>
        <w:jc w:val="both"/>
        <w:rPr>
          <w:sz w:val="22"/>
        </w:rPr>
      </w:pPr>
      <w:r>
        <w:rPr>
          <w:spacing w:val="-8"/>
          <w:sz w:val="22"/>
        </w:rPr>
        <w:t>Za</w:t>
      </w:r>
      <w:r>
        <w:rPr>
          <w:spacing w:val="5"/>
          <w:sz w:val="22"/>
        </w:rPr>
        <w:t> </w:t>
      </w:r>
      <w:r>
        <w:rPr>
          <w:sz w:val="22"/>
        </w:rPr>
        <w:t>partnera</w:t>
        <w:tab/>
      </w:r>
      <w:r>
        <w:rPr>
          <w:spacing w:val="-8"/>
          <w:sz w:val="22"/>
        </w:rPr>
        <w:t>Za</w:t>
      </w:r>
      <w:r>
        <w:rPr>
          <w:spacing w:val="7"/>
          <w:sz w:val="22"/>
        </w:rPr>
        <w:t> </w:t>
      </w:r>
      <w:r>
        <w:rPr>
          <w:sz w:val="22"/>
        </w:rPr>
        <w:t>Cedefop</w:t>
      </w:r>
    </w:p>
    <w:p>
      <w:pPr>
        <w:pStyle w:val="BodyText"/>
        <w:spacing w:before="6"/>
        <w:rPr>
          <w:sz w:val="22"/>
        </w:rPr>
      </w:pPr>
    </w:p>
    <w:p>
      <w:pPr>
        <w:tabs>
          <w:tab w:pos="6555" w:val="left" w:leader="none"/>
        </w:tabs>
        <w:spacing w:line="237" w:lineRule="auto" w:before="0"/>
        <w:ind w:left="6556" w:right="217" w:hanging="5815"/>
        <w:jc w:val="left"/>
        <w:rPr>
          <w:b/>
          <w:sz w:val="22"/>
        </w:rPr>
      </w:pPr>
      <w:r>
        <w:rPr>
          <w:b/>
          <w:spacing w:val="-2"/>
          <w:sz w:val="22"/>
        </w:rPr>
        <w:t>Mr. </w:t>
      </w:r>
      <w:r>
        <w:rPr>
          <w:b/>
          <w:sz w:val="22"/>
        </w:rPr>
        <w:t>Ivo Jupa,</w:t>
      </w:r>
      <w:r>
        <w:rPr>
          <w:b/>
          <w:spacing w:val="-3"/>
          <w:sz w:val="22"/>
        </w:rPr>
        <w:t> </w:t>
      </w:r>
      <w:r>
        <w:rPr>
          <w:b/>
          <w:sz w:val="22"/>
        </w:rPr>
        <w:t>ředitel</w:t>
        <w:tab/>
        <w:t>Loukas Zahilas, </w:t>
      </w:r>
      <w:r>
        <w:rPr>
          <w:sz w:val="22"/>
        </w:rPr>
        <w:t>ředitel </w:t>
      </w:r>
      <w:r>
        <w:rPr>
          <w:b/>
          <w:spacing w:val="-3"/>
          <w:sz w:val="22"/>
        </w:rPr>
        <w:t>Odboru </w:t>
      </w:r>
      <w:r>
        <w:rPr>
          <w:b/>
          <w:sz w:val="22"/>
        </w:rPr>
        <w:t>systémů a institucí</w:t>
      </w:r>
      <w:r>
        <w:rPr>
          <w:b/>
          <w:spacing w:val="6"/>
          <w:sz w:val="22"/>
        </w:rPr>
        <w:t> </w:t>
      </w:r>
      <w:r>
        <w:rPr>
          <w:b/>
          <w:spacing w:val="-2"/>
          <w:sz w:val="22"/>
        </w:rPr>
        <w:t>VET</w:t>
      </w:r>
    </w:p>
    <w:p>
      <w:pPr>
        <w:spacing w:after="0" w:line="237" w:lineRule="auto"/>
        <w:jc w:val="left"/>
        <w:rPr>
          <w:sz w:val="22"/>
        </w:rPr>
        <w:sectPr>
          <w:pgSz w:w="12240" w:h="15840"/>
          <w:pgMar w:header="720" w:footer="765" w:top="1300" w:bottom="960" w:left="680" w:right="1020"/>
        </w:sectPr>
      </w:pPr>
    </w:p>
    <w:p>
      <w:pPr>
        <w:spacing w:line="242" w:lineRule="auto" w:before="102"/>
        <w:ind w:left="2242" w:right="0" w:firstLine="0"/>
        <w:jc w:val="left"/>
        <w:rPr>
          <w:rFonts w:ascii="Calibri" w:hAnsi="Calibri"/>
          <w:sz w:val="17"/>
        </w:rPr>
      </w:pPr>
      <w:r>
        <w:rPr/>
        <w:pict>
          <v:shape style="position:absolute;margin-left:122.550003pt;margin-top:5.043269pt;width:44.05pt;height:43.75pt;mso-position-horizontal-relative:page;mso-position-vertical-relative:paragraph;z-index:-252187648" coordorigin="2451,101" coordsize="881,875" path="m2609,791l2533,841,2484,889,2458,931,2451,962,2456,973,2461,976,2518,976,2523,974,2468,974,2475,941,2504,895,2550,843,2609,791xm2828,101l2810,113,2801,140,2797,171,2797,192,2798,215,2799,234,2802,256,2806,280,2810,303,2816,328,2821,352,2828,376,2821,405,2802,458,2774,527,2737,608,2695,694,2649,778,2601,854,2554,917,2508,959,2468,974,2523,974,2526,973,2573,933,2629,861,2696,755,2704,752,2696,752,2748,657,2787,579,2814,517,2832,467,2844,426,2875,426,2855,374,2862,328,2844,328,2833,289,2826,251,2822,215,2821,183,2822,169,2824,146,2829,122,2840,106,2862,106,2850,102,2828,101xm3323,751l3298,751,3288,760,3288,784,3298,793,3323,793,3327,788,3300,788,3292,781,3292,762,3300,755,3327,755,3323,751xm3327,755l3320,755,3326,762,3326,781,3320,788,3327,788,3332,784,3332,760,3327,755xm3316,758l3301,758,3301,784,3306,784,3306,774,3317,774,3317,773,3314,772,3319,770,3306,770,3306,763,3319,763,3318,761,3316,758xm3317,774l3311,774,3313,777,3314,779,3315,784,3319,784,3318,779,3318,776,3317,774xm3319,763l3312,763,3314,764,3314,769,3311,770,3319,770,3319,763xm2875,426l2844,426,2892,523,2942,589,2989,631,3028,656,2947,672,2863,694,2778,720,2696,752,2704,752,2762,734,2834,716,2909,701,2986,688,3061,679,3128,679,3114,673,3175,670,3314,670,3290,657,3257,650,3074,650,3053,638,3013,612,2994,598,2949,553,2911,498,2880,438,2875,426xm3128,679l3061,679,3120,705,3178,726,3231,738,3276,743,3295,741,3309,738,3318,731,3320,728,3295,728,3260,724,3216,713,3166,695,3128,679xm3323,722l3317,725,3307,728,3320,728,3323,722xm3314,670l3175,670,3245,672,3303,684,3326,712,3329,706,3332,703,3332,697,3321,674,3314,670xm3182,644l3158,644,3074,650,3257,650,3243,647,3182,644xm2871,175l2866,201,2860,235,2853,277,2844,328,2862,328,2863,322,2867,273,2871,175xm2862,106l2840,106,2850,112,2859,122,2866,137,2871,158,2874,125,2867,108,2862,106xe" filled="true" fillcolor="#ffd7d7" stroked="false">
            <v:path arrowok="t"/>
            <v:fill type="solid"/>
            <w10:wrap type="none"/>
          </v:shape>
        </w:pict>
      </w:r>
      <w:r>
        <w:rPr/>
        <w:pict>
          <v:shape style="position:absolute;margin-left:73.050003pt;margin-top:17.289518pt;width:70.350pt;height:20.55pt;mso-position-horizontal-relative:page;mso-position-vertical-relative:paragraph;z-index:251662336" type="#_x0000_t202" filled="false" stroked="false">
            <v:textbox inset="0,0,0,0">
              <w:txbxContent>
                <w:p>
                  <w:pPr>
                    <w:spacing w:line="410" w:lineRule="exact" w:before="0"/>
                    <w:ind w:left="0" w:right="0" w:firstLine="0"/>
                    <w:jc w:val="left"/>
                    <w:rPr>
                      <w:rFonts w:ascii="Calibri"/>
                      <w:sz w:val="41"/>
                    </w:rPr>
                  </w:pPr>
                  <w:r>
                    <w:rPr>
                      <w:rFonts w:ascii="Calibri"/>
                      <w:w w:val="105"/>
                      <w:sz w:val="41"/>
                    </w:rPr>
                    <w:t>Ivo </w:t>
                  </w:r>
                  <w:r>
                    <w:rPr>
                      <w:rFonts w:ascii="Calibri"/>
                      <w:spacing w:val="-10"/>
                      <w:w w:val="105"/>
                      <w:sz w:val="41"/>
                    </w:rPr>
                    <w:t>Jupa</w:t>
                  </w:r>
                </w:p>
              </w:txbxContent>
            </v:textbox>
            <w10:wrap type="none"/>
          </v:shape>
        </w:pict>
      </w:r>
      <w:r>
        <w:rPr>
          <w:rFonts w:ascii="Calibri" w:hAnsi="Calibri"/>
          <w:sz w:val="17"/>
        </w:rPr>
        <w:t>Digitálně podepsal Ivo Jupa</w:t>
      </w:r>
    </w:p>
    <w:p>
      <w:pPr>
        <w:spacing w:line="204" w:lineRule="exact" w:before="10"/>
        <w:ind w:left="2242" w:right="0" w:firstLine="0"/>
        <w:jc w:val="left"/>
        <w:rPr>
          <w:rFonts w:ascii="Calibri"/>
          <w:sz w:val="17"/>
        </w:rPr>
      </w:pPr>
      <w:r>
        <w:rPr>
          <w:rFonts w:ascii="Calibri"/>
          <w:sz w:val="17"/>
        </w:rPr>
        <w:t>Datum: 2022.12.22</w:t>
      </w:r>
    </w:p>
    <w:p>
      <w:pPr>
        <w:spacing w:line="204" w:lineRule="exact" w:before="0"/>
        <w:ind w:left="2242" w:right="0" w:firstLine="0"/>
        <w:jc w:val="left"/>
        <w:rPr>
          <w:rFonts w:ascii="Calibri"/>
          <w:sz w:val="17"/>
        </w:rPr>
      </w:pPr>
      <w:r>
        <w:rPr>
          <w:rFonts w:ascii="Calibri"/>
          <w:sz w:val="17"/>
        </w:rPr>
        <w:t>10:10:26 +01'00'</w:t>
      </w:r>
    </w:p>
    <w:p>
      <w:pPr>
        <w:spacing w:before="107"/>
        <w:ind w:left="2242" w:right="0" w:firstLine="0"/>
        <w:jc w:val="left"/>
        <w:rPr>
          <w:rFonts w:ascii="Lucida Sans"/>
          <w:sz w:val="12"/>
        </w:rPr>
      </w:pPr>
      <w:r>
        <w:rPr/>
        <w:br w:type="column"/>
      </w:r>
      <w:r>
        <w:rPr>
          <w:rFonts w:ascii="Lucida Sans"/>
          <w:sz w:val="12"/>
        </w:rPr>
        <w:t>Dig itally sig ned by:</w:t>
      </w:r>
    </w:p>
    <w:p>
      <w:pPr>
        <w:pStyle w:val="BodyText"/>
        <w:spacing w:before="7"/>
        <w:rPr>
          <w:rFonts w:ascii="Lucida Sans"/>
          <w:sz w:val="12"/>
        </w:rPr>
      </w:pPr>
    </w:p>
    <w:p>
      <w:pPr>
        <w:spacing w:line="491" w:lineRule="auto" w:before="1"/>
        <w:ind w:left="2242" w:right="0" w:firstLine="0"/>
        <w:jc w:val="left"/>
        <w:rPr>
          <w:rFonts w:ascii="Lucida Sans"/>
          <w:sz w:val="12"/>
        </w:rPr>
      </w:pPr>
      <w:r>
        <w:rPr>
          <w:rFonts w:ascii="Lucida Sans"/>
          <w:sz w:val="12"/>
        </w:rPr>
        <w:t>LOUKAS ZACHEILAS (EUROPEAN CENTRE FOR DEV ELOPM ENT OF VOCATIONA L TRA INING (CEDEF OP))</w:t>
      </w:r>
    </w:p>
    <w:p>
      <w:pPr>
        <w:spacing w:line="112" w:lineRule="exact" w:before="0"/>
        <w:ind w:left="2242" w:right="0" w:firstLine="0"/>
        <w:jc w:val="left"/>
        <w:rPr>
          <w:rFonts w:ascii="Lucida Sans"/>
          <w:sz w:val="12"/>
        </w:rPr>
      </w:pPr>
      <w:r>
        <w:rPr>
          <w:rFonts w:ascii="Lucida Sans"/>
          <w:sz w:val="12"/>
        </w:rPr>
        <w:t>Date: 2022-12-21 12:48:10 UTC</w:t>
      </w:r>
    </w:p>
    <w:p>
      <w:pPr>
        <w:spacing w:after="0" w:line="112" w:lineRule="exact"/>
        <w:jc w:val="left"/>
        <w:rPr>
          <w:rFonts w:ascii="Lucida Sans"/>
          <w:sz w:val="12"/>
        </w:rPr>
        <w:sectPr>
          <w:type w:val="continuous"/>
          <w:pgSz w:w="12240" w:h="15840"/>
          <w:pgMar w:top="1300" w:bottom="960" w:left="680" w:right="1020"/>
          <w:cols w:num="2" w:equalWidth="0">
            <w:col w:w="3680" w:space="483"/>
            <w:col w:w="6377"/>
          </w:cols>
        </w:sectPr>
      </w:pPr>
    </w:p>
    <w:p>
      <w:pPr>
        <w:tabs>
          <w:tab w:pos="6555" w:val="left" w:leader="none"/>
        </w:tabs>
        <w:spacing w:before="179"/>
        <w:ind w:left="741" w:right="0" w:firstLine="0"/>
        <w:jc w:val="left"/>
        <w:rPr>
          <w:sz w:val="22"/>
        </w:rPr>
      </w:pPr>
      <w:r>
        <w:rPr>
          <w:sz w:val="22"/>
        </w:rPr>
        <w:t>[podpis]</w:t>
        <w:tab/>
        <w:t>[podpis]</w:t>
      </w:r>
    </w:p>
    <w:p>
      <w:pPr>
        <w:pStyle w:val="BodyText"/>
        <w:spacing w:before="6"/>
        <w:rPr>
          <w:sz w:val="21"/>
        </w:rPr>
      </w:pPr>
    </w:p>
    <w:p>
      <w:pPr>
        <w:tabs>
          <w:tab w:pos="6505" w:val="left" w:leader="none"/>
        </w:tabs>
        <w:spacing w:before="0"/>
        <w:ind w:left="741" w:right="0" w:firstLine="0"/>
        <w:jc w:val="left"/>
        <w:rPr>
          <w:sz w:val="22"/>
        </w:rPr>
      </w:pPr>
      <w:r>
        <w:rPr>
          <w:sz w:val="22"/>
        </w:rPr>
        <w:t>V </w:t>
      </w:r>
      <w:r>
        <w:rPr>
          <w:spacing w:val="-3"/>
          <w:sz w:val="22"/>
        </w:rPr>
        <w:t>Praze</w:t>
      </w:r>
      <w:r>
        <w:rPr>
          <w:spacing w:val="1"/>
          <w:sz w:val="22"/>
        </w:rPr>
        <w:t> </w:t>
      </w:r>
      <w:r>
        <w:rPr>
          <w:sz w:val="22"/>
        </w:rPr>
        <w:t>dne</w:t>
      </w:r>
      <w:r>
        <w:rPr>
          <w:spacing w:val="8"/>
          <w:sz w:val="22"/>
        </w:rPr>
        <w:t> </w:t>
      </w:r>
      <w:r>
        <w:rPr>
          <w:sz w:val="22"/>
        </w:rPr>
        <w:t>[datum]</w:t>
        <w:tab/>
        <w:t>V Thessaloniki </w:t>
      </w:r>
      <w:r>
        <w:rPr>
          <w:spacing w:val="-4"/>
          <w:sz w:val="22"/>
        </w:rPr>
        <w:t>dne</w:t>
      </w:r>
      <w:r>
        <w:rPr>
          <w:spacing w:val="7"/>
          <w:sz w:val="22"/>
        </w:rPr>
        <w:t> </w:t>
      </w:r>
      <w:r>
        <w:rPr>
          <w:sz w:val="22"/>
        </w:rPr>
        <w:t>[datum]</w:t>
      </w:r>
    </w:p>
    <w:p>
      <w:pPr>
        <w:spacing w:after="0"/>
        <w:jc w:val="left"/>
        <w:rPr>
          <w:sz w:val="22"/>
        </w:rPr>
        <w:sectPr>
          <w:type w:val="continuous"/>
          <w:pgSz w:w="12240" w:h="15840"/>
          <w:pgMar w:top="1300" w:bottom="960" w:left="680" w:right="1020"/>
        </w:sectPr>
      </w:pPr>
    </w:p>
    <w:p>
      <w:pPr>
        <w:pStyle w:val="BodyText"/>
        <w:rPr>
          <w:sz w:val="20"/>
        </w:rPr>
      </w:pPr>
    </w:p>
    <w:p>
      <w:pPr>
        <w:pStyle w:val="BodyText"/>
        <w:rPr>
          <w:sz w:val="20"/>
        </w:rPr>
      </w:pPr>
    </w:p>
    <w:p>
      <w:pPr>
        <w:pStyle w:val="BodyText"/>
        <w:spacing w:before="1"/>
        <w:rPr>
          <w:sz w:val="26"/>
        </w:rPr>
      </w:pPr>
    </w:p>
    <w:p>
      <w:pPr>
        <w:pStyle w:val="Heading2"/>
        <w:spacing w:line="444" w:lineRule="auto" w:before="90"/>
        <w:ind w:left="4884" w:right="4549"/>
      </w:pPr>
      <w:r>
        <w:rPr/>
        <w:t>Příloha I Popis akce</w:t>
      </w:r>
    </w:p>
    <w:p>
      <w:pPr>
        <w:spacing w:line="263" w:lineRule="exact" w:before="0"/>
        <w:ind w:left="519" w:right="984" w:firstLine="0"/>
        <w:jc w:val="center"/>
        <w:rPr>
          <w:b/>
          <w:sz w:val="23"/>
        </w:rPr>
      </w:pPr>
      <w:r>
        <w:rPr>
          <w:b/>
          <w:sz w:val="23"/>
        </w:rPr>
        <w:t>GP/DVQ/ReferNet-SGA/001/22</w:t>
      </w:r>
    </w:p>
    <w:p>
      <w:pPr>
        <w:pStyle w:val="Heading2"/>
        <w:spacing w:before="7"/>
        <w:ind w:left="519" w:right="979"/>
        <w:jc w:val="center"/>
      </w:pPr>
      <w:r>
        <w:rPr/>
        <w:t>v souladu s přílohou I výzvy k předkládání návrhů zaslané e-mailem dne 24/10/2022</w:t>
      </w:r>
    </w:p>
    <w:p>
      <w:pPr>
        <w:spacing w:after="0"/>
        <w:jc w:val="center"/>
        <w:sectPr>
          <w:pgSz w:w="12240" w:h="15840"/>
          <w:pgMar w:header="720" w:footer="765" w:top="1300" w:bottom="960" w:left="680" w:right="1020"/>
        </w:sectPr>
      </w:pPr>
    </w:p>
    <w:p>
      <w:pPr>
        <w:tabs>
          <w:tab w:pos="5254" w:val="left" w:leader="none"/>
        </w:tabs>
        <w:spacing w:before="76"/>
        <w:ind w:left="3983" w:right="0" w:firstLine="0"/>
        <w:jc w:val="left"/>
        <w:rPr>
          <w:b/>
          <w:sz w:val="24"/>
        </w:rPr>
      </w:pPr>
      <w:r>
        <w:rPr>
          <w:b/>
          <w:sz w:val="24"/>
        </w:rPr>
        <w:t>Příloha</w:t>
      </w:r>
      <w:r>
        <w:rPr>
          <w:b/>
          <w:spacing w:val="2"/>
          <w:sz w:val="24"/>
        </w:rPr>
        <w:t> </w:t>
      </w:r>
      <w:r>
        <w:rPr>
          <w:b/>
          <w:sz w:val="24"/>
        </w:rPr>
        <w:t>II</w:t>
        <w:tab/>
        <w:t>Předběžný</w:t>
      </w:r>
      <w:r>
        <w:rPr>
          <w:b/>
          <w:spacing w:val="-18"/>
          <w:sz w:val="24"/>
        </w:rPr>
        <w:t> </w:t>
      </w:r>
      <w:r>
        <w:rPr>
          <w:b/>
          <w:sz w:val="24"/>
        </w:rPr>
        <w:t>rozpočet</w:t>
      </w:r>
    </w:p>
    <w:p>
      <w:pPr>
        <w:pStyle w:val="BodyText"/>
        <w:rPr>
          <w:b/>
          <w:sz w:val="18"/>
        </w:rPr>
      </w:pPr>
      <w:r>
        <w:rPr/>
        <w:br w:type="column"/>
      </w:r>
      <w:r>
        <w:rPr>
          <w:b/>
          <w:sz w:val="18"/>
        </w:rPr>
      </w:r>
    </w:p>
    <w:p>
      <w:pPr>
        <w:pStyle w:val="BodyText"/>
        <w:spacing w:before="9"/>
        <w:rPr>
          <w:b/>
          <w:sz w:val="17"/>
        </w:rPr>
      </w:pPr>
    </w:p>
    <w:p>
      <w:pPr>
        <w:spacing w:before="0"/>
        <w:ind w:left="704" w:right="0" w:firstLine="0"/>
        <w:jc w:val="left"/>
        <w:rPr>
          <w:rFonts w:ascii="Arial"/>
          <w:i/>
          <w:sz w:val="17"/>
        </w:rPr>
      </w:pPr>
      <w:r>
        <w:rPr>
          <w:rFonts w:ascii="Arial"/>
          <w:i/>
          <w:color w:val="1A1A1A"/>
          <w:w w:val="95"/>
          <w:sz w:val="17"/>
        </w:rPr>
        <w:t>GP/DS I/Refe rNe t-SGA /001/21</w:t>
      </w:r>
    </w:p>
    <w:p>
      <w:pPr>
        <w:spacing w:after="0"/>
        <w:jc w:val="left"/>
        <w:rPr>
          <w:rFonts w:ascii="Arial"/>
          <w:sz w:val="17"/>
        </w:rPr>
        <w:sectPr>
          <w:headerReference w:type="default" r:id="rId12"/>
          <w:footerReference w:type="default" r:id="rId13"/>
          <w:pgSz w:w="11910" w:h="16840"/>
          <w:pgMar w:header="0" w:footer="789" w:top="700" w:bottom="980" w:left="580" w:right="840"/>
          <w:cols w:num="2" w:equalWidth="0">
            <w:col w:w="7283" w:space="40"/>
            <w:col w:w="3167"/>
          </w:cols>
        </w:sectPr>
      </w:pPr>
    </w:p>
    <w:p>
      <w:pPr>
        <w:pStyle w:val="BodyText"/>
        <w:rPr>
          <w:rFonts w:ascii="Arial"/>
          <w:i/>
          <w:sz w:val="20"/>
        </w:rPr>
      </w:pPr>
    </w:p>
    <w:p>
      <w:pPr>
        <w:pStyle w:val="BodyText"/>
        <w:rPr>
          <w:rFonts w:ascii="Arial"/>
          <w:i/>
          <w:sz w:val="20"/>
        </w:rPr>
      </w:pPr>
    </w:p>
    <w:p>
      <w:pPr>
        <w:pStyle w:val="BodyText"/>
        <w:spacing w:before="8"/>
        <w:rPr>
          <w:rFonts w:ascii="Arial"/>
          <w:i/>
          <w:sz w:val="28"/>
        </w:rPr>
      </w:pPr>
    </w:p>
    <w:p>
      <w:pPr>
        <w:pStyle w:val="BodyText"/>
        <w:spacing w:line="20" w:lineRule="exact"/>
        <w:ind w:left="118"/>
        <w:rPr>
          <w:rFonts w:ascii="Arial"/>
          <w:sz w:val="2"/>
        </w:rPr>
      </w:pPr>
      <w:r>
        <w:rPr>
          <w:rFonts w:ascii="Arial"/>
          <w:sz w:val="2"/>
        </w:rPr>
        <w:pict>
          <v:group style="width:501.5pt;height:.75pt;mso-position-horizontal-relative:char;mso-position-vertical-relative:line" coordorigin="0,0" coordsize="10030,15">
            <v:line style="position:absolute" from="0,7" to="10030,7" stroked="true" strokeweight=".71945pt" strokecolor="#4a4a4a">
              <v:stroke dashstyle="solid"/>
            </v:line>
          </v:group>
        </w:pict>
      </w:r>
      <w:r>
        <w:rPr>
          <w:rFonts w:ascii="Arial"/>
          <w:sz w:val="2"/>
        </w:rPr>
      </w:r>
    </w:p>
    <w:p>
      <w:pPr>
        <w:spacing w:line="243" w:lineRule="exact" w:before="0"/>
        <w:ind w:left="260" w:right="0" w:firstLine="0"/>
        <w:jc w:val="left"/>
        <w:rPr>
          <w:rFonts w:ascii="Arial" w:hAnsi="Arial"/>
          <w:b/>
          <w:sz w:val="23"/>
        </w:rPr>
      </w:pPr>
      <w:r>
        <w:rPr>
          <w:rFonts w:ascii="Arial" w:hAnsi="Arial"/>
          <w:b/>
          <w:color w:val="1F1F1F"/>
          <w:sz w:val="23"/>
        </w:rPr>
        <w:t>2.3 Zapojení třetích stran do akce / plán práce</w:t>
      </w:r>
    </w:p>
    <w:p>
      <w:pPr>
        <w:pStyle w:val="BodyText"/>
        <w:spacing w:before="7"/>
        <w:rPr>
          <w:rFonts w:ascii="Arial"/>
          <w:b/>
          <w:sz w:val="14"/>
        </w:rPr>
      </w:pPr>
      <w:r>
        <w:rPr/>
        <w:pict>
          <v:group style="position:absolute;margin-left:35.299999pt;margin-top:10.373366pt;width:501.5pt;height:3.15pt;mso-position-horizontal-relative:page;mso-position-vertical-relative:paragraph;z-index:-251652096;mso-wrap-distance-left:0;mso-wrap-distance-right:0" coordorigin="706,207" coordsize="10030,63">
            <v:line style="position:absolute" from="10064,217" to="10727,217" stroked="true" strokeweight=".95921pt" strokecolor="#343434">
              <v:stroke dashstyle="solid"/>
            </v:line>
            <v:line style="position:absolute" from="7713,217" to="9997,217" stroked="true" strokeweight=".95921pt" strokecolor="#343434">
              <v:stroke dashstyle="solid"/>
            </v:line>
            <v:line style="position:absolute" from="706,263" to="10736,263" stroked="true" strokeweight=".71945pt" strokecolor="#4a4a4a">
              <v:stroke dashstyle="solid"/>
            </v:line>
            <w10:wrap type="topAndBottom"/>
          </v:group>
        </w:pict>
      </w:r>
    </w:p>
    <w:p>
      <w:pPr>
        <w:spacing w:line="213" w:lineRule="exact" w:before="0"/>
        <w:ind w:left="240" w:right="0" w:firstLine="0"/>
        <w:jc w:val="left"/>
        <w:rPr>
          <w:rFonts w:ascii="Calibri" w:hAnsi="Calibri"/>
          <w:sz w:val="23"/>
        </w:rPr>
      </w:pPr>
      <w:r>
        <w:rPr>
          <w:rFonts w:ascii="Calibri" w:hAnsi="Calibri"/>
          <w:color w:val="2A2A2A"/>
          <w:sz w:val="23"/>
        </w:rPr>
        <w:t>Formulář žádosti předkládá jeden příjemce s účastí třetí strany – subdodavatelem (viz příloha 1).</w:t>
      </w:r>
    </w:p>
    <w:p>
      <w:pPr>
        <w:pStyle w:val="BodyText"/>
        <w:spacing w:before="3"/>
        <w:rPr>
          <w:rFonts w:ascii="Calibri"/>
          <w:sz w:val="17"/>
        </w:rPr>
      </w:pPr>
      <w:r>
        <w:rPr/>
        <w:pict>
          <v:group style="position:absolute;margin-left:35.299999pt;margin-top:12.541879pt;width:501.5pt;height:1.150pt;mso-position-horizontal-relative:page;mso-position-vertical-relative:paragraph;z-index:-251651072;mso-wrap-distance-left:0;mso-wrap-distance-right:0" coordorigin="706,251" coordsize="10030,23">
            <v:line style="position:absolute" from="10729,266" to="10729,266" stroked="true" strokeweight=".71992pt" strokecolor="#4a4a4a">
              <v:stroke dashstyle="solid"/>
            </v:line>
            <v:line style="position:absolute" from="706,258" to="10736,258" stroked="true" strokeweight=".71945pt" strokecolor="#4a4a4a">
              <v:stroke dashstyle="solid"/>
            </v:line>
            <v:line style="position:absolute" from="713,266" to="713,266" stroked="true" strokeweight=".71992pt" strokecolor="#4a4a4a">
              <v:stroke dashstyle="solid"/>
            </v:line>
            <w10:wrap type="topAndBottom"/>
          </v:group>
        </w:pict>
      </w:r>
    </w:p>
    <w:p>
      <w:pPr>
        <w:pStyle w:val="BodyText"/>
        <w:spacing w:before="4"/>
        <w:rPr>
          <w:rFonts w:ascii="Calibri"/>
          <w:sz w:val="14"/>
        </w:rPr>
      </w:pPr>
    </w:p>
    <w:tbl>
      <w:tblPr>
        <w:tblW w:w="0" w:type="auto"/>
        <w:jc w:val="left"/>
        <w:tblInd w:w="120" w:type="dxa"/>
        <w:tblBorders>
          <w:top w:val="single" w:sz="4" w:space="0" w:color="3A3A3A"/>
          <w:left w:val="single" w:sz="4" w:space="0" w:color="3A3A3A"/>
          <w:bottom w:val="single" w:sz="4" w:space="0" w:color="3A3A3A"/>
          <w:right w:val="single" w:sz="4" w:space="0" w:color="3A3A3A"/>
          <w:insideH w:val="single" w:sz="4" w:space="0" w:color="3A3A3A"/>
          <w:insideV w:val="single" w:sz="4" w:space="0" w:color="3A3A3A"/>
        </w:tblBorders>
        <w:tblLayout w:type="fixed"/>
        <w:tblCellMar>
          <w:top w:w="0" w:type="dxa"/>
          <w:left w:w="0" w:type="dxa"/>
          <w:bottom w:w="0" w:type="dxa"/>
          <w:right w:w="0" w:type="dxa"/>
        </w:tblCellMar>
        <w:tblLook w:val="01E0"/>
      </w:tblPr>
      <w:tblGrid>
        <w:gridCol w:w="10054"/>
        <w:gridCol w:w="175"/>
      </w:tblGrid>
      <w:tr>
        <w:trPr>
          <w:trHeight w:val="500" w:hRule="atLeast"/>
        </w:trPr>
        <w:tc>
          <w:tcPr>
            <w:tcW w:w="10054" w:type="dxa"/>
            <w:tcBorders>
              <w:bottom w:val="single" w:sz="8" w:space="0" w:color="474747"/>
              <w:right w:val="nil"/>
            </w:tcBorders>
          </w:tcPr>
          <w:p>
            <w:pPr>
              <w:pStyle w:val="TableParagraph"/>
              <w:spacing w:line="249" w:lineRule="exact"/>
              <w:ind w:left="145"/>
              <w:rPr>
                <w:b/>
                <w:sz w:val="23"/>
              </w:rPr>
            </w:pPr>
            <w:r>
              <w:rPr>
                <w:b/>
                <w:sz w:val="23"/>
              </w:rPr>
              <w:t>2.4 Požadovaný grant (uveďte částku v EUR)</w:t>
            </w:r>
          </w:p>
        </w:tc>
        <w:tc>
          <w:tcPr>
            <w:tcW w:w="175" w:type="dxa"/>
            <w:vMerge w:val="restart"/>
            <w:tcBorders>
              <w:top w:val="nil"/>
              <w:left w:val="nil"/>
            </w:tcBorders>
          </w:tcPr>
          <w:p>
            <w:pPr>
              <w:pStyle w:val="TableParagraph"/>
              <w:rPr>
                <w:rFonts w:ascii="Times New Roman"/>
                <w:sz w:val="22"/>
              </w:rPr>
            </w:pPr>
          </w:p>
        </w:tc>
      </w:tr>
      <w:tr>
        <w:trPr>
          <w:trHeight w:val="3212" w:hRule="atLeast"/>
        </w:trPr>
        <w:tc>
          <w:tcPr>
            <w:tcW w:w="10054" w:type="dxa"/>
            <w:tcBorders>
              <w:top w:val="single" w:sz="8" w:space="0" w:color="474747"/>
              <w:right w:val="nil"/>
            </w:tcBorders>
          </w:tcPr>
          <w:p>
            <w:pPr>
              <w:pStyle w:val="TableParagraph"/>
              <w:spacing w:line="259" w:lineRule="exact"/>
              <w:ind w:left="105"/>
              <w:rPr>
                <w:i/>
                <w:sz w:val="23"/>
              </w:rPr>
            </w:pPr>
            <w:r>
              <w:rPr>
                <w:i/>
                <w:color w:val="171717"/>
                <w:sz w:val="23"/>
              </w:rPr>
              <w:t>Další informace naleznete v článku 5 Výzvy.</w:t>
            </w:r>
          </w:p>
          <w:p>
            <w:pPr>
              <w:pStyle w:val="TableParagraph"/>
              <w:spacing w:line="244" w:lineRule="auto" w:before="75" w:after="87"/>
              <w:ind w:left="145" w:right="791" w:hanging="10"/>
              <w:rPr>
                <w:i/>
                <w:sz w:val="23"/>
              </w:rPr>
            </w:pPr>
            <w:r>
              <w:rPr>
                <w:i/>
                <w:color w:val="1A1A1A"/>
                <w:sz w:val="23"/>
              </w:rPr>
              <w:t>Míra finanční spoluúčasti Cedefopu nesmí překročit 70 % celkových způsobilých nákladů. </w:t>
            </w:r>
            <w:r>
              <w:rPr>
                <w:i/>
                <w:color w:val="1A1A1A"/>
                <w:sz w:val="23"/>
              </w:rPr>
              <w:t>Maximální částka grantu je omezená podle skupiny, do které daná země patří.</w:t>
            </w:r>
          </w:p>
          <w:p>
            <w:pPr>
              <w:pStyle w:val="TableParagraph"/>
              <w:spacing w:line="34" w:lineRule="exact"/>
              <w:ind w:left="31" w:right="-44"/>
              <w:rPr>
                <w:rFonts w:ascii="Calibri"/>
                <w:sz w:val="3"/>
              </w:rPr>
            </w:pPr>
            <w:r>
              <w:rPr>
                <w:rFonts w:ascii="Calibri"/>
                <w:position w:val="0"/>
                <w:sz w:val="3"/>
              </w:rPr>
              <w:pict>
                <v:group style="width:498.9pt;height:1.7pt;mso-position-horizontal-relative:char;mso-position-vertical-relative:line" coordorigin="0,0" coordsize="9978,34">
                  <v:line style="position:absolute" from="0,17" to="9978,17" stroked="true" strokeweight="1.6787pt" strokecolor="#3e3e3e">
                    <v:stroke dashstyle="solid"/>
                  </v:line>
                </v:group>
              </w:pict>
            </w:r>
            <w:r>
              <w:rPr>
                <w:rFonts w:ascii="Calibri"/>
                <w:position w:val="0"/>
                <w:sz w:val="3"/>
              </w:rPr>
            </w:r>
          </w:p>
          <w:p>
            <w:pPr>
              <w:pStyle w:val="TableParagraph"/>
              <w:spacing w:before="30"/>
              <w:ind w:right="125"/>
              <w:jc w:val="right"/>
              <w:rPr>
                <w:rFonts w:ascii="Arial Black" w:hAnsi="Arial Black"/>
                <w:sz w:val="26"/>
              </w:rPr>
            </w:pPr>
            <w:r>
              <w:rPr>
                <w:rFonts w:ascii="Arial Black" w:hAnsi="Arial Black"/>
                <w:color w:val="171717"/>
                <w:w w:val="70"/>
                <w:sz w:val="26"/>
              </w:rPr>
              <w:t>Maximální částka grantu</w:t>
            </w:r>
          </w:p>
          <w:p>
            <w:pPr>
              <w:pStyle w:val="TableParagraph"/>
              <w:tabs>
                <w:tab w:pos="8091" w:val="left" w:leader="none"/>
              </w:tabs>
              <w:spacing w:line="318" w:lineRule="exact" w:before="5"/>
              <w:ind w:left="125"/>
              <w:rPr>
                <w:rFonts w:ascii="Arial Black" w:hAnsi="Arial Black"/>
                <w:sz w:val="24"/>
              </w:rPr>
            </w:pPr>
            <w:r>
              <w:rPr>
                <w:rFonts w:ascii="Times New Roman" w:hAnsi="Times New Roman"/>
                <w:color w:val="161616"/>
                <w:spacing w:val="-52"/>
                <w:w w:val="90"/>
                <w:sz w:val="23"/>
                <w:u w:val="single" w:color="2B2B2B"/>
              </w:rPr>
              <w:t> </w:t>
            </w:r>
            <w:r>
              <w:rPr>
                <w:color w:val="161616"/>
                <w:spacing w:val="-3"/>
                <w:w w:val="95"/>
                <w:sz w:val="23"/>
                <w:u w:val="single" w:color="2B2B2B"/>
              </w:rPr>
              <w:t>Skupina</w:t>
            </w:r>
            <w:r>
              <w:rPr>
                <w:color w:val="161616"/>
                <w:spacing w:val="-27"/>
                <w:w w:val="95"/>
                <w:sz w:val="23"/>
                <w:u w:val="single" w:color="2B2B2B"/>
              </w:rPr>
              <w:t> </w:t>
            </w:r>
            <w:r>
              <w:rPr>
                <w:color w:val="161616"/>
                <w:spacing w:val="-4"/>
                <w:w w:val="95"/>
                <w:sz w:val="23"/>
                <w:u w:val="single" w:color="2B2B2B"/>
              </w:rPr>
              <w:t>zemí</w:t>
            </w:r>
            <w:r>
              <w:rPr>
                <w:color w:val="161616"/>
                <w:spacing w:val="-27"/>
                <w:w w:val="95"/>
                <w:sz w:val="23"/>
                <w:u w:val="single" w:color="2B2B2B"/>
              </w:rPr>
              <w:t> </w:t>
            </w:r>
            <w:r>
              <w:rPr>
                <w:color w:val="161616"/>
                <w:w w:val="95"/>
                <w:sz w:val="23"/>
                <w:u w:val="single" w:color="2B2B2B"/>
              </w:rPr>
              <w:t>č.</w:t>
            </w:r>
            <w:r>
              <w:rPr>
                <w:color w:val="161616"/>
                <w:spacing w:val="-26"/>
                <w:w w:val="95"/>
                <w:sz w:val="23"/>
                <w:u w:val="single" w:color="2B2B2B"/>
              </w:rPr>
              <w:t> </w:t>
            </w:r>
            <w:r>
              <w:rPr>
                <w:color w:val="111111"/>
                <w:spacing w:val="-3"/>
                <w:w w:val="95"/>
                <w:sz w:val="23"/>
                <w:u w:val="single" w:color="2B2B2B"/>
              </w:rPr>
              <w:t>1:</w:t>
            </w:r>
            <w:r>
              <w:rPr>
                <w:color w:val="111111"/>
                <w:spacing w:val="8"/>
                <w:w w:val="95"/>
                <w:sz w:val="23"/>
              </w:rPr>
              <w:t> </w:t>
            </w:r>
            <w:r>
              <w:rPr>
                <w:color w:val="151515"/>
                <w:w w:val="95"/>
                <w:sz w:val="23"/>
              </w:rPr>
              <w:t>Chorvatsko,</w:t>
            </w:r>
            <w:r>
              <w:rPr>
                <w:color w:val="151515"/>
                <w:spacing w:val="-38"/>
                <w:w w:val="95"/>
                <w:sz w:val="23"/>
              </w:rPr>
              <w:t> </w:t>
            </w:r>
            <w:r>
              <w:rPr>
                <w:color w:val="161616"/>
                <w:w w:val="95"/>
                <w:sz w:val="23"/>
              </w:rPr>
              <w:t>Kypr,</w:t>
            </w:r>
            <w:r>
              <w:rPr>
                <w:color w:val="161616"/>
                <w:spacing w:val="-28"/>
                <w:w w:val="95"/>
                <w:sz w:val="23"/>
              </w:rPr>
              <w:t> </w:t>
            </w:r>
            <w:r>
              <w:rPr>
                <w:color w:val="111111"/>
                <w:w w:val="95"/>
                <w:sz w:val="23"/>
              </w:rPr>
              <w:t>Estonsko,</w:t>
            </w:r>
            <w:r>
              <w:rPr>
                <w:color w:val="111111"/>
                <w:spacing w:val="-27"/>
                <w:w w:val="95"/>
                <w:sz w:val="23"/>
              </w:rPr>
              <w:t> </w:t>
            </w:r>
            <w:r>
              <w:rPr>
                <w:color w:val="171717"/>
                <w:w w:val="95"/>
                <w:sz w:val="23"/>
              </w:rPr>
              <w:t>Lotyšsko,</w:t>
            </w:r>
            <w:r>
              <w:rPr>
                <w:color w:val="171717"/>
                <w:spacing w:val="-27"/>
                <w:w w:val="95"/>
                <w:sz w:val="23"/>
              </w:rPr>
              <w:t> </w:t>
            </w:r>
            <w:r>
              <w:rPr>
                <w:color w:val="171717"/>
                <w:w w:val="95"/>
                <w:sz w:val="23"/>
              </w:rPr>
              <w:t>Litva</w:t>
            </w:r>
            <w:r>
              <w:rPr>
                <w:color w:val="121212"/>
                <w:w w:val="95"/>
                <w:sz w:val="23"/>
              </w:rPr>
              <w:t>,</w:t>
              <w:tab/>
            </w:r>
            <w:r>
              <w:rPr>
                <w:rFonts w:ascii="Arial Black" w:hAnsi="Arial Black"/>
                <w:color w:val="171717"/>
                <w:sz w:val="24"/>
              </w:rPr>
              <w:t>23</w:t>
            </w:r>
            <w:r>
              <w:rPr>
                <w:rFonts w:ascii="Arial Black" w:hAnsi="Arial Black"/>
                <w:color w:val="171717"/>
                <w:spacing w:val="-54"/>
                <w:sz w:val="24"/>
              </w:rPr>
              <w:t> </w:t>
            </w:r>
            <w:r>
              <w:rPr>
                <w:rFonts w:ascii="Arial Black" w:hAnsi="Arial Black"/>
                <w:color w:val="171717"/>
                <w:spacing w:val="2"/>
                <w:sz w:val="24"/>
              </w:rPr>
              <w:t>615</w:t>
            </w:r>
            <w:r>
              <w:rPr>
                <w:rFonts w:ascii="Arial Black" w:hAnsi="Arial Black"/>
                <w:color w:val="171717"/>
                <w:spacing w:val="-18"/>
                <w:sz w:val="24"/>
              </w:rPr>
              <w:t> </w:t>
            </w:r>
            <w:r>
              <w:rPr>
                <w:rFonts w:ascii="Arial Black" w:hAnsi="Arial Black"/>
                <w:color w:val="171717"/>
                <w:spacing w:val="7"/>
                <w:sz w:val="24"/>
              </w:rPr>
              <w:t>EUR</w:t>
            </w:r>
          </w:p>
          <w:p>
            <w:pPr>
              <w:pStyle w:val="TableParagraph"/>
              <w:spacing w:line="244" w:lineRule="exact"/>
              <w:ind w:left="135"/>
              <w:rPr>
                <w:sz w:val="23"/>
              </w:rPr>
            </w:pPr>
            <w:r>
              <w:rPr>
                <w:color w:val="0E0E0E"/>
                <w:sz w:val="23"/>
              </w:rPr>
              <w:t>Lucembursko, </w:t>
            </w:r>
            <w:r>
              <w:rPr>
                <w:color w:val="171717"/>
                <w:sz w:val="23"/>
              </w:rPr>
              <w:t>Malta; </w:t>
            </w:r>
            <w:r>
              <w:rPr>
                <w:color w:val="161616"/>
                <w:sz w:val="23"/>
              </w:rPr>
              <w:t>Slovinsko a </w:t>
            </w:r>
            <w:r>
              <w:rPr>
                <w:color w:val="1A1A1A"/>
                <w:sz w:val="23"/>
              </w:rPr>
              <w:t>Island</w:t>
            </w:r>
          </w:p>
          <w:p>
            <w:pPr>
              <w:pStyle w:val="TableParagraph"/>
              <w:tabs>
                <w:tab w:pos="8061" w:val="left" w:leader="none"/>
              </w:tabs>
              <w:spacing w:line="316" w:lineRule="exact" w:before="68"/>
              <w:ind w:left="145"/>
              <w:rPr>
                <w:rFonts w:ascii="Arial Black" w:hAnsi="Arial Black"/>
                <w:sz w:val="23"/>
              </w:rPr>
            </w:pPr>
            <w:r>
              <w:rPr>
                <w:rFonts w:ascii="Times New Roman" w:hAnsi="Times New Roman"/>
                <w:color w:val="0D0D0D"/>
                <w:spacing w:val="-55"/>
                <w:sz w:val="22"/>
                <w:u w:val="single" w:color="2E2E2E"/>
              </w:rPr>
              <w:t> </w:t>
            </w:r>
            <w:r>
              <w:rPr>
                <w:color w:val="0D0D0D"/>
                <w:sz w:val="22"/>
                <w:u w:val="single" w:color="2E2E2E"/>
              </w:rPr>
              <w:t>Skupina zemí </w:t>
            </w:r>
            <w:r>
              <w:rPr>
                <w:color w:val="0D0D0D"/>
                <w:spacing w:val="4"/>
                <w:sz w:val="22"/>
                <w:u w:val="single" w:color="2E2E2E"/>
              </w:rPr>
              <w:t>č. </w:t>
            </w:r>
            <w:r>
              <w:rPr>
                <w:color w:val="0E0E0E"/>
                <w:sz w:val="22"/>
                <w:u w:val="single" w:color="2E2E2E"/>
              </w:rPr>
              <w:t>2</w:t>
            </w:r>
            <w:r>
              <w:rPr>
                <w:color w:val="0E0E0E"/>
                <w:sz w:val="22"/>
              </w:rPr>
              <w:t>: Rakousko, </w:t>
            </w:r>
            <w:r>
              <w:rPr>
                <w:color w:val="151515"/>
                <w:sz w:val="22"/>
              </w:rPr>
              <w:t>Belgie, </w:t>
            </w:r>
            <w:r>
              <w:rPr>
                <w:color w:val="0E0E0E"/>
                <w:sz w:val="22"/>
              </w:rPr>
              <w:t>Bulharsko, </w:t>
            </w:r>
            <w:r>
              <w:rPr>
                <w:color w:val="161616"/>
                <w:sz w:val="22"/>
              </w:rPr>
              <w:t>Česká</w:t>
            </w:r>
            <w:r>
              <w:rPr>
                <w:color w:val="161616"/>
                <w:spacing w:val="-31"/>
                <w:sz w:val="22"/>
              </w:rPr>
              <w:t> </w:t>
            </w:r>
            <w:r>
              <w:rPr>
                <w:color w:val="161616"/>
                <w:sz w:val="22"/>
              </w:rPr>
              <w:t>republika,</w:t>
            </w:r>
            <w:r>
              <w:rPr>
                <w:color w:val="161616"/>
                <w:spacing w:val="-24"/>
                <w:sz w:val="22"/>
              </w:rPr>
              <w:t> </w:t>
            </w:r>
            <w:r>
              <w:rPr>
                <w:sz w:val="22"/>
              </w:rPr>
              <w:t>Dánsko,</w:t>
              <w:tab/>
            </w:r>
            <w:r>
              <w:rPr>
                <w:rFonts w:ascii="Arial Black" w:hAnsi="Arial Black"/>
                <w:color w:val="111111"/>
                <w:sz w:val="23"/>
              </w:rPr>
              <w:t>33 </w:t>
            </w:r>
            <w:r>
              <w:rPr>
                <w:rFonts w:ascii="Arial Black" w:hAnsi="Arial Black"/>
                <w:color w:val="171717"/>
                <w:sz w:val="23"/>
              </w:rPr>
              <w:t>625</w:t>
            </w:r>
            <w:r>
              <w:rPr>
                <w:rFonts w:ascii="Arial Black" w:hAnsi="Arial Black"/>
                <w:color w:val="171717"/>
                <w:spacing w:val="-10"/>
                <w:sz w:val="23"/>
              </w:rPr>
              <w:t> </w:t>
            </w:r>
            <w:r>
              <w:rPr>
                <w:rFonts w:ascii="Arial Black" w:hAnsi="Arial Black"/>
                <w:color w:val="171717"/>
                <w:sz w:val="23"/>
              </w:rPr>
              <w:t>EUR</w:t>
            </w:r>
          </w:p>
          <w:p>
            <w:pPr>
              <w:pStyle w:val="TableParagraph"/>
              <w:spacing w:line="218" w:lineRule="auto" w:before="11"/>
              <w:ind w:left="135" w:right="2960"/>
              <w:rPr>
                <w:sz w:val="23"/>
              </w:rPr>
            </w:pPr>
            <w:r>
              <w:rPr>
                <w:color w:val="151515"/>
                <w:sz w:val="22"/>
              </w:rPr>
              <w:t>Finsko, Řecko, Maďarsko, Irsko, </w:t>
            </w:r>
            <w:r>
              <w:rPr>
                <w:color w:val="161616"/>
                <w:sz w:val="22"/>
              </w:rPr>
              <w:t>Nizozemsko, </w:t>
            </w:r>
            <w:r>
              <w:rPr>
                <w:sz w:val="22"/>
              </w:rPr>
              <w:t>Portugalsko</w:t>
            </w:r>
            <w:r>
              <w:rPr>
                <w:color w:val="161616"/>
                <w:sz w:val="22"/>
              </w:rPr>
              <w:t>, </w:t>
            </w:r>
            <w:r>
              <w:rPr>
                <w:color w:val="111111"/>
                <w:sz w:val="22"/>
              </w:rPr>
              <w:t>Rumunsko, </w:t>
            </w:r>
            <w:r>
              <w:rPr>
                <w:sz w:val="22"/>
              </w:rPr>
              <w:t>Slovensko, </w:t>
            </w:r>
            <w:r>
              <w:rPr>
                <w:color w:val="171717"/>
                <w:sz w:val="23"/>
              </w:rPr>
              <w:t>Švédsko a Norsko</w:t>
            </w:r>
          </w:p>
          <w:p>
            <w:pPr>
              <w:pStyle w:val="TableParagraph"/>
              <w:tabs>
                <w:tab w:pos="8051" w:val="left" w:leader="none"/>
              </w:tabs>
              <w:spacing w:before="91"/>
              <w:ind w:left="125"/>
              <w:rPr>
                <w:sz w:val="23"/>
              </w:rPr>
            </w:pPr>
            <w:r>
              <w:rPr>
                <w:rFonts w:ascii="Times New Roman" w:hAnsi="Times New Roman"/>
                <w:color w:val="111111"/>
                <w:spacing w:val="-58"/>
                <w:sz w:val="23"/>
                <w:u w:val="single" w:color="383838"/>
              </w:rPr>
              <w:t> </w:t>
            </w:r>
            <w:r>
              <w:rPr>
                <w:color w:val="111111"/>
                <w:spacing w:val="-3"/>
                <w:sz w:val="23"/>
                <w:u w:val="single" w:color="383838"/>
              </w:rPr>
              <w:t>Skupina</w:t>
            </w:r>
            <w:r>
              <w:rPr>
                <w:color w:val="111111"/>
                <w:spacing w:val="5"/>
                <w:sz w:val="23"/>
                <w:u w:val="single" w:color="383838"/>
              </w:rPr>
              <w:t> </w:t>
            </w:r>
            <w:r>
              <w:rPr>
                <w:color w:val="111111"/>
                <w:sz w:val="23"/>
                <w:u w:val="single" w:color="383838"/>
              </w:rPr>
              <w:t>zemí</w:t>
            </w:r>
            <w:r>
              <w:rPr>
                <w:color w:val="111111"/>
                <w:spacing w:val="1"/>
                <w:sz w:val="23"/>
                <w:u w:val="single" w:color="383838"/>
              </w:rPr>
              <w:t> </w:t>
            </w:r>
            <w:r>
              <w:rPr>
                <w:color w:val="111111"/>
                <w:spacing w:val="2"/>
                <w:sz w:val="23"/>
                <w:u w:val="single" w:color="383838"/>
              </w:rPr>
              <w:t>č.</w:t>
            </w:r>
            <w:r>
              <w:rPr>
                <w:color w:val="111111"/>
                <w:spacing w:val="-39"/>
                <w:sz w:val="23"/>
                <w:u w:val="single" w:color="383838"/>
              </w:rPr>
              <w:t> </w:t>
            </w:r>
            <w:r>
              <w:rPr>
                <w:color w:val="0D0D0D"/>
                <w:sz w:val="23"/>
                <w:u w:val="single" w:color="383838"/>
              </w:rPr>
              <w:t>3</w:t>
            </w:r>
            <w:r>
              <w:rPr>
                <w:color w:val="0D0D0D"/>
                <w:sz w:val="23"/>
              </w:rPr>
              <w:t>:</w:t>
            </w:r>
            <w:r>
              <w:rPr>
                <w:color w:val="0D0D0D"/>
                <w:spacing w:val="-39"/>
                <w:sz w:val="23"/>
              </w:rPr>
              <w:t> </w:t>
            </w:r>
            <w:r>
              <w:rPr>
                <w:color w:val="0E0E0E"/>
                <w:sz w:val="23"/>
              </w:rPr>
              <w:t>Francie,</w:t>
            </w:r>
            <w:r>
              <w:rPr>
                <w:color w:val="0E0E0E"/>
                <w:spacing w:val="-10"/>
                <w:sz w:val="23"/>
              </w:rPr>
              <w:t> </w:t>
            </w:r>
            <w:r>
              <w:rPr>
                <w:color w:val="0E0E0E"/>
                <w:sz w:val="23"/>
              </w:rPr>
              <w:t>Německo,</w:t>
            </w:r>
            <w:r>
              <w:rPr>
                <w:color w:val="0E0E0E"/>
                <w:spacing w:val="-1"/>
                <w:sz w:val="23"/>
              </w:rPr>
              <w:t> </w:t>
            </w:r>
            <w:r>
              <w:rPr>
                <w:color w:val="0E0E0E"/>
                <w:sz w:val="23"/>
              </w:rPr>
              <w:t>Itálie,</w:t>
            </w:r>
            <w:r>
              <w:rPr>
                <w:color w:val="0E0E0E"/>
                <w:spacing w:val="-30"/>
                <w:sz w:val="23"/>
              </w:rPr>
              <w:t> </w:t>
            </w:r>
            <w:r>
              <w:rPr>
                <w:color w:val="1C1C1C"/>
                <w:sz w:val="23"/>
              </w:rPr>
              <w:t>Polsko</w:t>
            </w:r>
            <w:r>
              <w:rPr>
                <w:color w:val="1C1C1C"/>
                <w:spacing w:val="-5"/>
                <w:sz w:val="23"/>
              </w:rPr>
              <w:t> </w:t>
            </w:r>
            <w:r>
              <w:rPr>
                <w:color w:val="1C1C1C"/>
                <w:sz w:val="23"/>
              </w:rPr>
              <w:t>a</w:t>
            </w:r>
            <w:r>
              <w:rPr>
                <w:color w:val="1C1C1C"/>
                <w:spacing w:val="6"/>
                <w:sz w:val="23"/>
              </w:rPr>
              <w:t> </w:t>
            </w:r>
            <w:r>
              <w:rPr>
                <w:color w:val="1C1C1C"/>
                <w:sz w:val="23"/>
              </w:rPr>
              <w:t>Španělsko</w:t>
              <w:tab/>
            </w:r>
            <w:r>
              <w:rPr>
                <w:color w:val="121212"/>
                <w:sz w:val="23"/>
              </w:rPr>
              <w:t>EUR </w:t>
            </w:r>
            <w:r>
              <w:rPr>
                <w:color w:val="111111"/>
                <w:sz w:val="23"/>
              </w:rPr>
              <w:t>43</w:t>
            </w:r>
            <w:r>
              <w:rPr>
                <w:color w:val="111111"/>
                <w:spacing w:val="-21"/>
                <w:sz w:val="23"/>
              </w:rPr>
              <w:t> </w:t>
            </w:r>
            <w:r>
              <w:rPr>
                <w:color w:val="171717"/>
                <w:spacing w:val="2"/>
                <w:sz w:val="23"/>
              </w:rPr>
              <w:t>620</w:t>
            </w:r>
          </w:p>
        </w:tc>
        <w:tc>
          <w:tcPr>
            <w:tcW w:w="175" w:type="dxa"/>
            <w:vMerge/>
            <w:tcBorders>
              <w:top w:val="nil"/>
              <w:left w:val="nil"/>
            </w:tcBorders>
          </w:tcPr>
          <w:p>
            <w:pPr>
              <w:rPr>
                <w:sz w:val="2"/>
                <w:szCs w:val="2"/>
              </w:rPr>
            </w:pPr>
          </w:p>
        </w:tc>
      </w:tr>
    </w:tbl>
    <w:p>
      <w:pPr>
        <w:pStyle w:val="BodyText"/>
        <w:spacing w:before="12"/>
        <w:rPr>
          <w:rFonts w:ascii="Calibri"/>
          <w:sz w:val="18"/>
        </w:rPr>
      </w:pPr>
    </w:p>
    <w:p>
      <w:pPr>
        <w:spacing w:before="89"/>
        <w:ind w:left="330" w:right="0" w:firstLine="0"/>
        <w:jc w:val="left"/>
        <w:rPr>
          <w:rFonts w:ascii="Arial" w:hAnsi="Arial"/>
          <w:b/>
          <w:sz w:val="23"/>
        </w:rPr>
      </w:pPr>
      <w:r>
        <w:rPr>
          <w:color w:val="161616"/>
          <w:spacing w:val="-58"/>
          <w:sz w:val="23"/>
          <w:u w:val="single" w:color="2B2B2B"/>
        </w:rPr>
        <w:t> </w:t>
      </w:r>
      <w:r>
        <w:rPr>
          <w:rFonts w:ascii="Calibri" w:hAnsi="Calibri"/>
          <w:b/>
          <w:color w:val="161616"/>
          <w:sz w:val="23"/>
          <w:u w:val="single" w:color="2B2B2B"/>
        </w:rPr>
        <w:t>Rozpis odhadovaných nákladů na jednotlivé aktivity</w:t>
      </w:r>
      <w:r>
        <w:rPr>
          <w:rFonts w:ascii="Arial" w:hAnsi="Arial"/>
          <w:b/>
          <w:color w:val="121212"/>
          <w:sz w:val="23"/>
          <w:u w:val="single" w:color="2B2B2B"/>
        </w:rPr>
        <w:t>:</w:t>
      </w:r>
    </w:p>
    <w:p>
      <w:pPr>
        <w:pStyle w:val="BodyText"/>
        <w:spacing w:before="8"/>
        <w:rPr>
          <w:rFonts w:ascii="Arial"/>
          <w:b/>
          <w:sz w:val="7"/>
        </w:rPr>
      </w:pPr>
    </w:p>
    <w:tbl>
      <w:tblPr>
        <w:tblW w:w="0" w:type="auto"/>
        <w:jc w:val="left"/>
        <w:tblInd w:w="240" w:type="dxa"/>
        <w:tblBorders>
          <w:top w:val="single" w:sz="4" w:space="0" w:color="444444"/>
          <w:left w:val="single" w:sz="4" w:space="0" w:color="444444"/>
          <w:bottom w:val="single" w:sz="4" w:space="0" w:color="444444"/>
          <w:right w:val="single" w:sz="4" w:space="0" w:color="444444"/>
          <w:insideH w:val="single" w:sz="4" w:space="0" w:color="444444"/>
          <w:insideV w:val="single" w:sz="4" w:space="0" w:color="444444"/>
        </w:tblBorders>
        <w:tblLayout w:type="fixed"/>
        <w:tblCellMar>
          <w:top w:w="0" w:type="dxa"/>
          <w:left w:w="0" w:type="dxa"/>
          <w:bottom w:w="0" w:type="dxa"/>
          <w:right w:w="0" w:type="dxa"/>
        </w:tblCellMar>
        <w:tblLook w:val="01E0"/>
      </w:tblPr>
      <w:tblGrid>
        <w:gridCol w:w="7201"/>
        <w:gridCol w:w="215"/>
        <w:gridCol w:w="2718"/>
      </w:tblGrid>
      <w:tr>
        <w:trPr>
          <w:trHeight w:val="460" w:hRule="atLeast"/>
        </w:trPr>
        <w:tc>
          <w:tcPr>
            <w:tcW w:w="7416" w:type="dxa"/>
            <w:gridSpan w:val="2"/>
            <w:vMerge w:val="restart"/>
          </w:tcPr>
          <w:p>
            <w:pPr>
              <w:pStyle w:val="TableParagraph"/>
              <w:spacing w:line="235" w:lineRule="auto" w:before="99"/>
              <w:ind w:left="105"/>
              <w:rPr>
                <w:sz w:val="23"/>
              </w:rPr>
            </w:pPr>
            <w:r>
              <w:rPr>
                <w:color w:val="171717"/>
                <w:sz w:val="23"/>
              </w:rPr>
              <w:t>Odhadované způsobilé náklady na aktivitu 1a: zpracovávání zpráv o politice odborného vzdělávání / VET policy reporting</w:t>
            </w:r>
          </w:p>
          <w:p>
            <w:pPr>
              <w:pStyle w:val="TableParagraph"/>
              <w:spacing w:line="235" w:lineRule="auto" w:before="11"/>
              <w:ind w:left="105"/>
              <w:rPr>
                <w:sz w:val="23"/>
              </w:rPr>
            </w:pPr>
            <w:r>
              <w:rPr>
                <w:color w:val="171717"/>
                <w:sz w:val="23"/>
              </w:rPr>
              <w:t>Odhadované způsobilé náklady na aktivitu 1b: Časová osa politiky – Nástroj pro vizualizaci vývoje</w:t>
            </w:r>
          </w:p>
          <w:p>
            <w:pPr>
              <w:pStyle w:val="TableParagraph"/>
              <w:spacing w:line="262" w:lineRule="exact"/>
              <w:ind w:left="105"/>
              <w:rPr>
                <w:sz w:val="23"/>
              </w:rPr>
            </w:pPr>
            <w:r>
              <w:rPr>
                <w:color w:val="171717"/>
                <w:sz w:val="23"/>
              </w:rPr>
              <w:t>Odhadované způsobilé náklady na aktivitu 1c: Národní zprávy o VET /</w:t>
            </w:r>
          </w:p>
          <w:p>
            <w:pPr>
              <w:pStyle w:val="TableParagraph"/>
              <w:spacing w:line="246" w:lineRule="exact" w:before="6"/>
              <w:ind w:left="105"/>
              <w:rPr>
                <w:sz w:val="23"/>
              </w:rPr>
            </w:pPr>
            <w:r>
              <w:rPr>
                <w:color w:val="171717"/>
                <w:sz w:val="23"/>
              </w:rPr>
              <w:t>National news on VET</w:t>
            </w:r>
          </w:p>
        </w:tc>
        <w:tc>
          <w:tcPr>
            <w:tcW w:w="2718" w:type="dxa"/>
            <w:tcBorders>
              <w:right w:val="nil"/>
            </w:tcBorders>
          </w:tcPr>
          <w:p>
            <w:pPr>
              <w:pStyle w:val="TableParagraph"/>
              <w:spacing w:before="94"/>
              <w:ind w:right="1065"/>
              <w:jc w:val="right"/>
              <w:rPr>
                <w:sz w:val="22"/>
              </w:rPr>
            </w:pPr>
            <w:r>
              <w:rPr>
                <w:color w:val="0D0D0D"/>
                <w:w w:val="90"/>
                <w:sz w:val="22"/>
              </w:rPr>
              <w:t>12000</w:t>
            </w:r>
          </w:p>
        </w:tc>
      </w:tr>
      <w:tr>
        <w:trPr>
          <w:trHeight w:val="690" w:hRule="atLeast"/>
        </w:trPr>
        <w:tc>
          <w:tcPr>
            <w:tcW w:w="7416" w:type="dxa"/>
            <w:gridSpan w:val="2"/>
            <w:vMerge/>
            <w:tcBorders>
              <w:top w:val="nil"/>
            </w:tcBorders>
          </w:tcPr>
          <w:p>
            <w:pPr>
              <w:rPr>
                <w:sz w:val="2"/>
                <w:szCs w:val="2"/>
              </w:rPr>
            </w:pPr>
          </w:p>
        </w:tc>
        <w:tc>
          <w:tcPr>
            <w:tcW w:w="2718" w:type="dxa"/>
            <w:tcBorders>
              <w:right w:val="nil"/>
            </w:tcBorders>
          </w:tcPr>
          <w:p>
            <w:pPr>
              <w:pStyle w:val="TableParagraph"/>
              <w:spacing w:before="83"/>
              <w:ind w:right="1114"/>
              <w:jc w:val="right"/>
              <w:rPr>
                <w:sz w:val="22"/>
              </w:rPr>
            </w:pPr>
            <w:r>
              <w:rPr>
                <w:color w:val="1F1F1F"/>
                <w:w w:val="90"/>
                <w:sz w:val="22"/>
              </w:rPr>
              <w:t>4000</w:t>
            </w:r>
          </w:p>
        </w:tc>
      </w:tr>
      <w:tr>
        <w:trPr>
          <w:trHeight w:val="510" w:hRule="atLeast"/>
        </w:trPr>
        <w:tc>
          <w:tcPr>
            <w:tcW w:w="7416" w:type="dxa"/>
            <w:gridSpan w:val="2"/>
            <w:vMerge/>
            <w:tcBorders>
              <w:top w:val="nil"/>
            </w:tcBorders>
          </w:tcPr>
          <w:p>
            <w:pPr>
              <w:rPr>
                <w:sz w:val="2"/>
                <w:szCs w:val="2"/>
              </w:rPr>
            </w:pPr>
          </w:p>
        </w:tc>
        <w:tc>
          <w:tcPr>
            <w:tcW w:w="2718" w:type="dxa"/>
            <w:tcBorders>
              <w:right w:val="nil"/>
            </w:tcBorders>
          </w:tcPr>
          <w:p>
            <w:pPr>
              <w:pStyle w:val="TableParagraph"/>
              <w:spacing w:before="104"/>
              <w:ind w:right="1124"/>
              <w:jc w:val="right"/>
              <w:rPr>
                <w:sz w:val="22"/>
              </w:rPr>
            </w:pPr>
            <w:r>
              <w:rPr>
                <w:color w:val="1C1C1C"/>
                <w:w w:val="90"/>
                <w:sz w:val="22"/>
              </w:rPr>
              <w:t>3250</w:t>
            </w:r>
          </w:p>
        </w:tc>
      </w:tr>
      <w:tr>
        <w:trPr>
          <w:trHeight w:val="971" w:hRule="atLeast"/>
        </w:trPr>
        <w:tc>
          <w:tcPr>
            <w:tcW w:w="7201" w:type="dxa"/>
            <w:vMerge w:val="restart"/>
            <w:tcBorders>
              <w:top w:val="single" w:sz="4" w:space="0" w:color="000000"/>
              <w:bottom w:val="single" w:sz="4" w:space="0" w:color="000000"/>
              <w:right w:val="nil"/>
            </w:tcBorders>
          </w:tcPr>
          <w:p>
            <w:pPr>
              <w:pStyle w:val="TableParagraph"/>
              <w:spacing w:before="105"/>
              <w:ind w:left="105" w:right="597"/>
              <w:jc w:val="both"/>
              <w:rPr>
                <w:sz w:val="23"/>
              </w:rPr>
            </w:pPr>
            <w:r>
              <w:rPr>
                <w:color w:val="171717"/>
                <w:sz w:val="23"/>
              </w:rPr>
              <w:t>Odhadované </w:t>
            </w:r>
            <w:r>
              <w:rPr>
                <w:color w:val="171717"/>
                <w:spacing w:val="-3"/>
                <w:sz w:val="23"/>
              </w:rPr>
              <w:t>způsobilé </w:t>
            </w:r>
            <w:r>
              <w:rPr>
                <w:color w:val="171717"/>
                <w:sz w:val="23"/>
              </w:rPr>
              <w:t>náklady </w:t>
            </w:r>
            <w:r>
              <w:rPr>
                <w:color w:val="171717"/>
                <w:spacing w:val="-4"/>
                <w:sz w:val="23"/>
              </w:rPr>
              <w:t>na </w:t>
            </w:r>
            <w:r>
              <w:rPr>
                <w:color w:val="171717"/>
                <w:sz w:val="23"/>
              </w:rPr>
              <w:t>aktivitu 2a: Databáze </w:t>
            </w:r>
            <w:r>
              <w:rPr>
                <w:color w:val="171717"/>
                <w:spacing w:val="-3"/>
                <w:sz w:val="23"/>
              </w:rPr>
              <w:t>VET </w:t>
            </w:r>
            <w:r>
              <w:rPr>
                <w:color w:val="171717"/>
                <w:spacing w:val="4"/>
                <w:sz w:val="23"/>
              </w:rPr>
              <w:t>in </w:t>
            </w:r>
            <w:r>
              <w:rPr>
                <w:color w:val="171717"/>
                <w:sz w:val="23"/>
              </w:rPr>
              <w:t>Europe- aktualizace informací o systému odborného vzdělávání v zemi předsedající radě EU.</w:t>
            </w:r>
          </w:p>
          <w:p>
            <w:pPr>
              <w:pStyle w:val="TableParagraph"/>
              <w:spacing w:before="107"/>
              <w:ind w:left="105"/>
              <w:rPr>
                <w:sz w:val="23"/>
              </w:rPr>
            </w:pPr>
            <w:r>
              <w:rPr>
                <w:color w:val="171717"/>
                <w:sz w:val="23"/>
              </w:rPr>
              <w:t>Odhadované způsobilé náklady na aktivitu 2b: Odborné vzdělávání v (předsedající země) – krátký popis (tištěná publikace vycházející z Národní zprávy o OV daného státu]), pokud se tato aktivita realizuje</w:t>
            </w:r>
          </w:p>
          <w:p>
            <w:pPr>
              <w:pStyle w:val="TableParagraph"/>
              <w:spacing w:line="235" w:lineRule="auto" w:before="111"/>
              <w:ind w:left="105"/>
              <w:rPr>
                <w:sz w:val="23"/>
              </w:rPr>
            </w:pPr>
            <w:r>
              <w:rPr>
                <w:color w:val="171717"/>
                <w:sz w:val="23"/>
              </w:rPr>
              <w:t>Odhadované způsobilé náklady na aktivitu 2c: Zaměřeno na odborné vzdělávání / Spotlight on VET v [předsedající zemi],</w:t>
            </w:r>
          </w:p>
        </w:tc>
        <w:tc>
          <w:tcPr>
            <w:tcW w:w="215" w:type="dxa"/>
            <w:tcBorders>
              <w:left w:val="nil"/>
            </w:tcBorders>
          </w:tcPr>
          <w:p>
            <w:pPr>
              <w:pStyle w:val="TableParagraph"/>
              <w:spacing w:before="104"/>
              <w:ind w:left="45"/>
              <w:rPr>
                <w:sz w:val="22"/>
              </w:rPr>
            </w:pPr>
            <w:r>
              <w:rPr>
                <w:color w:val="DADADA"/>
                <w:w w:val="90"/>
                <w:sz w:val="22"/>
              </w:rPr>
              <w:t>.</w:t>
            </w:r>
          </w:p>
        </w:tc>
        <w:tc>
          <w:tcPr>
            <w:tcW w:w="2718" w:type="dxa"/>
            <w:tcBorders>
              <w:right w:val="nil"/>
            </w:tcBorders>
          </w:tcPr>
          <w:p>
            <w:pPr>
              <w:pStyle w:val="TableParagraph"/>
              <w:spacing w:before="84"/>
              <w:ind w:right="1034"/>
              <w:jc w:val="right"/>
              <w:rPr>
                <w:sz w:val="22"/>
              </w:rPr>
            </w:pPr>
            <w:r>
              <w:rPr>
                <w:color w:val="1C1C1C"/>
                <w:w w:val="95"/>
                <w:sz w:val="22"/>
              </w:rPr>
              <w:t>10 </w:t>
            </w:r>
            <w:r>
              <w:rPr>
                <w:color w:val="161616"/>
                <w:w w:val="95"/>
                <w:sz w:val="22"/>
              </w:rPr>
              <w:t>000</w:t>
            </w:r>
          </w:p>
        </w:tc>
      </w:tr>
      <w:tr>
        <w:trPr>
          <w:trHeight w:val="970" w:hRule="atLeast"/>
        </w:trPr>
        <w:tc>
          <w:tcPr>
            <w:tcW w:w="7201" w:type="dxa"/>
            <w:vMerge/>
            <w:tcBorders>
              <w:top w:val="nil"/>
              <w:bottom w:val="single" w:sz="4" w:space="0" w:color="000000"/>
              <w:right w:val="nil"/>
            </w:tcBorders>
          </w:tcPr>
          <w:p>
            <w:pPr>
              <w:rPr>
                <w:sz w:val="2"/>
                <w:szCs w:val="2"/>
              </w:rPr>
            </w:pPr>
          </w:p>
        </w:tc>
        <w:tc>
          <w:tcPr>
            <w:tcW w:w="215" w:type="dxa"/>
            <w:tcBorders>
              <w:left w:val="nil"/>
            </w:tcBorders>
          </w:tcPr>
          <w:p>
            <w:pPr>
              <w:pStyle w:val="TableParagraph"/>
              <w:rPr>
                <w:rFonts w:ascii="Times New Roman"/>
                <w:sz w:val="22"/>
              </w:rPr>
            </w:pPr>
          </w:p>
        </w:tc>
        <w:tc>
          <w:tcPr>
            <w:tcW w:w="2718" w:type="dxa"/>
            <w:tcBorders>
              <w:right w:val="nil"/>
            </w:tcBorders>
          </w:tcPr>
          <w:p>
            <w:pPr>
              <w:pStyle w:val="TableParagraph"/>
              <w:spacing w:before="75"/>
              <w:ind w:right="1034"/>
              <w:jc w:val="right"/>
              <w:rPr>
                <w:sz w:val="24"/>
              </w:rPr>
            </w:pPr>
            <w:r>
              <w:rPr>
                <w:color w:val="1C1C1C"/>
                <w:w w:val="95"/>
                <w:sz w:val="24"/>
              </w:rPr>
              <w:t>Netýká se</w:t>
            </w:r>
          </w:p>
        </w:tc>
      </w:tr>
      <w:tr>
        <w:trPr>
          <w:trHeight w:val="700" w:hRule="atLeast"/>
        </w:trPr>
        <w:tc>
          <w:tcPr>
            <w:tcW w:w="7201" w:type="dxa"/>
            <w:vMerge/>
            <w:tcBorders>
              <w:top w:val="nil"/>
              <w:bottom w:val="single" w:sz="4" w:space="0" w:color="000000"/>
              <w:right w:val="nil"/>
            </w:tcBorders>
          </w:tcPr>
          <w:p>
            <w:pPr>
              <w:rPr>
                <w:sz w:val="2"/>
                <w:szCs w:val="2"/>
              </w:rPr>
            </w:pPr>
          </w:p>
        </w:tc>
        <w:tc>
          <w:tcPr>
            <w:tcW w:w="215" w:type="dxa"/>
            <w:tcBorders>
              <w:left w:val="nil"/>
              <w:bottom w:val="single" w:sz="4" w:space="0" w:color="000000"/>
            </w:tcBorders>
          </w:tcPr>
          <w:p>
            <w:pPr>
              <w:pStyle w:val="TableParagraph"/>
              <w:rPr>
                <w:rFonts w:ascii="Times New Roman"/>
                <w:sz w:val="22"/>
              </w:rPr>
            </w:pPr>
          </w:p>
        </w:tc>
        <w:tc>
          <w:tcPr>
            <w:tcW w:w="2718" w:type="dxa"/>
            <w:tcBorders>
              <w:right w:val="nil"/>
            </w:tcBorders>
          </w:tcPr>
          <w:p>
            <w:pPr>
              <w:pStyle w:val="TableParagraph"/>
              <w:spacing w:before="93"/>
              <w:ind w:right="1082"/>
              <w:jc w:val="right"/>
              <w:rPr>
                <w:sz w:val="22"/>
              </w:rPr>
            </w:pPr>
            <w:r>
              <w:rPr>
                <w:color w:val="2C2C2C"/>
                <w:sz w:val="22"/>
              </w:rPr>
              <w:t>Netýká se</w:t>
            </w:r>
          </w:p>
        </w:tc>
      </w:tr>
      <w:tr>
        <w:trPr>
          <w:trHeight w:val="710" w:hRule="atLeast"/>
        </w:trPr>
        <w:tc>
          <w:tcPr>
            <w:tcW w:w="7416" w:type="dxa"/>
            <w:gridSpan w:val="2"/>
            <w:vMerge w:val="restart"/>
            <w:tcBorders>
              <w:top w:val="single" w:sz="4" w:space="0" w:color="000000"/>
            </w:tcBorders>
          </w:tcPr>
          <w:p>
            <w:pPr>
              <w:pStyle w:val="TableParagraph"/>
              <w:spacing w:line="235" w:lineRule="auto" w:before="108"/>
              <w:ind w:left="105" w:right="95"/>
              <w:rPr>
                <w:sz w:val="23"/>
              </w:rPr>
            </w:pPr>
            <w:r>
              <w:rPr>
                <w:color w:val="171717"/>
                <w:sz w:val="23"/>
              </w:rPr>
              <w:t>Odhadované způsobilé náklady na aktivitu 3a: Pomoc při monitorování kvalifikací v projektu Cedefopu zaměřeném na online pracovní inzerci</w:t>
            </w:r>
          </w:p>
          <w:p>
            <w:pPr>
              <w:pStyle w:val="TableParagraph"/>
              <w:spacing w:line="244" w:lineRule="auto" w:before="108"/>
              <w:ind w:left="105"/>
              <w:rPr>
                <w:sz w:val="23"/>
              </w:rPr>
            </w:pPr>
            <w:r>
              <w:rPr>
                <w:color w:val="171717"/>
                <w:sz w:val="23"/>
              </w:rPr>
              <w:t>Odhadované způsobilé náklady na aktivitu 3b: Ad hoc tematická podpora – článek nebo jiný úkol</w:t>
            </w:r>
          </w:p>
        </w:tc>
        <w:tc>
          <w:tcPr>
            <w:tcW w:w="2718" w:type="dxa"/>
            <w:tcBorders>
              <w:right w:val="nil"/>
            </w:tcBorders>
          </w:tcPr>
          <w:p>
            <w:pPr>
              <w:pStyle w:val="TableParagraph"/>
              <w:spacing w:before="103"/>
              <w:ind w:right="1104"/>
              <w:jc w:val="right"/>
              <w:rPr>
                <w:sz w:val="22"/>
              </w:rPr>
            </w:pPr>
            <w:r>
              <w:rPr>
                <w:color w:val="171717"/>
                <w:sz w:val="22"/>
              </w:rPr>
              <w:t>12 000</w:t>
            </w:r>
          </w:p>
        </w:tc>
      </w:tr>
      <w:tr>
        <w:trPr>
          <w:trHeight w:val="700" w:hRule="atLeast"/>
        </w:trPr>
        <w:tc>
          <w:tcPr>
            <w:tcW w:w="7416" w:type="dxa"/>
            <w:gridSpan w:val="2"/>
            <w:vMerge/>
            <w:tcBorders>
              <w:top w:val="nil"/>
            </w:tcBorders>
          </w:tcPr>
          <w:p>
            <w:pPr>
              <w:rPr>
                <w:sz w:val="2"/>
                <w:szCs w:val="2"/>
              </w:rPr>
            </w:pPr>
          </w:p>
        </w:tc>
        <w:tc>
          <w:tcPr>
            <w:tcW w:w="2718" w:type="dxa"/>
            <w:tcBorders>
              <w:right w:val="nil"/>
            </w:tcBorders>
          </w:tcPr>
          <w:p>
            <w:pPr>
              <w:pStyle w:val="TableParagraph"/>
              <w:spacing w:before="94"/>
              <w:ind w:right="1044"/>
              <w:jc w:val="right"/>
              <w:rPr>
                <w:sz w:val="22"/>
              </w:rPr>
            </w:pPr>
            <w:r>
              <w:rPr>
                <w:color w:val="202020"/>
                <w:sz w:val="22"/>
              </w:rPr>
              <w:t>11 </w:t>
            </w:r>
            <w:r>
              <w:rPr>
                <w:color w:val="1C1C1C"/>
                <w:sz w:val="22"/>
              </w:rPr>
              <w:t>000</w:t>
            </w:r>
          </w:p>
        </w:tc>
      </w:tr>
      <w:tr>
        <w:trPr>
          <w:trHeight w:val="948" w:hRule="atLeast"/>
        </w:trPr>
        <w:tc>
          <w:tcPr>
            <w:tcW w:w="7416" w:type="dxa"/>
            <w:gridSpan w:val="2"/>
            <w:vMerge w:val="restart"/>
          </w:tcPr>
          <w:p>
            <w:pPr>
              <w:pStyle w:val="TableParagraph"/>
              <w:spacing w:line="223" w:lineRule="auto" w:before="89"/>
              <w:ind w:left="85" w:right="553"/>
              <w:jc w:val="both"/>
              <w:rPr>
                <w:sz w:val="23"/>
              </w:rPr>
            </w:pPr>
            <w:r>
              <w:rPr>
                <w:w w:val="95"/>
                <w:sz w:val="23"/>
              </w:rPr>
              <w:t>Odhadované způsobilé náklady na aktivitu 4a: Aktivity zaměřené na zviditelnění, včetně údržby a aktualizace národních webových stránek </w:t>
            </w:r>
            <w:r>
              <w:rPr>
                <w:sz w:val="23"/>
              </w:rPr>
              <w:t>ReferNet, aktivit na sociálních sítích a účasti na akcích</w:t>
            </w:r>
          </w:p>
          <w:p>
            <w:pPr>
              <w:pStyle w:val="TableParagraph"/>
              <w:spacing w:line="260" w:lineRule="exact" w:before="186"/>
              <w:ind w:left="85"/>
              <w:rPr>
                <w:b/>
                <w:sz w:val="23"/>
              </w:rPr>
            </w:pPr>
            <w:r>
              <w:rPr>
                <w:b/>
                <w:color w:val="171717"/>
                <w:sz w:val="23"/>
              </w:rPr>
              <w:t>Odhadované celkové náklady na výše uvedené aktivity (součet zahrnující 1 až 4a)</w:t>
            </w:r>
          </w:p>
        </w:tc>
        <w:tc>
          <w:tcPr>
            <w:tcW w:w="2718" w:type="dxa"/>
            <w:tcBorders>
              <w:bottom w:val="single" w:sz="6" w:space="0" w:color="444444"/>
              <w:right w:val="nil"/>
            </w:tcBorders>
          </w:tcPr>
          <w:p>
            <w:pPr>
              <w:pStyle w:val="TableParagraph"/>
              <w:spacing w:before="94"/>
              <w:ind w:right="1042"/>
              <w:jc w:val="right"/>
              <w:rPr>
                <w:sz w:val="22"/>
              </w:rPr>
            </w:pPr>
            <w:r>
              <w:rPr>
                <w:color w:val="111111"/>
                <w:sz w:val="22"/>
              </w:rPr>
              <w:t>15 00</w:t>
            </w:r>
            <w:r>
              <w:rPr>
                <w:color w:val="1A1A1A"/>
                <w:sz w:val="22"/>
              </w:rPr>
              <w:t>0</w:t>
            </w:r>
          </w:p>
        </w:tc>
      </w:tr>
      <w:tr>
        <w:trPr>
          <w:trHeight w:val="577" w:hRule="atLeast"/>
        </w:trPr>
        <w:tc>
          <w:tcPr>
            <w:tcW w:w="7416" w:type="dxa"/>
            <w:gridSpan w:val="2"/>
            <w:vMerge/>
            <w:tcBorders>
              <w:top w:val="nil"/>
            </w:tcBorders>
          </w:tcPr>
          <w:p>
            <w:pPr>
              <w:rPr>
                <w:sz w:val="2"/>
                <w:szCs w:val="2"/>
              </w:rPr>
            </w:pPr>
          </w:p>
        </w:tc>
        <w:tc>
          <w:tcPr>
            <w:tcW w:w="2718" w:type="dxa"/>
            <w:tcBorders>
              <w:top w:val="single" w:sz="6" w:space="0" w:color="444444"/>
              <w:right w:val="nil"/>
            </w:tcBorders>
          </w:tcPr>
          <w:p>
            <w:pPr>
              <w:pStyle w:val="TableParagraph"/>
              <w:spacing w:before="54"/>
              <w:ind w:right="1034"/>
              <w:jc w:val="right"/>
              <w:rPr>
                <w:rFonts w:ascii="Arial Black"/>
                <w:sz w:val="23"/>
              </w:rPr>
            </w:pPr>
            <w:r>
              <w:rPr>
                <w:rFonts w:ascii="Arial Black"/>
                <w:color w:val="161616"/>
                <w:w w:val="80"/>
                <w:sz w:val="23"/>
              </w:rPr>
              <w:t>67 </w:t>
            </w:r>
            <w:r>
              <w:rPr>
                <w:rFonts w:ascii="Arial Black"/>
                <w:color w:val="0E0E0E"/>
                <w:w w:val="80"/>
                <w:sz w:val="23"/>
              </w:rPr>
              <w:t>250</w:t>
            </w:r>
          </w:p>
        </w:tc>
      </w:tr>
      <w:tr>
        <w:trPr>
          <w:trHeight w:val="370" w:hRule="atLeast"/>
        </w:trPr>
        <w:tc>
          <w:tcPr>
            <w:tcW w:w="7416" w:type="dxa"/>
            <w:gridSpan w:val="2"/>
          </w:tcPr>
          <w:p>
            <w:pPr>
              <w:pStyle w:val="TableParagraph"/>
              <w:spacing w:line="256" w:lineRule="exact" w:before="94"/>
              <w:ind w:left="95"/>
              <w:rPr>
                <w:b/>
                <w:sz w:val="23"/>
              </w:rPr>
            </w:pPr>
            <w:r>
              <w:rPr>
                <w:b/>
                <w:color w:val="1F1F1F"/>
                <w:sz w:val="23"/>
              </w:rPr>
              <w:t>Požadovaná částka grantu (v eurech)</w:t>
            </w:r>
          </w:p>
        </w:tc>
        <w:tc>
          <w:tcPr>
            <w:tcW w:w="2718" w:type="dxa"/>
            <w:tcBorders>
              <w:right w:val="nil"/>
            </w:tcBorders>
          </w:tcPr>
          <w:p>
            <w:pPr>
              <w:pStyle w:val="TableParagraph"/>
              <w:spacing w:line="293" w:lineRule="exact" w:before="57"/>
              <w:ind w:right="1114"/>
              <w:jc w:val="right"/>
              <w:rPr>
                <w:rFonts w:ascii="Arial Black"/>
                <w:sz w:val="23"/>
              </w:rPr>
            </w:pPr>
            <w:r>
              <w:rPr>
                <w:rFonts w:ascii="Arial Black"/>
                <w:color w:val="1A1A1A"/>
                <w:w w:val="80"/>
                <w:sz w:val="23"/>
              </w:rPr>
              <w:t>33 </w:t>
            </w:r>
            <w:r>
              <w:rPr>
                <w:rFonts w:ascii="Arial Black"/>
                <w:color w:val="1C1C1C"/>
                <w:w w:val="80"/>
                <w:sz w:val="23"/>
              </w:rPr>
              <w:t>625</w:t>
            </w:r>
          </w:p>
        </w:tc>
      </w:tr>
    </w:tbl>
    <w:p>
      <w:pPr>
        <w:spacing w:after="0" w:line="293" w:lineRule="exact"/>
        <w:jc w:val="right"/>
        <w:rPr>
          <w:rFonts w:ascii="Arial Black"/>
          <w:sz w:val="23"/>
        </w:rPr>
        <w:sectPr>
          <w:type w:val="continuous"/>
          <w:pgSz w:w="11910" w:h="16840"/>
          <w:pgMar w:top="1300" w:bottom="960" w:left="580" w:right="840"/>
        </w:sectPr>
      </w:pPr>
    </w:p>
    <w:p>
      <w:pPr>
        <w:pStyle w:val="BodyText"/>
        <w:spacing w:before="4"/>
        <w:rPr>
          <w:rFonts w:ascii="Arial"/>
          <w:b/>
          <w:sz w:val="17"/>
        </w:rPr>
      </w:pPr>
    </w:p>
    <w:sectPr>
      <w:headerReference w:type="default" r:id="rId14"/>
      <w:footerReference w:type="default" r:id="rId15"/>
      <w:pgSz w:w="11910" w:h="16840"/>
      <w:pgMar w:header="0" w:footer="789" w:top="1600" w:bottom="980" w:left="58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 w:name="Courier New">
    <w:altName w:val="Courier New"/>
    <w:charset w:val="EE"/>
    <w:family w:val="modern"/>
    <w:pitch w:val="fixed"/>
  </w:font>
  <w:font w:name="Symbol">
    <w:altName w:val="Symbol"/>
    <w:charset w:val="2"/>
    <w:family w:val="roman"/>
    <w:pitch w:val="variable"/>
  </w:font>
  <w:font w:name="Arial Black">
    <w:altName w:val="Arial Black"/>
    <w:charset w:val="EE"/>
    <w:family w:val="swiss"/>
    <w:pitch w:val="variable"/>
  </w:font>
  <w:font w:name="Lucida Sans">
    <w:altName w:val="Lucida San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75pt;margin-top:742.732788pt;width:15pt;height:10.95pt;mso-position-horizontal-relative:page;mso-position-vertical-relative:page;z-index:-252188672" type="#_x0000_t202" filled="false" stroked="false">
          <v:textbox inset="0,0,0,0">
            <w:txbxContent>
              <w:p>
                <w:pPr>
                  <w:spacing w:before="14"/>
                  <w:ind w:left="60" w:right="0" w:firstLine="0"/>
                  <w:jc w:val="left"/>
                  <w:rPr>
                    <w:rFonts w:ascii="Arial"/>
                    <w:sz w:val="16"/>
                  </w:rPr>
                </w:pPr>
                <w:r>
                  <w:rPr/>
                  <w:fldChar w:fldCharType="begin"/>
                </w:r>
                <w:r>
                  <w:rPr>
                    <w:rFonts w:ascii="Arial"/>
                    <w:sz w:val="16"/>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6.419983pt;margin-top:787.568481pt;width:9.550pt;height:16.2pt;mso-position-horizontal-relative:page;mso-position-vertical-relative:page;z-index:-252187648" type="#_x0000_t202" filled="false" stroked="false">
          <v:textbox inset="0,0,0,0">
            <w:txbxContent>
              <w:p>
                <w:pPr>
                  <w:spacing w:before="20"/>
                  <w:ind w:left="20" w:right="0" w:firstLine="0"/>
                  <w:jc w:val="left"/>
                  <w:rPr>
                    <w:rFonts w:ascii="Courier New"/>
                    <w:sz w:val="25"/>
                  </w:rPr>
                </w:pPr>
                <w:r>
                  <w:rPr>
                    <w:rFonts w:ascii="Courier New"/>
                    <w:color w:val="3A3A3A"/>
                    <w:sz w:val="25"/>
                  </w:rPr>
                  <w:t>6</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6.419983pt;margin-top:787.568481pt;width:9.550pt;height:16.2pt;mso-position-horizontal-relative:page;mso-position-vertical-relative:page;z-index:-252186624" type="#_x0000_t202" filled="false" stroked="false">
          <v:textbox inset="0,0,0,0">
            <w:txbxContent>
              <w:p>
                <w:pPr>
                  <w:spacing w:before="20"/>
                  <w:ind w:left="20" w:right="0" w:firstLine="0"/>
                  <w:jc w:val="left"/>
                  <w:rPr>
                    <w:rFonts w:ascii="Courier New"/>
                    <w:sz w:val="25"/>
                  </w:rPr>
                </w:pPr>
                <w:r>
                  <w:rPr>
                    <w:rFonts w:ascii="Courier New"/>
                    <w:color w:val="3A3A3A"/>
                    <w:sz w:val="25"/>
                  </w:rPr>
                  <w:t>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0.050003pt;margin-top:35.009979pt;width:187.15pt;height:12pt;mso-position-horizontal-relative:page;mso-position-vertical-relative:page;z-index:-252190720" type="#_x0000_t202" filled="false" stroked="false">
          <v:textbox inset="0,0,0,0">
            <w:txbxContent>
              <w:p>
                <w:pPr>
                  <w:spacing w:before="12"/>
                  <w:ind w:left="20" w:right="0" w:firstLine="0"/>
                  <w:jc w:val="left"/>
                  <w:rPr>
                    <w:i/>
                    <w:sz w:val="18"/>
                  </w:rPr>
                </w:pPr>
                <w:r>
                  <w:rPr>
                    <w:i/>
                    <w:sz w:val="18"/>
                  </w:rPr>
                  <w:t>No 2023-CED.915/GP/DVQ/ReferNet-SGA/001/22</w:t>
                </w:r>
              </w:p>
            </w:txbxContent>
          </v:textbox>
          <w10:wrap type="none"/>
        </v:shape>
      </w:pict>
    </w:r>
    <w:r>
      <w:rPr/>
      <w:pict>
        <v:shape style="position:absolute;margin-left:355.279999pt;margin-top:36.779999pt;width:168pt;height:11pt;mso-position-horizontal-relative:page;mso-position-vertical-relative:page;z-index:-252189696" type="#_x0000_t202" filled="false" stroked="false">
          <v:textbox inset="0,0,0,0">
            <w:txbxContent>
              <w:p>
                <w:pPr>
                  <w:spacing w:line="203" w:lineRule="exact" w:before="0"/>
                  <w:ind w:left="20" w:right="0" w:firstLine="0"/>
                  <w:jc w:val="left"/>
                  <w:rPr>
                    <w:rFonts w:ascii="Calibri"/>
                    <w:i/>
                    <w:sz w:val="18"/>
                  </w:rPr>
                </w:pPr>
                <w:r>
                  <w:rPr>
                    <w:rFonts w:ascii="Calibri"/>
                    <w:i/>
                    <w:sz w:val="18"/>
                  </w:rPr>
                  <w:t>Model specific grant agreement: August 2019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461" w:hanging="361"/>
      </w:pPr>
      <w:rPr>
        <w:rFonts w:hint="default"/>
        <w:w w:val="100"/>
        <w:lang w:val="cs-CZ" w:eastAsia="cs-CZ" w:bidi="cs-CZ"/>
      </w:rPr>
    </w:lvl>
    <w:lvl w:ilvl="1">
      <w:start w:val="0"/>
      <w:numFmt w:val="bullet"/>
      <w:lvlText w:val="•"/>
      <w:lvlJc w:val="left"/>
      <w:pPr>
        <w:ind w:left="2368" w:hanging="361"/>
      </w:pPr>
      <w:rPr>
        <w:rFonts w:hint="default"/>
        <w:lang w:val="cs-CZ" w:eastAsia="cs-CZ" w:bidi="cs-CZ"/>
      </w:rPr>
    </w:lvl>
    <w:lvl w:ilvl="2">
      <w:start w:val="0"/>
      <w:numFmt w:val="bullet"/>
      <w:lvlText w:val="•"/>
      <w:lvlJc w:val="left"/>
      <w:pPr>
        <w:ind w:left="3276" w:hanging="361"/>
      </w:pPr>
      <w:rPr>
        <w:rFonts w:hint="default"/>
        <w:lang w:val="cs-CZ" w:eastAsia="cs-CZ" w:bidi="cs-CZ"/>
      </w:rPr>
    </w:lvl>
    <w:lvl w:ilvl="3">
      <w:start w:val="0"/>
      <w:numFmt w:val="bullet"/>
      <w:lvlText w:val="•"/>
      <w:lvlJc w:val="left"/>
      <w:pPr>
        <w:ind w:left="4184" w:hanging="361"/>
      </w:pPr>
      <w:rPr>
        <w:rFonts w:hint="default"/>
        <w:lang w:val="cs-CZ" w:eastAsia="cs-CZ" w:bidi="cs-CZ"/>
      </w:rPr>
    </w:lvl>
    <w:lvl w:ilvl="4">
      <w:start w:val="0"/>
      <w:numFmt w:val="bullet"/>
      <w:lvlText w:val="•"/>
      <w:lvlJc w:val="left"/>
      <w:pPr>
        <w:ind w:left="5092" w:hanging="361"/>
      </w:pPr>
      <w:rPr>
        <w:rFonts w:hint="default"/>
        <w:lang w:val="cs-CZ" w:eastAsia="cs-CZ" w:bidi="cs-CZ"/>
      </w:rPr>
    </w:lvl>
    <w:lvl w:ilvl="5">
      <w:start w:val="0"/>
      <w:numFmt w:val="bullet"/>
      <w:lvlText w:val="•"/>
      <w:lvlJc w:val="left"/>
      <w:pPr>
        <w:ind w:left="6000" w:hanging="361"/>
      </w:pPr>
      <w:rPr>
        <w:rFonts w:hint="default"/>
        <w:lang w:val="cs-CZ" w:eastAsia="cs-CZ" w:bidi="cs-CZ"/>
      </w:rPr>
    </w:lvl>
    <w:lvl w:ilvl="6">
      <w:start w:val="0"/>
      <w:numFmt w:val="bullet"/>
      <w:lvlText w:val="•"/>
      <w:lvlJc w:val="left"/>
      <w:pPr>
        <w:ind w:left="6908" w:hanging="361"/>
      </w:pPr>
      <w:rPr>
        <w:rFonts w:hint="default"/>
        <w:lang w:val="cs-CZ" w:eastAsia="cs-CZ" w:bidi="cs-CZ"/>
      </w:rPr>
    </w:lvl>
    <w:lvl w:ilvl="7">
      <w:start w:val="0"/>
      <w:numFmt w:val="bullet"/>
      <w:lvlText w:val="•"/>
      <w:lvlJc w:val="left"/>
      <w:pPr>
        <w:ind w:left="7816" w:hanging="361"/>
      </w:pPr>
      <w:rPr>
        <w:rFonts w:hint="default"/>
        <w:lang w:val="cs-CZ" w:eastAsia="cs-CZ" w:bidi="cs-CZ"/>
      </w:rPr>
    </w:lvl>
    <w:lvl w:ilvl="8">
      <w:start w:val="0"/>
      <w:numFmt w:val="bullet"/>
      <w:lvlText w:val="•"/>
      <w:lvlJc w:val="left"/>
      <w:pPr>
        <w:ind w:left="8724" w:hanging="361"/>
      </w:pPr>
      <w:rPr>
        <w:rFonts w:hint="default"/>
        <w:lang w:val="cs-CZ" w:eastAsia="cs-CZ" w:bidi="cs-CZ"/>
      </w:rPr>
    </w:lvl>
  </w:abstractNum>
  <w:abstractNum w:abstractNumId="7">
    <w:multiLevelType w:val="hybridMultilevel"/>
    <w:lvl w:ilvl="0">
      <w:start w:val="1"/>
      <w:numFmt w:val="lowerLetter"/>
      <w:lvlText w:val="(%1)"/>
      <w:lvlJc w:val="left"/>
      <w:pPr>
        <w:ind w:left="1461" w:hanging="361"/>
        <w:jc w:val="left"/>
      </w:pPr>
      <w:rPr>
        <w:rFonts w:hint="default" w:ascii="Times New Roman" w:hAnsi="Times New Roman" w:eastAsia="Times New Roman" w:cs="Times New Roman"/>
        <w:spacing w:val="-23"/>
        <w:w w:val="89"/>
        <w:sz w:val="24"/>
        <w:szCs w:val="24"/>
        <w:lang w:val="cs-CZ" w:eastAsia="cs-CZ" w:bidi="cs-CZ"/>
      </w:rPr>
    </w:lvl>
    <w:lvl w:ilvl="1">
      <w:start w:val="0"/>
      <w:numFmt w:val="bullet"/>
      <w:lvlText w:val="•"/>
      <w:lvlJc w:val="left"/>
      <w:pPr>
        <w:ind w:left="2368" w:hanging="361"/>
      </w:pPr>
      <w:rPr>
        <w:rFonts w:hint="default"/>
        <w:lang w:val="cs-CZ" w:eastAsia="cs-CZ" w:bidi="cs-CZ"/>
      </w:rPr>
    </w:lvl>
    <w:lvl w:ilvl="2">
      <w:start w:val="0"/>
      <w:numFmt w:val="bullet"/>
      <w:lvlText w:val="•"/>
      <w:lvlJc w:val="left"/>
      <w:pPr>
        <w:ind w:left="3276" w:hanging="361"/>
      </w:pPr>
      <w:rPr>
        <w:rFonts w:hint="default"/>
        <w:lang w:val="cs-CZ" w:eastAsia="cs-CZ" w:bidi="cs-CZ"/>
      </w:rPr>
    </w:lvl>
    <w:lvl w:ilvl="3">
      <w:start w:val="0"/>
      <w:numFmt w:val="bullet"/>
      <w:lvlText w:val="•"/>
      <w:lvlJc w:val="left"/>
      <w:pPr>
        <w:ind w:left="4184" w:hanging="361"/>
      </w:pPr>
      <w:rPr>
        <w:rFonts w:hint="default"/>
        <w:lang w:val="cs-CZ" w:eastAsia="cs-CZ" w:bidi="cs-CZ"/>
      </w:rPr>
    </w:lvl>
    <w:lvl w:ilvl="4">
      <w:start w:val="0"/>
      <w:numFmt w:val="bullet"/>
      <w:lvlText w:val="•"/>
      <w:lvlJc w:val="left"/>
      <w:pPr>
        <w:ind w:left="5092" w:hanging="361"/>
      </w:pPr>
      <w:rPr>
        <w:rFonts w:hint="default"/>
        <w:lang w:val="cs-CZ" w:eastAsia="cs-CZ" w:bidi="cs-CZ"/>
      </w:rPr>
    </w:lvl>
    <w:lvl w:ilvl="5">
      <w:start w:val="0"/>
      <w:numFmt w:val="bullet"/>
      <w:lvlText w:val="•"/>
      <w:lvlJc w:val="left"/>
      <w:pPr>
        <w:ind w:left="6000" w:hanging="361"/>
      </w:pPr>
      <w:rPr>
        <w:rFonts w:hint="default"/>
        <w:lang w:val="cs-CZ" w:eastAsia="cs-CZ" w:bidi="cs-CZ"/>
      </w:rPr>
    </w:lvl>
    <w:lvl w:ilvl="6">
      <w:start w:val="0"/>
      <w:numFmt w:val="bullet"/>
      <w:lvlText w:val="•"/>
      <w:lvlJc w:val="left"/>
      <w:pPr>
        <w:ind w:left="6908" w:hanging="361"/>
      </w:pPr>
      <w:rPr>
        <w:rFonts w:hint="default"/>
        <w:lang w:val="cs-CZ" w:eastAsia="cs-CZ" w:bidi="cs-CZ"/>
      </w:rPr>
    </w:lvl>
    <w:lvl w:ilvl="7">
      <w:start w:val="0"/>
      <w:numFmt w:val="bullet"/>
      <w:lvlText w:val="•"/>
      <w:lvlJc w:val="left"/>
      <w:pPr>
        <w:ind w:left="7816" w:hanging="361"/>
      </w:pPr>
      <w:rPr>
        <w:rFonts w:hint="default"/>
        <w:lang w:val="cs-CZ" w:eastAsia="cs-CZ" w:bidi="cs-CZ"/>
      </w:rPr>
    </w:lvl>
    <w:lvl w:ilvl="8">
      <w:start w:val="0"/>
      <w:numFmt w:val="bullet"/>
      <w:lvlText w:val="•"/>
      <w:lvlJc w:val="left"/>
      <w:pPr>
        <w:ind w:left="8724" w:hanging="361"/>
      </w:pPr>
      <w:rPr>
        <w:rFonts w:hint="default"/>
        <w:lang w:val="cs-CZ" w:eastAsia="cs-CZ" w:bidi="cs-CZ"/>
      </w:rPr>
    </w:lvl>
  </w:abstractNum>
  <w:abstractNum w:abstractNumId="6">
    <w:multiLevelType w:val="hybridMultilevel"/>
    <w:lvl w:ilvl="0">
      <w:start w:val="1"/>
      <w:numFmt w:val="lowerLetter"/>
      <w:lvlText w:val="(%1)"/>
      <w:lvlJc w:val="left"/>
      <w:pPr>
        <w:ind w:left="1461" w:hanging="721"/>
        <w:jc w:val="left"/>
      </w:pPr>
      <w:rPr>
        <w:rFonts w:hint="default" w:ascii="Times New Roman" w:hAnsi="Times New Roman" w:eastAsia="Times New Roman" w:cs="Times New Roman"/>
        <w:spacing w:val="-2"/>
        <w:w w:val="89"/>
        <w:sz w:val="24"/>
        <w:szCs w:val="24"/>
        <w:lang w:val="cs-CZ" w:eastAsia="cs-CZ" w:bidi="cs-CZ"/>
      </w:rPr>
    </w:lvl>
    <w:lvl w:ilvl="1">
      <w:start w:val="0"/>
      <w:numFmt w:val="bullet"/>
      <w:lvlText w:val=""/>
      <w:lvlJc w:val="left"/>
      <w:pPr>
        <w:ind w:left="1872" w:hanging="421"/>
      </w:pPr>
      <w:rPr>
        <w:rFonts w:hint="default" w:ascii="Symbol" w:hAnsi="Symbol" w:eastAsia="Symbol" w:cs="Symbol"/>
        <w:w w:val="100"/>
        <w:sz w:val="24"/>
        <w:szCs w:val="24"/>
        <w:lang w:val="cs-CZ" w:eastAsia="cs-CZ" w:bidi="cs-CZ"/>
      </w:rPr>
    </w:lvl>
    <w:lvl w:ilvl="2">
      <w:start w:val="0"/>
      <w:numFmt w:val="bullet"/>
      <w:lvlText w:val="•"/>
      <w:lvlJc w:val="left"/>
      <w:pPr>
        <w:ind w:left="2842" w:hanging="421"/>
      </w:pPr>
      <w:rPr>
        <w:rFonts w:hint="default"/>
        <w:lang w:val="cs-CZ" w:eastAsia="cs-CZ" w:bidi="cs-CZ"/>
      </w:rPr>
    </w:lvl>
    <w:lvl w:ilvl="3">
      <w:start w:val="0"/>
      <w:numFmt w:val="bullet"/>
      <w:lvlText w:val="•"/>
      <w:lvlJc w:val="left"/>
      <w:pPr>
        <w:ind w:left="3804" w:hanging="421"/>
      </w:pPr>
      <w:rPr>
        <w:rFonts w:hint="default"/>
        <w:lang w:val="cs-CZ" w:eastAsia="cs-CZ" w:bidi="cs-CZ"/>
      </w:rPr>
    </w:lvl>
    <w:lvl w:ilvl="4">
      <w:start w:val="0"/>
      <w:numFmt w:val="bullet"/>
      <w:lvlText w:val="•"/>
      <w:lvlJc w:val="left"/>
      <w:pPr>
        <w:ind w:left="4766" w:hanging="421"/>
      </w:pPr>
      <w:rPr>
        <w:rFonts w:hint="default"/>
        <w:lang w:val="cs-CZ" w:eastAsia="cs-CZ" w:bidi="cs-CZ"/>
      </w:rPr>
    </w:lvl>
    <w:lvl w:ilvl="5">
      <w:start w:val="0"/>
      <w:numFmt w:val="bullet"/>
      <w:lvlText w:val="•"/>
      <w:lvlJc w:val="left"/>
      <w:pPr>
        <w:ind w:left="5728" w:hanging="421"/>
      </w:pPr>
      <w:rPr>
        <w:rFonts w:hint="default"/>
        <w:lang w:val="cs-CZ" w:eastAsia="cs-CZ" w:bidi="cs-CZ"/>
      </w:rPr>
    </w:lvl>
    <w:lvl w:ilvl="6">
      <w:start w:val="0"/>
      <w:numFmt w:val="bullet"/>
      <w:lvlText w:val="•"/>
      <w:lvlJc w:val="left"/>
      <w:pPr>
        <w:ind w:left="6691" w:hanging="421"/>
      </w:pPr>
      <w:rPr>
        <w:rFonts w:hint="default"/>
        <w:lang w:val="cs-CZ" w:eastAsia="cs-CZ" w:bidi="cs-CZ"/>
      </w:rPr>
    </w:lvl>
    <w:lvl w:ilvl="7">
      <w:start w:val="0"/>
      <w:numFmt w:val="bullet"/>
      <w:lvlText w:val="•"/>
      <w:lvlJc w:val="left"/>
      <w:pPr>
        <w:ind w:left="7653" w:hanging="421"/>
      </w:pPr>
      <w:rPr>
        <w:rFonts w:hint="default"/>
        <w:lang w:val="cs-CZ" w:eastAsia="cs-CZ" w:bidi="cs-CZ"/>
      </w:rPr>
    </w:lvl>
    <w:lvl w:ilvl="8">
      <w:start w:val="0"/>
      <w:numFmt w:val="bullet"/>
      <w:lvlText w:val="•"/>
      <w:lvlJc w:val="left"/>
      <w:pPr>
        <w:ind w:left="8615" w:hanging="421"/>
      </w:pPr>
      <w:rPr>
        <w:rFonts w:hint="default"/>
        <w:lang w:val="cs-CZ" w:eastAsia="cs-CZ" w:bidi="cs-CZ"/>
      </w:rPr>
    </w:lvl>
  </w:abstractNum>
  <w:abstractNum w:abstractNumId="5">
    <w:multiLevelType w:val="hybridMultilevel"/>
    <w:lvl w:ilvl="0">
      <w:start w:val="7"/>
      <w:numFmt w:val="decimal"/>
      <w:lvlText w:val="%1"/>
      <w:lvlJc w:val="left"/>
      <w:pPr>
        <w:ind w:left="1161" w:hanging="421"/>
        <w:jc w:val="left"/>
      </w:pPr>
      <w:rPr>
        <w:rFonts w:hint="default"/>
        <w:lang w:val="cs-CZ" w:eastAsia="cs-CZ" w:bidi="cs-CZ"/>
      </w:rPr>
    </w:lvl>
    <w:lvl w:ilvl="1">
      <w:start w:val="1"/>
      <w:numFmt w:val="decimal"/>
      <w:lvlText w:val="%1.%2"/>
      <w:lvlJc w:val="left"/>
      <w:pPr>
        <w:ind w:left="1161" w:hanging="421"/>
        <w:jc w:val="left"/>
      </w:pPr>
      <w:rPr>
        <w:rFonts w:hint="default" w:ascii="Times New Roman" w:hAnsi="Times New Roman" w:eastAsia="Times New Roman" w:cs="Times New Roman"/>
        <w:b/>
        <w:bCs/>
        <w:spacing w:val="-5"/>
        <w:w w:val="91"/>
        <w:sz w:val="28"/>
        <w:szCs w:val="28"/>
        <w:lang w:val="cs-CZ" w:eastAsia="cs-CZ" w:bidi="cs-CZ"/>
      </w:rPr>
    </w:lvl>
    <w:lvl w:ilvl="2">
      <w:start w:val="0"/>
      <w:numFmt w:val="bullet"/>
      <w:lvlText w:val="•"/>
      <w:lvlJc w:val="left"/>
      <w:pPr>
        <w:ind w:left="3036" w:hanging="421"/>
      </w:pPr>
      <w:rPr>
        <w:rFonts w:hint="default"/>
        <w:lang w:val="cs-CZ" w:eastAsia="cs-CZ" w:bidi="cs-CZ"/>
      </w:rPr>
    </w:lvl>
    <w:lvl w:ilvl="3">
      <w:start w:val="0"/>
      <w:numFmt w:val="bullet"/>
      <w:lvlText w:val="•"/>
      <w:lvlJc w:val="left"/>
      <w:pPr>
        <w:ind w:left="3974" w:hanging="421"/>
      </w:pPr>
      <w:rPr>
        <w:rFonts w:hint="default"/>
        <w:lang w:val="cs-CZ" w:eastAsia="cs-CZ" w:bidi="cs-CZ"/>
      </w:rPr>
    </w:lvl>
    <w:lvl w:ilvl="4">
      <w:start w:val="0"/>
      <w:numFmt w:val="bullet"/>
      <w:lvlText w:val="•"/>
      <w:lvlJc w:val="left"/>
      <w:pPr>
        <w:ind w:left="4912" w:hanging="421"/>
      </w:pPr>
      <w:rPr>
        <w:rFonts w:hint="default"/>
        <w:lang w:val="cs-CZ" w:eastAsia="cs-CZ" w:bidi="cs-CZ"/>
      </w:rPr>
    </w:lvl>
    <w:lvl w:ilvl="5">
      <w:start w:val="0"/>
      <w:numFmt w:val="bullet"/>
      <w:lvlText w:val="•"/>
      <w:lvlJc w:val="left"/>
      <w:pPr>
        <w:ind w:left="5850" w:hanging="421"/>
      </w:pPr>
      <w:rPr>
        <w:rFonts w:hint="default"/>
        <w:lang w:val="cs-CZ" w:eastAsia="cs-CZ" w:bidi="cs-CZ"/>
      </w:rPr>
    </w:lvl>
    <w:lvl w:ilvl="6">
      <w:start w:val="0"/>
      <w:numFmt w:val="bullet"/>
      <w:lvlText w:val="•"/>
      <w:lvlJc w:val="left"/>
      <w:pPr>
        <w:ind w:left="6788" w:hanging="421"/>
      </w:pPr>
      <w:rPr>
        <w:rFonts w:hint="default"/>
        <w:lang w:val="cs-CZ" w:eastAsia="cs-CZ" w:bidi="cs-CZ"/>
      </w:rPr>
    </w:lvl>
    <w:lvl w:ilvl="7">
      <w:start w:val="0"/>
      <w:numFmt w:val="bullet"/>
      <w:lvlText w:val="•"/>
      <w:lvlJc w:val="left"/>
      <w:pPr>
        <w:ind w:left="7726" w:hanging="421"/>
      </w:pPr>
      <w:rPr>
        <w:rFonts w:hint="default"/>
        <w:lang w:val="cs-CZ" w:eastAsia="cs-CZ" w:bidi="cs-CZ"/>
      </w:rPr>
    </w:lvl>
    <w:lvl w:ilvl="8">
      <w:start w:val="0"/>
      <w:numFmt w:val="bullet"/>
      <w:lvlText w:val="•"/>
      <w:lvlJc w:val="left"/>
      <w:pPr>
        <w:ind w:left="8664" w:hanging="421"/>
      </w:pPr>
      <w:rPr>
        <w:rFonts w:hint="default"/>
        <w:lang w:val="cs-CZ" w:eastAsia="cs-CZ" w:bidi="cs-CZ"/>
      </w:rPr>
    </w:lvl>
  </w:abstractNum>
  <w:abstractNum w:abstractNumId="4">
    <w:multiLevelType w:val="hybridMultilevel"/>
    <w:lvl w:ilvl="0">
      <w:start w:val="0"/>
      <w:numFmt w:val="bullet"/>
      <w:lvlText w:val="-"/>
      <w:lvlJc w:val="left"/>
      <w:pPr>
        <w:ind w:left="981" w:hanging="241"/>
      </w:pPr>
      <w:rPr>
        <w:rFonts w:hint="default" w:ascii="Times New Roman" w:hAnsi="Times New Roman" w:eastAsia="Times New Roman" w:cs="Times New Roman"/>
        <w:w w:val="89"/>
        <w:sz w:val="24"/>
        <w:szCs w:val="24"/>
        <w:lang w:val="cs-CZ" w:eastAsia="cs-CZ" w:bidi="cs-CZ"/>
      </w:rPr>
    </w:lvl>
    <w:lvl w:ilvl="1">
      <w:start w:val="0"/>
      <w:numFmt w:val="bullet"/>
      <w:lvlText w:val="•"/>
      <w:lvlJc w:val="left"/>
      <w:pPr>
        <w:ind w:left="1936" w:hanging="241"/>
      </w:pPr>
      <w:rPr>
        <w:rFonts w:hint="default"/>
        <w:lang w:val="cs-CZ" w:eastAsia="cs-CZ" w:bidi="cs-CZ"/>
      </w:rPr>
    </w:lvl>
    <w:lvl w:ilvl="2">
      <w:start w:val="0"/>
      <w:numFmt w:val="bullet"/>
      <w:lvlText w:val="•"/>
      <w:lvlJc w:val="left"/>
      <w:pPr>
        <w:ind w:left="2892" w:hanging="241"/>
      </w:pPr>
      <w:rPr>
        <w:rFonts w:hint="default"/>
        <w:lang w:val="cs-CZ" w:eastAsia="cs-CZ" w:bidi="cs-CZ"/>
      </w:rPr>
    </w:lvl>
    <w:lvl w:ilvl="3">
      <w:start w:val="0"/>
      <w:numFmt w:val="bullet"/>
      <w:lvlText w:val="•"/>
      <w:lvlJc w:val="left"/>
      <w:pPr>
        <w:ind w:left="3848" w:hanging="241"/>
      </w:pPr>
      <w:rPr>
        <w:rFonts w:hint="default"/>
        <w:lang w:val="cs-CZ" w:eastAsia="cs-CZ" w:bidi="cs-CZ"/>
      </w:rPr>
    </w:lvl>
    <w:lvl w:ilvl="4">
      <w:start w:val="0"/>
      <w:numFmt w:val="bullet"/>
      <w:lvlText w:val="•"/>
      <w:lvlJc w:val="left"/>
      <w:pPr>
        <w:ind w:left="4804" w:hanging="241"/>
      </w:pPr>
      <w:rPr>
        <w:rFonts w:hint="default"/>
        <w:lang w:val="cs-CZ" w:eastAsia="cs-CZ" w:bidi="cs-CZ"/>
      </w:rPr>
    </w:lvl>
    <w:lvl w:ilvl="5">
      <w:start w:val="0"/>
      <w:numFmt w:val="bullet"/>
      <w:lvlText w:val="•"/>
      <w:lvlJc w:val="left"/>
      <w:pPr>
        <w:ind w:left="5760" w:hanging="241"/>
      </w:pPr>
      <w:rPr>
        <w:rFonts w:hint="default"/>
        <w:lang w:val="cs-CZ" w:eastAsia="cs-CZ" w:bidi="cs-CZ"/>
      </w:rPr>
    </w:lvl>
    <w:lvl w:ilvl="6">
      <w:start w:val="0"/>
      <w:numFmt w:val="bullet"/>
      <w:lvlText w:val="•"/>
      <w:lvlJc w:val="left"/>
      <w:pPr>
        <w:ind w:left="6716" w:hanging="241"/>
      </w:pPr>
      <w:rPr>
        <w:rFonts w:hint="default"/>
        <w:lang w:val="cs-CZ" w:eastAsia="cs-CZ" w:bidi="cs-CZ"/>
      </w:rPr>
    </w:lvl>
    <w:lvl w:ilvl="7">
      <w:start w:val="0"/>
      <w:numFmt w:val="bullet"/>
      <w:lvlText w:val="•"/>
      <w:lvlJc w:val="left"/>
      <w:pPr>
        <w:ind w:left="7672" w:hanging="241"/>
      </w:pPr>
      <w:rPr>
        <w:rFonts w:hint="default"/>
        <w:lang w:val="cs-CZ" w:eastAsia="cs-CZ" w:bidi="cs-CZ"/>
      </w:rPr>
    </w:lvl>
    <w:lvl w:ilvl="8">
      <w:start w:val="0"/>
      <w:numFmt w:val="bullet"/>
      <w:lvlText w:val="•"/>
      <w:lvlJc w:val="left"/>
      <w:pPr>
        <w:ind w:left="8628" w:hanging="241"/>
      </w:pPr>
      <w:rPr>
        <w:rFonts w:hint="default"/>
        <w:lang w:val="cs-CZ" w:eastAsia="cs-CZ" w:bidi="cs-CZ"/>
      </w:rPr>
    </w:lvl>
  </w:abstractNum>
  <w:abstractNum w:abstractNumId="3">
    <w:multiLevelType w:val="hybridMultilevel"/>
    <w:lvl w:ilvl="0">
      <w:start w:val="5"/>
      <w:numFmt w:val="decimal"/>
      <w:lvlText w:val="%1"/>
      <w:lvlJc w:val="left"/>
      <w:pPr>
        <w:ind w:left="1161" w:hanging="421"/>
        <w:jc w:val="left"/>
      </w:pPr>
      <w:rPr>
        <w:rFonts w:hint="default"/>
        <w:lang w:val="cs-CZ" w:eastAsia="cs-CZ" w:bidi="cs-CZ"/>
      </w:rPr>
    </w:lvl>
    <w:lvl w:ilvl="1">
      <w:start w:val="1"/>
      <w:numFmt w:val="decimal"/>
      <w:lvlText w:val="%1.%2"/>
      <w:lvlJc w:val="left"/>
      <w:pPr>
        <w:ind w:left="1161" w:hanging="421"/>
        <w:jc w:val="left"/>
      </w:pPr>
      <w:rPr>
        <w:rFonts w:hint="default" w:ascii="Times New Roman" w:hAnsi="Times New Roman" w:eastAsia="Times New Roman" w:cs="Times New Roman"/>
        <w:b/>
        <w:bCs/>
        <w:spacing w:val="-5"/>
        <w:w w:val="91"/>
        <w:sz w:val="28"/>
        <w:szCs w:val="28"/>
        <w:lang w:val="cs-CZ" w:eastAsia="cs-CZ" w:bidi="cs-CZ"/>
      </w:rPr>
    </w:lvl>
    <w:lvl w:ilvl="2">
      <w:start w:val="1"/>
      <w:numFmt w:val="lowerLetter"/>
      <w:lvlText w:val="(%3)"/>
      <w:lvlJc w:val="left"/>
      <w:pPr>
        <w:ind w:left="1461" w:hanging="361"/>
        <w:jc w:val="left"/>
      </w:pPr>
      <w:rPr>
        <w:rFonts w:hint="default" w:ascii="Times New Roman" w:hAnsi="Times New Roman" w:eastAsia="Times New Roman" w:cs="Times New Roman"/>
        <w:spacing w:val="-23"/>
        <w:w w:val="89"/>
        <w:sz w:val="24"/>
        <w:szCs w:val="24"/>
        <w:lang w:val="cs-CZ" w:eastAsia="cs-CZ" w:bidi="cs-CZ"/>
      </w:rPr>
    </w:lvl>
    <w:lvl w:ilvl="3">
      <w:start w:val="0"/>
      <w:numFmt w:val="bullet"/>
      <w:lvlText w:val="•"/>
      <w:lvlJc w:val="left"/>
      <w:pPr>
        <w:ind w:left="3477" w:hanging="361"/>
      </w:pPr>
      <w:rPr>
        <w:rFonts w:hint="default"/>
        <w:lang w:val="cs-CZ" w:eastAsia="cs-CZ" w:bidi="cs-CZ"/>
      </w:rPr>
    </w:lvl>
    <w:lvl w:ilvl="4">
      <w:start w:val="0"/>
      <w:numFmt w:val="bullet"/>
      <w:lvlText w:val="•"/>
      <w:lvlJc w:val="left"/>
      <w:pPr>
        <w:ind w:left="4486" w:hanging="361"/>
      </w:pPr>
      <w:rPr>
        <w:rFonts w:hint="default"/>
        <w:lang w:val="cs-CZ" w:eastAsia="cs-CZ" w:bidi="cs-CZ"/>
      </w:rPr>
    </w:lvl>
    <w:lvl w:ilvl="5">
      <w:start w:val="0"/>
      <w:numFmt w:val="bullet"/>
      <w:lvlText w:val="•"/>
      <w:lvlJc w:val="left"/>
      <w:pPr>
        <w:ind w:left="5495" w:hanging="361"/>
      </w:pPr>
      <w:rPr>
        <w:rFonts w:hint="default"/>
        <w:lang w:val="cs-CZ" w:eastAsia="cs-CZ" w:bidi="cs-CZ"/>
      </w:rPr>
    </w:lvl>
    <w:lvl w:ilvl="6">
      <w:start w:val="0"/>
      <w:numFmt w:val="bullet"/>
      <w:lvlText w:val="•"/>
      <w:lvlJc w:val="left"/>
      <w:pPr>
        <w:ind w:left="6504" w:hanging="361"/>
      </w:pPr>
      <w:rPr>
        <w:rFonts w:hint="default"/>
        <w:lang w:val="cs-CZ" w:eastAsia="cs-CZ" w:bidi="cs-CZ"/>
      </w:rPr>
    </w:lvl>
    <w:lvl w:ilvl="7">
      <w:start w:val="0"/>
      <w:numFmt w:val="bullet"/>
      <w:lvlText w:val="•"/>
      <w:lvlJc w:val="left"/>
      <w:pPr>
        <w:ind w:left="7513" w:hanging="361"/>
      </w:pPr>
      <w:rPr>
        <w:rFonts w:hint="default"/>
        <w:lang w:val="cs-CZ" w:eastAsia="cs-CZ" w:bidi="cs-CZ"/>
      </w:rPr>
    </w:lvl>
    <w:lvl w:ilvl="8">
      <w:start w:val="0"/>
      <w:numFmt w:val="bullet"/>
      <w:lvlText w:val="•"/>
      <w:lvlJc w:val="left"/>
      <w:pPr>
        <w:ind w:left="8522" w:hanging="361"/>
      </w:pPr>
      <w:rPr>
        <w:rFonts w:hint="default"/>
        <w:lang w:val="cs-CZ" w:eastAsia="cs-CZ" w:bidi="cs-CZ"/>
      </w:rPr>
    </w:lvl>
  </w:abstractNum>
  <w:abstractNum w:abstractNumId="2">
    <w:multiLevelType w:val="hybridMultilevel"/>
    <w:lvl w:ilvl="0">
      <w:start w:val="4"/>
      <w:numFmt w:val="decimal"/>
      <w:lvlText w:val="%1"/>
      <w:lvlJc w:val="left"/>
      <w:pPr>
        <w:ind w:left="1161" w:hanging="421"/>
        <w:jc w:val="left"/>
      </w:pPr>
      <w:rPr>
        <w:rFonts w:hint="default"/>
        <w:lang w:val="cs-CZ" w:eastAsia="cs-CZ" w:bidi="cs-CZ"/>
      </w:rPr>
    </w:lvl>
    <w:lvl w:ilvl="1">
      <w:start w:val="1"/>
      <w:numFmt w:val="decimal"/>
      <w:lvlText w:val="%1.%2"/>
      <w:lvlJc w:val="left"/>
      <w:pPr>
        <w:ind w:left="1161" w:hanging="421"/>
        <w:jc w:val="left"/>
      </w:pPr>
      <w:rPr>
        <w:rFonts w:hint="default" w:ascii="Times New Roman" w:hAnsi="Times New Roman" w:eastAsia="Times New Roman" w:cs="Times New Roman"/>
        <w:b/>
        <w:bCs/>
        <w:spacing w:val="-5"/>
        <w:w w:val="91"/>
        <w:sz w:val="28"/>
        <w:szCs w:val="28"/>
        <w:lang w:val="cs-CZ" w:eastAsia="cs-CZ" w:bidi="cs-CZ"/>
      </w:rPr>
    </w:lvl>
    <w:lvl w:ilvl="2">
      <w:start w:val="1"/>
      <w:numFmt w:val="lowerLetter"/>
      <w:lvlText w:val="(%3)"/>
      <w:lvlJc w:val="left"/>
      <w:pPr>
        <w:ind w:left="1461" w:hanging="361"/>
        <w:jc w:val="left"/>
      </w:pPr>
      <w:rPr>
        <w:rFonts w:hint="default" w:ascii="Times New Roman" w:hAnsi="Times New Roman" w:eastAsia="Times New Roman" w:cs="Times New Roman"/>
        <w:spacing w:val="-23"/>
        <w:w w:val="89"/>
        <w:sz w:val="24"/>
        <w:szCs w:val="24"/>
        <w:lang w:val="cs-CZ" w:eastAsia="cs-CZ" w:bidi="cs-CZ"/>
      </w:rPr>
    </w:lvl>
    <w:lvl w:ilvl="3">
      <w:start w:val="1"/>
      <w:numFmt w:val="lowerRoman"/>
      <w:lvlText w:val="(%4)"/>
      <w:lvlJc w:val="left"/>
      <w:pPr>
        <w:ind w:left="2032" w:hanging="290"/>
        <w:jc w:val="left"/>
      </w:pPr>
      <w:rPr>
        <w:rFonts w:hint="default" w:ascii="Times New Roman" w:hAnsi="Times New Roman" w:eastAsia="Times New Roman" w:cs="Times New Roman"/>
        <w:spacing w:val="0"/>
        <w:w w:val="89"/>
        <w:sz w:val="24"/>
        <w:szCs w:val="24"/>
        <w:lang w:val="cs-CZ" w:eastAsia="cs-CZ" w:bidi="cs-CZ"/>
      </w:rPr>
    </w:lvl>
    <w:lvl w:ilvl="4">
      <w:start w:val="0"/>
      <w:numFmt w:val="bullet"/>
      <w:lvlText w:val="•"/>
      <w:lvlJc w:val="left"/>
      <w:pPr>
        <w:ind w:left="4165" w:hanging="290"/>
      </w:pPr>
      <w:rPr>
        <w:rFonts w:hint="default"/>
        <w:lang w:val="cs-CZ" w:eastAsia="cs-CZ" w:bidi="cs-CZ"/>
      </w:rPr>
    </w:lvl>
    <w:lvl w:ilvl="5">
      <w:start w:val="0"/>
      <w:numFmt w:val="bullet"/>
      <w:lvlText w:val="•"/>
      <w:lvlJc w:val="left"/>
      <w:pPr>
        <w:ind w:left="5227" w:hanging="290"/>
      </w:pPr>
      <w:rPr>
        <w:rFonts w:hint="default"/>
        <w:lang w:val="cs-CZ" w:eastAsia="cs-CZ" w:bidi="cs-CZ"/>
      </w:rPr>
    </w:lvl>
    <w:lvl w:ilvl="6">
      <w:start w:val="0"/>
      <w:numFmt w:val="bullet"/>
      <w:lvlText w:val="•"/>
      <w:lvlJc w:val="left"/>
      <w:pPr>
        <w:ind w:left="6290" w:hanging="290"/>
      </w:pPr>
      <w:rPr>
        <w:rFonts w:hint="default"/>
        <w:lang w:val="cs-CZ" w:eastAsia="cs-CZ" w:bidi="cs-CZ"/>
      </w:rPr>
    </w:lvl>
    <w:lvl w:ilvl="7">
      <w:start w:val="0"/>
      <w:numFmt w:val="bullet"/>
      <w:lvlText w:val="•"/>
      <w:lvlJc w:val="left"/>
      <w:pPr>
        <w:ind w:left="7352" w:hanging="290"/>
      </w:pPr>
      <w:rPr>
        <w:rFonts w:hint="default"/>
        <w:lang w:val="cs-CZ" w:eastAsia="cs-CZ" w:bidi="cs-CZ"/>
      </w:rPr>
    </w:lvl>
    <w:lvl w:ilvl="8">
      <w:start w:val="0"/>
      <w:numFmt w:val="bullet"/>
      <w:lvlText w:val="•"/>
      <w:lvlJc w:val="left"/>
      <w:pPr>
        <w:ind w:left="8415" w:hanging="290"/>
      </w:pPr>
      <w:rPr>
        <w:rFonts w:hint="default"/>
        <w:lang w:val="cs-CZ" w:eastAsia="cs-CZ" w:bidi="cs-CZ"/>
      </w:rPr>
    </w:lvl>
  </w:abstractNum>
  <w:abstractNum w:abstractNumId="1">
    <w:multiLevelType w:val="hybridMultilevel"/>
    <w:lvl w:ilvl="0">
      <w:start w:val="3"/>
      <w:numFmt w:val="decimal"/>
      <w:lvlText w:val="%1"/>
      <w:lvlJc w:val="left"/>
      <w:pPr>
        <w:ind w:left="1161" w:hanging="421"/>
        <w:jc w:val="left"/>
      </w:pPr>
      <w:rPr>
        <w:rFonts w:hint="default"/>
        <w:lang w:val="cs-CZ" w:eastAsia="cs-CZ" w:bidi="cs-CZ"/>
      </w:rPr>
    </w:lvl>
    <w:lvl w:ilvl="1">
      <w:start w:val="1"/>
      <w:numFmt w:val="decimal"/>
      <w:lvlText w:val="%1.%2"/>
      <w:lvlJc w:val="left"/>
      <w:pPr>
        <w:ind w:left="1161" w:hanging="421"/>
        <w:jc w:val="left"/>
      </w:pPr>
      <w:rPr>
        <w:rFonts w:hint="default" w:ascii="Times New Roman" w:hAnsi="Times New Roman" w:eastAsia="Times New Roman" w:cs="Times New Roman"/>
        <w:b/>
        <w:bCs/>
        <w:spacing w:val="-5"/>
        <w:w w:val="91"/>
        <w:sz w:val="28"/>
        <w:szCs w:val="28"/>
        <w:lang w:val="cs-CZ" w:eastAsia="cs-CZ" w:bidi="cs-CZ"/>
      </w:rPr>
    </w:lvl>
    <w:lvl w:ilvl="2">
      <w:start w:val="0"/>
      <w:numFmt w:val="bullet"/>
      <w:lvlText w:val="•"/>
      <w:lvlJc w:val="left"/>
      <w:pPr>
        <w:ind w:left="3036" w:hanging="421"/>
      </w:pPr>
      <w:rPr>
        <w:rFonts w:hint="default"/>
        <w:lang w:val="cs-CZ" w:eastAsia="cs-CZ" w:bidi="cs-CZ"/>
      </w:rPr>
    </w:lvl>
    <w:lvl w:ilvl="3">
      <w:start w:val="0"/>
      <w:numFmt w:val="bullet"/>
      <w:lvlText w:val="•"/>
      <w:lvlJc w:val="left"/>
      <w:pPr>
        <w:ind w:left="3974" w:hanging="421"/>
      </w:pPr>
      <w:rPr>
        <w:rFonts w:hint="default"/>
        <w:lang w:val="cs-CZ" w:eastAsia="cs-CZ" w:bidi="cs-CZ"/>
      </w:rPr>
    </w:lvl>
    <w:lvl w:ilvl="4">
      <w:start w:val="0"/>
      <w:numFmt w:val="bullet"/>
      <w:lvlText w:val="•"/>
      <w:lvlJc w:val="left"/>
      <w:pPr>
        <w:ind w:left="4912" w:hanging="421"/>
      </w:pPr>
      <w:rPr>
        <w:rFonts w:hint="default"/>
        <w:lang w:val="cs-CZ" w:eastAsia="cs-CZ" w:bidi="cs-CZ"/>
      </w:rPr>
    </w:lvl>
    <w:lvl w:ilvl="5">
      <w:start w:val="0"/>
      <w:numFmt w:val="bullet"/>
      <w:lvlText w:val="•"/>
      <w:lvlJc w:val="left"/>
      <w:pPr>
        <w:ind w:left="5850" w:hanging="421"/>
      </w:pPr>
      <w:rPr>
        <w:rFonts w:hint="default"/>
        <w:lang w:val="cs-CZ" w:eastAsia="cs-CZ" w:bidi="cs-CZ"/>
      </w:rPr>
    </w:lvl>
    <w:lvl w:ilvl="6">
      <w:start w:val="0"/>
      <w:numFmt w:val="bullet"/>
      <w:lvlText w:val="•"/>
      <w:lvlJc w:val="left"/>
      <w:pPr>
        <w:ind w:left="6788" w:hanging="421"/>
      </w:pPr>
      <w:rPr>
        <w:rFonts w:hint="default"/>
        <w:lang w:val="cs-CZ" w:eastAsia="cs-CZ" w:bidi="cs-CZ"/>
      </w:rPr>
    </w:lvl>
    <w:lvl w:ilvl="7">
      <w:start w:val="0"/>
      <w:numFmt w:val="bullet"/>
      <w:lvlText w:val="•"/>
      <w:lvlJc w:val="left"/>
      <w:pPr>
        <w:ind w:left="7726" w:hanging="421"/>
      </w:pPr>
      <w:rPr>
        <w:rFonts w:hint="default"/>
        <w:lang w:val="cs-CZ" w:eastAsia="cs-CZ" w:bidi="cs-CZ"/>
      </w:rPr>
    </w:lvl>
    <w:lvl w:ilvl="8">
      <w:start w:val="0"/>
      <w:numFmt w:val="bullet"/>
      <w:lvlText w:val="•"/>
      <w:lvlJc w:val="left"/>
      <w:pPr>
        <w:ind w:left="8664" w:hanging="421"/>
      </w:pPr>
      <w:rPr>
        <w:rFonts w:hint="default"/>
        <w:lang w:val="cs-CZ" w:eastAsia="cs-CZ" w:bidi="cs-CZ"/>
      </w:rPr>
    </w:lvl>
  </w:abstractNum>
  <w:abstractNum w:abstractNumId="0">
    <w:multiLevelType w:val="hybridMultilevel"/>
    <w:lvl w:ilvl="0">
      <w:start w:val="2"/>
      <w:numFmt w:val="decimal"/>
      <w:lvlText w:val="%1"/>
      <w:lvlJc w:val="left"/>
      <w:pPr>
        <w:ind w:left="1341" w:hanging="601"/>
        <w:jc w:val="left"/>
      </w:pPr>
      <w:rPr>
        <w:rFonts w:hint="default"/>
        <w:lang w:val="cs-CZ" w:eastAsia="cs-CZ" w:bidi="cs-CZ"/>
      </w:rPr>
    </w:lvl>
    <w:lvl w:ilvl="1">
      <w:start w:val="1"/>
      <w:numFmt w:val="decimal"/>
      <w:lvlText w:val="%1.%2"/>
      <w:lvlJc w:val="left"/>
      <w:pPr>
        <w:ind w:left="1341" w:hanging="601"/>
        <w:jc w:val="left"/>
      </w:pPr>
      <w:rPr>
        <w:rFonts w:hint="default" w:ascii="Times New Roman" w:hAnsi="Times New Roman" w:eastAsia="Times New Roman" w:cs="Times New Roman"/>
        <w:spacing w:val="0"/>
        <w:w w:val="90"/>
        <w:sz w:val="24"/>
        <w:szCs w:val="24"/>
        <w:lang w:val="cs-CZ" w:eastAsia="cs-CZ" w:bidi="cs-CZ"/>
      </w:rPr>
    </w:lvl>
    <w:lvl w:ilvl="2">
      <w:start w:val="0"/>
      <w:numFmt w:val="bullet"/>
      <w:lvlText w:val="•"/>
      <w:lvlJc w:val="left"/>
      <w:pPr>
        <w:ind w:left="3180" w:hanging="601"/>
      </w:pPr>
      <w:rPr>
        <w:rFonts w:hint="default"/>
        <w:lang w:val="cs-CZ" w:eastAsia="cs-CZ" w:bidi="cs-CZ"/>
      </w:rPr>
    </w:lvl>
    <w:lvl w:ilvl="3">
      <w:start w:val="0"/>
      <w:numFmt w:val="bullet"/>
      <w:lvlText w:val="•"/>
      <w:lvlJc w:val="left"/>
      <w:pPr>
        <w:ind w:left="4100" w:hanging="601"/>
      </w:pPr>
      <w:rPr>
        <w:rFonts w:hint="default"/>
        <w:lang w:val="cs-CZ" w:eastAsia="cs-CZ" w:bidi="cs-CZ"/>
      </w:rPr>
    </w:lvl>
    <w:lvl w:ilvl="4">
      <w:start w:val="0"/>
      <w:numFmt w:val="bullet"/>
      <w:lvlText w:val="•"/>
      <w:lvlJc w:val="left"/>
      <w:pPr>
        <w:ind w:left="5020" w:hanging="601"/>
      </w:pPr>
      <w:rPr>
        <w:rFonts w:hint="default"/>
        <w:lang w:val="cs-CZ" w:eastAsia="cs-CZ" w:bidi="cs-CZ"/>
      </w:rPr>
    </w:lvl>
    <w:lvl w:ilvl="5">
      <w:start w:val="0"/>
      <w:numFmt w:val="bullet"/>
      <w:lvlText w:val="•"/>
      <w:lvlJc w:val="left"/>
      <w:pPr>
        <w:ind w:left="5940" w:hanging="601"/>
      </w:pPr>
      <w:rPr>
        <w:rFonts w:hint="default"/>
        <w:lang w:val="cs-CZ" w:eastAsia="cs-CZ" w:bidi="cs-CZ"/>
      </w:rPr>
    </w:lvl>
    <w:lvl w:ilvl="6">
      <w:start w:val="0"/>
      <w:numFmt w:val="bullet"/>
      <w:lvlText w:val="•"/>
      <w:lvlJc w:val="left"/>
      <w:pPr>
        <w:ind w:left="6860" w:hanging="601"/>
      </w:pPr>
      <w:rPr>
        <w:rFonts w:hint="default"/>
        <w:lang w:val="cs-CZ" w:eastAsia="cs-CZ" w:bidi="cs-CZ"/>
      </w:rPr>
    </w:lvl>
    <w:lvl w:ilvl="7">
      <w:start w:val="0"/>
      <w:numFmt w:val="bullet"/>
      <w:lvlText w:val="•"/>
      <w:lvlJc w:val="left"/>
      <w:pPr>
        <w:ind w:left="7780" w:hanging="601"/>
      </w:pPr>
      <w:rPr>
        <w:rFonts w:hint="default"/>
        <w:lang w:val="cs-CZ" w:eastAsia="cs-CZ" w:bidi="cs-CZ"/>
      </w:rPr>
    </w:lvl>
    <w:lvl w:ilvl="8">
      <w:start w:val="0"/>
      <w:numFmt w:val="bullet"/>
      <w:lvlText w:val="•"/>
      <w:lvlJc w:val="left"/>
      <w:pPr>
        <w:ind w:left="8700" w:hanging="601"/>
      </w:pPr>
      <w:rPr>
        <w:rFonts w:hint="default"/>
        <w:lang w:val="cs-CZ" w:eastAsia="cs-CZ" w:bidi="cs-CZ"/>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cs-CZ" w:eastAsia="cs-CZ" w:bidi="cs-CZ"/>
    </w:rPr>
  </w:style>
  <w:style w:styleId="BodyText" w:type="paragraph">
    <w:name w:val="Body Text"/>
    <w:basedOn w:val="Normal"/>
    <w:uiPriority w:val="1"/>
    <w:qFormat/>
    <w:pPr/>
    <w:rPr>
      <w:rFonts w:ascii="Times New Roman" w:hAnsi="Times New Roman" w:eastAsia="Times New Roman" w:cs="Times New Roman"/>
      <w:sz w:val="24"/>
      <w:szCs w:val="24"/>
      <w:lang w:val="cs-CZ" w:eastAsia="cs-CZ" w:bidi="cs-CZ"/>
    </w:rPr>
  </w:style>
  <w:style w:styleId="Heading1" w:type="paragraph">
    <w:name w:val="Heading 1"/>
    <w:basedOn w:val="Normal"/>
    <w:uiPriority w:val="1"/>
    <w:qFormat/>
    <w:pPr>
      <w:ind w:left="1161" w:hanging="421"/>
      <w:outlineLvl w:val="1"/>
    </w:pPr>
    <w:rPr>
      <w:rFonts w:ascii="Times New Roman" w:hAnsi="Times New Roman" w:eastAsia="Times New Roman" w:cs="Times New Roman"/>
      <w:b/>
      <w:bCs/>
      <w:sz w:val="28"/>
      <w:szCs w:val="28"/>
      <w:lang w:val="cs-CZ" w:eastAsia="cs-CZ" w:bidi="cs-CZ"/>
    </w:rPr>
  </w:style>
  <w:style w:styleId="Heading2" w:type="paragraph">
    <w:name w:val="Heading 2"/>
    <w:basedOn w:val="Normal"/>
    <w:uiPriority w:val="1"/>
    <w:qFormat/>
    <w:pPr>
      <w:ind w:left="741"/>
      <w:outlineLvl w:val="2"/>
    </w:pPr>
    <w:rPr>
      <w:rFonts w:ascii="Times New Roman" w:hAnsi="Times New Roman" w:eastAsia="Times New Roman" w:cs="Times New Roman"/>
      <w:b/>
      <w:bCs/>
      <w:sz w:val="24"/>
      <w:szCs w:val="24"/>
      <w:lang w:val="cs-CZ" w:eastAsia="cs-CZ" w:bidi="cs-CZ"/>
    </w:rPr>
  </w:style>
  <w:style w:styleId="ListParagraph" w:type="paragraph">
    <w:name w:val="List Paragraph"/>
    <w:basedOn w:val="Normal"/>
    <w:uiPriority w:val="1"/>
    <w:qFormat/>
    <w:pPr>
      <w:ind w:left="1461" w:hanging="421"/>
    </w:pPr>
    <w:rPr>
      <w:rFonts w:ascii="Times New Roman" w:hAnsi="Times New Roman" w:eastAsia="Times New Roman" w:cs="Times New Roman"/>
      <w:lang w:val="cs-CZ" w:eastAsia="cs-CZ" w:bidi="cs-CZ"/>
    </w:rPr>
  </w:style>
  <w:style w:styleId="TableParagraph" w:type="paragraph">
    <w:name w:val="Table Paragraph"/>
    <w:basedOn w:val="Normal"/>
    <w:uiPriority w:val="1"/>
    <w:qFormat/>
    <w:pPr/>
    <w:rPr>
      <w:rFonts w:ascii="Arial" w:hAnsi="Arial" w:eastAsia="Arial" w:cs="Arial"/>
      <w:lang w:val="cs-CZ" w:eastAsia="cs-CZ" w:bidi="cs-CZ"/>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yperlink" Target="http://www.ecb.europa.eu/stats/exchange/eurofxref/html/index.en.html" TargetMode="External"/><Relationship Id="rId11" Type="http://schemas.openxmlformats.org/officeDocument/2006/relationships/hyperlink" Target="mailto:c4t-services@cedefop.europa.eu" TargetMode="Externa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guerycl</dc:creator>
  <dcterms:created xsi:type="dcterms:W3CDTF">2023-01-11T12:17:05Z</dcterms:created>
  <dcterms:modified xsi:type="dcterms:W3CDTF">2023-01-11T12:17:05Z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2016</vt:lpwstr>
  </property>
  <property fmtid="{D5CDD505-2E9C-101B-9397-08002B2CF9AE}" pid="4" name="LastSaved">
    <vt:filetime>2023-01-11T00:00:00Z</vt:filetime>
  </property>
</Properties>
</file>