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18"/>
        </w:rPr>
      </w:pPr>
    </w:p>
    <w:p>
      <w:pPr>
        <w:spacing w:before="96"/>
        <w:ind w:left="3493" w:right="4226" w:firstLine="0"/>
        <w:jc w:val="left"/>
        <w:rPr>
          <w:rFonts w:ascii="Arial"/>
          <w:b/>
          <w:sz w:val="16"/>
        </w:rPr>
      </w:pPr>
      <w:r>
        <w:rPr/>
        <w:drawing>
          <wp:anchor distT="0" distB="0" distL="0" distR="0" allowOverlap="1" layoutInCell="1" locked="0" behindDoc="0" simplePos="0" relativeHeight="0">
            <wp:simplePos x="0" y="0"/>
            <wp:positionH relativeFrom="page">
              <wp:posOffset>900683</wp:posOffset>
            </wp:positionH>
            <wp:positionV relativeFrom="paragraph">
              <wp:posOffset>380058</wp:posOffset>
            </wp:positionV>
            <wp:extent cx="5401146" cy="75438"/>
            <wp:effectExtent l="0" t="0" r="0" b="0"/>
            <wp:wrapTopAndBottom/>
            <wp:docPr id="1" name="image1.png" descr="lineonly"/>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401146" cy="75438"/>
                    </a:xfrm>
                    <a:prstGeom prst="rect">
                      <a:avLst/>
                    </a:prstGeom>
                  </pic:spPr>
                </pic:pic>
              </a:graphicData>
            </a:graphic>
          </wp:anchor>
        </w:drawing>
      </w:r>
      <w:r>
        <w:rPr/>
        <w:drawing>
          <wp:anchor distT="0" distB="0" distL="0" distR="0" allowOverlap="1" layoutInCell="1" locked="0" behindDoc="0" simplePos="0" relativeHeight="251659264">
            <wp:simplePos x="0" y="0"/>
            <wp:positionH relativeFrom="page">
              <wp:posOffset>496887</wp:posOffset>
            </wp:positionH>
            <wp:positionV relativeFrom="paragraph">
              <wp:posOffset>43522</wp:posOffset>
            </wp:positionV>
            <wp:extent cx="327659" cy="220966"/>
            <wp:effectExtent l="0" t="0" r="0" b="0"/>
            <wp:wrapNone/>
            <wp:docPr id="3" name="image2.png" descr="flagonly"/>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327659" cy="220966"/>
                    </a:xfrm>
                    <a:prstGeom prst="rect">
                      <a:avLst/>
                    </a:prstGeom>
                  </pic:spPr>
                </pic:pic>
              </a:graphicData>
            </a:graphic>
          </wp:anchor>
        </w:drawing>
      </w:r>
      <w:r>
        <w:rPr/>
        <w:drawing>
          <wp:anchor distT="0" distB="0" distL="0" distR="0" allowOverlap="1" layoutInCell="1" locked="0" behindDoc="0" simplePos="0" relativeHeight="251660288">
            <wp:simplePos x="0" y="0"/>
            <wp:positionH relativeFrom="page">
              <wp:posOffset>900683</wp:posOffset>
            </wp:positionH>
            <wp:positionV relativeFrom="paragraph">
              <wp:posOffset>43522</wp:posOffset>
            </wp:positionV>
            <wp:extent cx="1630425" cy="266661"/>
            <wp:effectExtent l="0" t="0" r="0" b="0"/>
            <wp:wrapNone/>
            <wp:docPr id="5" name="image3.png" descr="logolines"/>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630425" cy="266661"/>
                    </a:xfrm>
                    <a:prstGeom prst="rect">
                      <a:avLst/>
                    </a:prstGeom>
                  </pic:spPr>
                </pic:pic>
              </a:graphicData>
            </a:graphic>
          </wp:anchor>
        </w:drawing>
      </w:r>
      <w:bookmarkStart w:name="Pages from SGA 2023 merge-26" w:id="1"/>
      <w:bookmarkEnd w:id="1"/>
      <w:r>
        <w:rPr/>
      </w:r>
      <w:r>
        <w:rPr>
          <w:rFonts w:ascii="Arial"/>
          <w:b/>
          <w:sz w:val="16"/>
        </w:rPr>
        <w:t>European Centre for the Development of Vocational Training</w:t>
      </w:r>
    </w:p>
    <w:p>
      <w:pPr>
        <w:pStyle w:val="BodyText"/>
        <w:rPr>
          <w:rFonts w:ascii="Arial"/>
          <w:b/>
          <w:sz w:val="20"/>
        </w:rPr>
      </w:pPr>
    </w:p>
    <w:p>
      <w:pPr>
        <w:pStyle w:val="BodyText"/>
        <w:spacing w:before="4"/>
        <w:rPr>
          <w:rFonts w:ascii="Arial"/>
          <w:b/>
        </w:rPr>
      </w:pPr>
    </w:p>
    <w:p>
      <w:pPr>
        <w:spacing w:before="89"/>
        <w:ind w:left="875" w:right="453" w:firstLine="1332"/>
        <w:jc w:val="left"/>
        <w:rPr>
          <w:b/>
          <w:sz w:val="28"/>
        </w:rPr>
      </w:pPr>
      <w:r>
        <w:rPr>
          <w:b/>
          <w:sz w:val="28"/>
          <w:u w:val="thick"/>
        </w:rPr>
        <w:t>SPECIFIC AGREEMENT FOR AN ACTION GRANT</w:t>
      </w:r>
      <w:r>
        <w:rPr>
          <w:b/>
          <w:sz w:val="28"/>
        </w:rPr>
        <w:t> </w:t>
      </w:r>
      <w:r>
        <w:rPr>
          <w:b/>
          <w:sz w:val="28"/>
          <w:u w:val="thick"/>
        </w:rPr>
        <w:t>SPECIFIC AGREEMENT No</w:t>
      </w:r>
      <w:r>
        <w:rPr>
          <w:b/>
          <w:spacing w:val="-22"/>
          <w:sz w:val="28"/>
          <w:u w:val="thick"/>
        </w:rPr>
        <w:t> </w:t>
      </w:r>
      <w:r>
        <w:rPr>
          <w:b/>
          <w:sz w:val="28"/>
          <w:u w:val="thick"/>
        </w:rPr>
        <w:t>2023-CED.915/GP/DVQ/ReferNet-SGA/001/22</w:t>
      </w:r>
    </w:p>
    <w:p>
      <w:pPr>
        <w:pStyle w:val="BodyText"/>
        <w:rPr>
          <w:b/>
          <w:sz w:val="16"/>
        </w:rPr>
      </w:pPr>
    </w:p>
    <w:p>
      <w:pPr>
        <w:pStyle w:val="BodyText"/>
        <w:spacing w:line="480" w:lineRule="auto" w:before="90"/>
        <w:ind w:left="738" w:right="731"/>
        <w:jc w:val="both"/>
      </w:pPr>
      <w:r>
        <w:rPr/>
        <w:t>This Specific agreement (‘the Specific agreement’) is concluded between the following parties: on the one part,</w:t>
      </w:r>
    </w:p>
    <w:p>
      <w:pPr>
        <w:spacing w:line="276" w:lineRule="auto" w:before="0"/>
        <w:ind w:left="738" w:right="317" w:firstLine="0"/>
        <w:jc w:val="both"/>
        <w:rPr>
          <w:b/>
          <w:sz w:val="24"/>
        </w:rPr>
      </w:pPr>
      <w:r>
        <w:rPr>
          <w:sz w:val="24"/>
        </w:rPr>
        <w:t>The </w:t>
      </w:r>
      <w:r>
        <w:rPr>
          <w:b/>
          <w:sz w:val="24"/>
        </w:rPr>
        <w:t>European Union </w:t>
      </w:r>
      <w:r>
        <w:rPr>
          <w:sz w:val="24"/>
        </w:rPr>
        <w:t>(‘the Union’), represented by the European Centre for the Development of Vocational Training, (‘Cedefop’), represented for the purposes of signature of this Specific agreement by </w:t>
      </w:r>
      <w:r>
        <w:rPr>
          <w:b/>
          <w:sz w:val="24"/>
        </w:rPr>
        <w:t>Loukas Zacheilas, Head of Department for VET and Qualifications</w:t>
      </w:r>
    </w:p>
    <w:p>
      <w:pPr>
        <w:pStyle w:val="Heading2"/>
        <w:spacing w:before="200"/>
      </w:pPr>
      <w:r>
        <w:rPr/>
        <w:t>and</w:t>
      </w:r>
    </w:p>
    <w:p>
      <w:pPr>
        <w:pStyle w:val="BodyText"/>
        <w:spacing w:before="1"/>
        <w:rPr>
          <w:b/>
          <w:sz w:val="21"/>
        </w:rPr>
      </w:pPr>
    </w:p>
    <w:p>
      <w:pPr>
        <w:spacing w:before="0"/>
        <w:ind w:left="738" w:right="0" w:firstLine="0"/>
        <w:jc w:val="left"/>
        <w:rPr>
          <w:sz w:val="23"/>
        </w:rPr>
      </w:pPr>
      <w:r>
        <w:rPr>
          <w:sz w:val="23"/>
        </w:rPr>
        <w:t>‘the partner’</w:t>
      </w:r>
    </w:p>
    <w:p>
      <w:pPr>
        <w:pStyle w:val="BodyText"/>
        <w:spacing w:before="10"/>
        <w:rPr>
          <w:sz w:val="22"/>
        </w:rPr>
      </w:pPr>
    </w:p>
    <w:p>
      <w:pPr>
        <w:spacing w:line="264" w:lineRule="exact" w:before="0"/>
        <w:ind w:left="738" w:right="0" w:firstLine="0"/>
        <w:jc w:val="left"/>
        <w:rPr>
          <w:b/>
          <w:sz w:val="23"/>
        </w:rPr>
      </w:pPr>
      <w:r>
        <w:rPr>
          <w:b/>
          <w:sz w:val="23"/>
        </w:rPr>
        <w:t>National Pedagogical Institute of the Czech Republic – NPI ČR</w:t>
      </w:r>
    </w:p>
    <w:p>
      <w:pPr>
        <w:spacing w:line="264" w:lineRule="exact" w:before="0"/>
        <w:ind w:left="738" w:right="0" w:firstLine="0"/>
        <w:jc w:val="left"/>
        <w:rPr>
          <w:sz w:val="23"/>
        </w:rPr>
      </w:pPr>
      <w:r>
        <w:rPr>
          <w:sz w:val="23"/>
        </w:rPr>
        <w:t>Senovážné námĕstí 25</w:t>
      </w:r>
    </w:p>
    <w:p>
      <w:pPr>
        <w:spacing w:before="0"/>
        <w:ind w:left="738" w:right="8533" w:firstLine="0"/>
        <w:jc w:val="left"/>
        <w:rPr>
          <w:sz w:val="23"/>
        </w:rPr>
      </w:pPr>
      <w:r>
        <w:rPr>
          <w:sz w:val="23"/>
        </w:rPr>
        <w:t>110 00 Prague Czechia,</w:t>
      </w:r>
    </w:p>
    <w:p>
      <w:pPr>
        <w:pStyle w:val="BodyText"/>
        <w:spacing w:before="1"/>
        <w:rPr>
          <w:sz w:val="23"/>
        </w:rPr>
      </w:pPr>
    </w:p>
    <w:p>
      <w:pPr>
        <w:spacing w:line="276" w:lineRule="auto" w:before="0"/>
        <w:ind w:left="738" w:right="318" w:firstLine="0"/>
        <w:jc w:val="both"/>
        <w:rPr>
          <w:b/>
          <w:sz w:val="24"/>
        </w:rPr>
      </w:pPr>
      <w:r>
        <w:rPr>
          <w:sz w:val="23"/>
        </w:rPr>
        <w:t>represented for the </w:t>
      </w:r>
      <w:r>
        <w:rPr>
          <w:sz w:val="24"/>
        </w:rPr>
        <w:t>represented for the purposes of signature of the Specific agreement by </w:t>
      </w:r>
      <w:r>
        <w:rPr>
          <w:b/>
          <w:sz w:val="24"/>
        </w:rPr>
        <w:t>Mr. Ivo Jupa, Director</w:t>
      </w:r>
    </w:p>
    <w:p>
      <w:pPr>
        <w:pStyle w:val="BodyText"/>
        <w:rPr>
          <w:b/>
          <w:sz w:val="26"/>
        </w:rPr>
      </w:pPr>
    </w:p>
    <w:p>
      <w:pPr>
        <w:pStyle w:val="BodyText"/>
        <w:spacing w:before="4"/>
        <w:rPr>
          <w:b/>
          <w:sz w:val="36"/>
        </w:rPr>
      </w:pPr>
    </w:p>
    <w:p>
      <w:pPr>
        <w:pStyle w:val="BodyText"/>
        <w:spacing w:line="451" w:lineRule="auto"/>
        <w:ind w:left="738" w:right="7090"/>
      </w:pPr>
      <w:r>
        <w:rPr/>
        <w:t>The parties referred to above HAVE AGREED</w:t>
      </w:r>
    </w:p>
    <w:p>
      <w:pPr>
        <w:pStyle w:val="BodyText"/>
        <w:spacing w:line="273" w:lineRule="exact"/>
        <w:ind w:left="738"/>
      </w:pPr>
      <w:r>
        <w:rPr/>
        <w:t>To the Specific agreement and the following annexes:</w:t>
      </w:r>
    </w:p>
    <w:p>
      <w:pPr>
        <w:pStyle w:val="BodyText"/>
        <w:rPr>
          <w:sz w:val="26"/>
        </w:rPr>
      </w:pPr>
    </w:p>
    <w:p>
      <w:pPr>
        <w:pStyle w:val="BodyText"/>
        <w:tabs>
          <w:tab w:pos="2015" w:val="left" w:leader="none"/>
        </w:tabs>
        <w:spacing w:line="451" w:lineRule="auto" w:before="219"/>
        <w:ind w:left="738" w:right="6224"/>
      </w:pPr>
      <w:r>
        <w:rPr/>
        <w:t>Annex</w:t>
      </w:r>
      <w:r>
        <w:rPr>
          <w:spacing w:val="1"/>
        </w:rPr>
        <w:t> </w:t>
      </w:r>
      <w:r>
        <w:rPr/>
        <w:t>I</w:t>
        <w:tab/>
        <w:t>Description of the </w:t>
      </w:r>
      <w:r>
        <w:rPr>
          <w:spacing w:val="-3"/>
        </w:rPr>
        <w:t>action </w:t>
      </w:r>
      <w:r>
        <w:rPr/>
        <w:t>Annex</w:t>
      </w:r>
      <w:r>
        <w:rPr>
          <w:spacing w:val="1"/>
        </w:rPr>
        <w:t> </w:t>
      </w:r>
      <w:r>
        <w:rPr/>
        <w:t>II</w:t>
        <w:tab/>
        <w:t>Estimated</w:t>
      </w:r>
      <w:r>
        <w:rPr>
          <w:spacing w:val="-1"/>
        </w:rPr>
        <w:t> </w:t>
      </w:r>
      <w:r>
        <w:rPr/>
        <w:t>budget</w:t>
      </w:r>
    </w:p>
    <w:p>
      <w:pPr>
        <w:spacing w:after="0" w:line="451" w:lineRule="auto"/>
        <w:sectPr>
          <w:headerReference w:type="default" r:id="rId5"/>
          <w:footerReference w:type="default" r:id="rId6"/>
          <w:type w:val="continuous"/>
          <w:pgSz w:w="12240" w:h="15840"/>
          <w:pgMar w:header="726" w:footer="687" w:top="920" w:bottom="880" w:left="680" w:right="940"/>
          <w:pgNumType w:start="1"/>
        </w:sectPr>
      </w:pPr>
    </w:p>
    <w:p>
      <w:pPr>
        <w:pStyle w:val="BodyText"/>
        <w:rPr>
          <w:sz w:val="20"/>
        </w:rPr>
      </w:pPr>
    </w:p>
    <w:p>
      <w:pPr>
        <w:pStyle w:val="BodyText"/>
        <w:spacing w:before="8"/>
        <w:rPr>
          <w:sz w:val="22"/>
        </w:rPr>
      </w:pPr>
    </w:p>
    <w:p>
      <w:pPr>
        <w:pStyle w:val="Heading2"/>
      </w:pPr>
      <w:r>
        <w:rPr/>
        <w:t>ARTICLE 1 – SUBJECT MATTER OF THE SPECIFIC AGREEMENT</w:t>
      </w:r>
    </w:p>
    <w:p>
      <w:pPr>
        <w:pStyle w:val="BodyText"/>
        <w:spacing w:before="3"/>
        <w:rPr>
          <w:b/>
          <w:sz w:val="29"/>
        </w:rPr>
      </w:pPr>
    </w:p>
    <w:p>
      <w:pPr>
        <w:pStyle w:val="BodyText"/>
        <w:ind w:left="738" w:right="318"/>
        <w:jc w:val="both"/>
      </w:pPr>
      <w:r>
        <w:rPr/>
        <w:t>The</w:t>
      </w:r>
      <w:r>
        <w:rPr>
          <w:spacing w:val="-18"/>
        </w:rPr>
        <w:t> </w:t>
      </w:r>
      <w:r>
        <w:rPr/>
        <w:t>Specific</w:t>
      </w:r>
      <w:r>
        <w:rPr>
          <w:spacing w:val="-14"/>
        </w:rPr>
        <w:t> </w:t>
      </w:r>
      <w:r>
        <w:rPr/>
        <w:t>agreement</w:t>
      </w:r>
      <w:r>
        <w:rPr>
          <w:spacing w:val="-15"/>
        </w:rPr>
        <w:t> </w:t>
      </w:r>
      <w:r>
        <w:rPr/>
        <w:t>is</w:t>
      </w:r>
      <w:r>
        <w:rPr>
          <w:spacing w:val="-17"/>
        </w:rPr>
        <w:t> </w:t>
      </w:r>
      <w:r>
        <w:rPr/>
        <w:t>concluded</w:t>
      </w:r>
      <w:r>
        <w:rPr>
          <w:spacing w:val="-16"/>
        </w:rPr>
        <w:t> </w:t>
      </w:r>
      <w:r>
        <w:rPr/>
        <w:t>in</w:t>
      </w:r>
      <w:r>
        <w:rPr>
          <w:spacing w:val="-16"/>
        </w:rPr>
        <w:t> </w:t>
      </w:r>
      <w:r>
        <w:rPr/>
        <w:t>the</w:t>
      </w:r>
      <w:r>
        <w:rPr>
          <w:spacing w:val="-17"/>
        </w:rPr>
        <w:t> </w:t>
      </w:r>
      <w:r>
        <w:rPr/>
        <w:t>context</w:t>
      </w:r>
      <w:r>
        <w:rPr>
          <w:spacing w:val="-16"/>
        </w:rPr>
        <w:t> </w:t>
      </w:r>
      <w:r>
        <w:rPr/>
        <w:t>of</w:t>
      </w:r>
      <w:r>
        <w:rPr>
          <w:spacing w:val="-17"/>
        </w:rPr>
        <w:t> </w:t>
      </w:r>
      <w:r>
        <w:rPr/>
        <w:t>the</w:t>
      </w:r>
      <w:r>
        <w:rPr>
          <w:spacing w:val="-17"/>
        </w:rPr>
        <w:t> </w:t>
      </w:r>
      <w:r>
        <w:rPr/>
        <w:t>partnership</w:t>
      </w:r>
      <w:r>
        <w:rPr>
          <w:spacing w:val="-16"/>
        </w:rPr>
        <w:t> </w:t>
      </w:r>
      <w:r>
        <w:rPr/>
        <w:t>established</w:t>
      </w:r>
      <w:r>
        <w:rPr>
          <w:spacing w:val="-16"/>
        </w:rPr>
        <w:t> </w:t>
      </w:r>
      <w:r>
        <w:rPr/>
        <w:t>between</w:t>
      </w:r>
      <w:r>
        <w:rPr>
          <w:spacing w:val="-17"/>
        </w:rPr>
        <w:t> </w:t>
      </w:r>
      <w:r>
        <w:rPr/>
        <w:t>the</w:t>
      </w:r>
      <w:r>
        <w:rPr>
          <w:spacing w:val="-17"/>
        </w:rPr>
        <w:t> </w:t>
      </w:r>
      <w:r>
        <w:rPr/>
        <w:t>parties. It is drawn up in accordance with the relevant terms of Framework partnership agreement No</w:t>
      </w:r>
      <w:r>
        <w:rPr>
          <w:spacing w:val="-32"/>
        </w:rPr>
        <w:t> </w:t>
      </w:r>
      <w:r>
        <w:rPr/>
        <w:t>2020- FPA4/GP/DSI/ReferNet_FPA/001/20 signed between Cedefop and the partner on 23/03/2020 (‘the Framework</w:t>
      </w:r>
      <w:r>
        <w:rPr>
          <w:spacing w:val="-1"/>
        </w:rPr>
        <w:t> </w:t>
      </w:r>
      <w:r>
        <w:rPr/>
        <w:t>agreement’).</w:t>
      </w:r>
    </w:p>
    <w:p>
      <w:pPr>
        <w:pStyle w:val="BodyText"/>
      </w:pPr>
    </w:p>
    <w:p>
      <w:pPr>
        <w:pStyle w:val="BodyText"/>
        <w:ind w:left="738" w:right="318"/>
        <w:jc w:val="both"/>
      </w:pPr>
      <w:r>
        <w:rPr/>
        <w:t>Cedefop</w:t>
      </w:r>
      <w:r>
        <w:rPr>
          <w:spacing w:val="-7"/>
        </w:rPr>
        <w:t> </w:t>
      </w:r>
      <w:r>
        <w:rPr/>
        <w:t>has</w:t>
      </w:r>
      <w:r>
        <w:rPr>
          <w:spacing w:val="-6"/>
        </w:rPr>
        <w:t> </w:t>
      </w:r>
      <w:r>
        <w:rPr/>
        <w:t>decided</w:t>
      </w:r>
      <w:r>
        <w:rPr>
          <w:spacing w:val="-6"/>
        </w:rPr>
        <w:t> </w:t>
      </w:r>
      <w:r>
        <w:rPr/>
        <w:t>to</w:t>
      </w:r>
      <w:r>
        <w:rPr>
          <w:spacing w:val="-6"/>
        </w:rPr>
        <w:t> </w:t>
      </w:r>
      <w:r>
        <w:rPr/>
        <w:t>award</w:t>
      </w:r>
      <w:r>
        <w:rPr>
          <w:spacing w:val="-6"/>
        </w:rPr>
        <w:t> </w:t>
      </w:r>
      <w:r>
        <w:rPr/>
        <w:t>a</w:t>
      </w:r>
      <w:r>
        <w:rPr>
          <w:spacing w:val="-8"/>
        </w:rPr>
        <w:t> </w:t>
      </w:r>
      <w:r>
        <w:rPr/>
        <w:t>grant</w:t>
      </w:r>
      <w:r>
        <w:rPr>
          <w:spacing w:val="-6"/>
        </w:rPr>
        <w:t> </w:t>
      </w:r>
      <w:r>
        <w:rPr/>
        <w:t>(‘specific</w:t>
      </w:r>
      <w:r>
        <w:rPr>
          <w:spacing w:val="-7"/>
        </w:rPr>
        <w:t> </w:t>
      </w:r>
      <w:r>
        <w:rPr/>
        <w:t>grant</w:t>
      </w:r>
      <w:r>
        <w:rPr>
          <w:spacing w:val="-6"/>
        </w:rPr>
        <w:t> </w:t>
      </w:r>
      <w:r>
        <w:rPr/>
        <w:t>for</w:t>
      </w:r>
      <w:r>
        <w:rPr>
          <w:spacing w:val="-7"/>
        </w:rPr>
        <w:t> </w:t>
      </w:r>
      <w:r>
        <w:rPr/>
        <w:t>an</w:t>
      </w:r>
      <w:r>
        <w:rPr>
          <w:spacing w:val="-6"/>
        </w:rPr>
        <w:t> </w:t>
      </w:r>
      <w:r>
        <w:rPr/>
        <w:t>action’),</w:t>
      </w:r>
      <w:r>
        <w:rPr>
          <w:spacing w:val="-6"/>
        </w:rPr>
        <w:t> </w:t>
      </w:r>
      <w:r>
        <w:rPr/>
        <w:t>under</w:t>
      </w:r>
      <w:r>
        <w:rPr>
          <w:spacing w:val="-6"/>
        </w:rPr>
        <w:t> </w:t>
      </w:r>
      <w:r>
        <w:rPr/>
        <w:t>the</w:t>
      </w:r>
      <w:r>
        <w:rPr>
          <w:spacing w:val="-7"/>
        </w:rPr>
        <w:t> </w:t>
      </w:r>
      <w:r>
        <w:rPr/>
        <w:t>terms</w:t>
      </w:r>
      <w:r>
        <w:rPr>
          <w:spacing w:val="-6"/>
        </w:rPr>
        <w:t> </w:t>
      </w:r>
      <w:r>
        <w:rPr/>
        <w:t>and</w:t>
      </w:r>
      <w:r>
        <w:rPr>
          <w:spacing w:val="-6"/>
        </w:rPr>
        <w:t> </w:t>
      </w:r>
      <w:r>
        <w:rPr/>
        <w:t>conditions set out in the Specific agreement and the Framework agreement, for the action entitled </w:t>
      </w:r>
      <w:r>
        <w:rPr>
          <w:b/>
        </w:rPr>
        <w:t>ReferNet work plan 2023 </w:t>
      </w:r>
      <w:r>
        <w:rPr/>
        <w:t>(</w:t>
      </w:r>
      <w:r>
        <w:rPr>
          <w:i/>
        </w:rPr>
        <w:t>‘the action’) </w:t>
      </w:r>
      <w:r>
        <w:rPr/>
        <w:t>as described in Annex</w:t>
      </w:r>
      <w:r>
        <w:rPr>
          <w:spacing w:val="-2"/>
        </w:rPr>
        <w:t> </w:t>
      </w:r>
      <w:r>
        <w:rPr/>
        <w:t>I.</w:t>
      </w:r>
    </w:p>
    <w:p>
      <w:pPr>
        <w:pStyle w:val="BodyText"/>
      </w:pPr>
    </w:p>
    <w:p>
      <w:pPr>
        <w:pStyle w:val="BodyText"/>
        <w:ind w:left="738" w:right="316"/>
        <w:jc w:val="both"/>
      </w:pPr>
      <w:r>
        <w:rPr/>
        <w:t>By signing the Specific agreement, the partner accepts the grant and agrees to implement the action in accordance with the terms and conditions of the Specific agreement and the Framework agreement, acting on its own responsibility.</w:t>
      </w:r>
    </w:p>
    <w:p>
      <w:pPr>
        <w:pStyle w:val="BodyText"/>
      </w:pPr>
    </w:p>
    <w:p>
      <w:pPr>
        <w:pStyle w:val="BodyText"/>
        <w:ind w:left="738" w:right="317"/>
        <w:jc w:val="both"/>
      </w:pPr>
      <w:r>
        <w:rPr/>
        <w:t>The generic term ‘</w:t>
      </w:r>
      <w:r>
        <w:rPr>
          <w:i/>
        </w:rPr>
        <w:t>action</w:t>
      </w:r>
      <w:r>
        <w:rPr/>
        <w:t>’ used hereinafter in the Specific agreement means the work programme</w:t>
      </w:r>
      <w:r>
        <w:rPr>
          <w:spacing w:val="-26"/>
        </w:rPr>
        <w:t> </w:t>
      </w:r>
      <w:r>
        <w:rPr/>
        <w:t>of the partner as described in Annex</w:t>
      </w:r>
      <w:r>
        <w:rPr>
          <w:spacing w:val="1"/>
        </w:rPr>
        <w:t> </w:t>
      </w:r>
      <w:r>
        <w:rPr/>
        <w:t>I.</w:t>
      </w:r>
    </w:p>
    <w:p>
      <w:pPr>
        <w:pStyle w:val="BodyText"/>
        <w:rPr>
          <w:sz w:val="26"/>
        </w:rPr>
      </w:pPr>
    </w:p>
    <w:p>
      <w:pPr>
        <w:pStyle w:val="Heading2"/>
        <w:spacing w:before="217"/>
        <w:ind w:right="1047"/>
      </w:pPr>
      <w:r>
        <w:rPr/>
        <w:t>ARTICLE 2 – ENTRY INTO FORCE AND IMPLEMENTATION PERIOD OF THE SPECIFIC AGREEMENT</w:t>
      </w:r>
    </w:p>
    <w:p>
      <w:pPr>
        <w:pStyle w:val="BodyText"/>
        <w:spacing w:before="3"/>
        <w:rPr>
          <w:b/>
          <w:sz w:val="29"/>
        </w:rPr>
      </w:pPr>
    </w:p>
    <w:p>
      <w:pPr>
        <w:pStyle w:val="ListParagraph"/>
        <w:numPr>
          <w:ilvl w:val="1"/>
          <w:numId w:val="1"/>
        </w:numPr>
        <w:tabs>
          <w:tab w:pos="1338" w:val="left" w:leader="none"/>
          <w:tab w:pos="1339" w:val="left" w:leader="none"/>
        </w:tabs>
        <w:spacing w:line="240" w:lineRule="auto" w:before="0" w:after="0"/>
        <w:ind w:left="1338" w:right="0" w:hanging="601"/>
        <w:jc w:val="left"/>
        <w:rPr>
          <w:sz w:val="24"/>
        </w:rPr>
      </w:pPr>
      <w:r>
        <w:rPr>
          <w:sz w:val="24"/>
        </w:rPr>
        <w:t>The Specific agreement enters into force on the date on which the last party</w:t>
      </w:r>
      <w:r>
        <w:rPr>
          <w:spacing w:val="-7"/>
          <w:sz w:val="24"/>
        </w:rPr>
        <w:t> </w:t>
      </w:r>
      <w:r>
        <w:rPr>
          <w:sz w:val="24"/>
        </w:rPr>
        <w:t>signs.</w:t>
      </w:r>
    </w:p>
    <w:p>
      <w:pPr>
        <w:pStyle w:val="BodyText"/>
      </w:pPr>
    </w:p>
    <w:p>
      <w:pPr>
        <w:pStyle w:val="ListParagraph"/>
        <w:numPr>
          <w:ilvl w:val="1"/>
          <w:numId w:val="1"/>
        </w:numPr>
        <w:tabs>
          <w:tab w:pos="1458" w:val="left" w:leader="none"/>
          <w:tab w:pos="1459" w:val="left" w:leader="none"/>
        </w:tabs>
        <w:spacing w:line="240" w:lineRule="auto" w:before="0" w:after="0"/>
        <w:ind w:left="1458" w:right="0" w:hanging="721"/>
        <w:jc w:val="left"/>
        <w:rPr>
          <w:sz w:val="24"/>
        </w:rPr>
      </w:pPr>
      <w:r>
        <w:rPr>
          <w:sz w:val="24"/>
        </w:rPr>
        <w:t>The </w:t>
      </w:r>
      <w:r>
        <w:rPr>
          <w:i/>
          <w:sz w:val="24"/>
        </w:rPr>
        <w:t>action </w:t>
      </w:r>
      <w:r>
        <w:rPr>
          <w:sz w:val="24"/>
        </w:rPr>
        <w:t>runs for 12 months starting on</w:t>
      </w:r>
      <w:r>
        <w:rPr>
          <w:spacing w:val="-3"/>
          <w:sz w:val="24"/>
        </w:rPr>
        <w:t> </w:t>
      </w:r>
      <w:r>
        <w:rPr>
          <w:sz w:val="24"/>
        </w:rPr>
        <w:t>01/01/2023.</w:t>
      </w:r>
    </w:p>
    <w:p>
      <w:pPr>
        <w:pStyle w:val="BodyText"/>
      </w:pPr>
    </w:p>
    <w:p>
      <w:pPr>
        <w:pStyle w:val="ListParagraph"/>
        <w:numPr>
          <w:ilvl w:val="1"/>
          <w:numId w:val="1"/>
        </w:numPr>
        <w:tabs>
          <w:tab w:pos="1459" w:val="left" w:leader="none"/>
        </w:tabs>
        <w:spacing w:line="240" w:lineRule="auto" w:before="0" w:after="0"/>
        <w:ind w:left="738" w:right="317" w:firstLine="0"/>
        <w:jc w:val="both"/>
        <w:rPr>
          <w:sz w:val="24"/>
        </w:rPr>
      </w:pPr>
      <w:r>
        <w:rPr>
          <w:sz w:val="24"/>
        </w:rPr>
        <w:t>If the applicant can demonstrate the need to start the action before signature of the Specific Agreement by both parties (see also point 4 of the invitation GP/DVQ/ReferNet-SGA/001/22), the starting date shall not be earlier than that of the submission of the proposal in response to the above stated invitation. The ending date remains</w:t>
      </w:r>
      <w:r>
        <w:rPr>
          <w:spacing w:val="-3"/>
          <w:sz w:val="24"/>
        </w:rPr>
        <w:t> </w:t>
      </w:r>
      <w:r>
        <w:rPr>
          <w:sz w:val="24"/>
        </w:rPr>
        <w:t>unchanged.</w:t>
      </w:r>
    </w:p>
    <w:p>
      <w:pPr>
        <w:pStyle w:val="BodyText"/>
        <w:rPr>
          <w:sz w:val="26"/>
        </w:rPr>
      </w:pPr>
    </w:p>
    <w:p>
      <w:pPr>
        <w:pStyle w:val="Heading2"/>
        <w:spacing w:before="217"/>
      </w:pPr>
      <w:r>
        <w:rPr/>
        <w:t>ARTICLE 3 – MAXIMUM AMOUNT AND FORM OF GRANT</w:t>
      </w:r>
    </w:p>
    <w:p>
      <w:pPr>
        <w:pStyle w:val="BodyText"/>
        <w:rPr>
          <w:b/>
          <w:sz w:val="21"/>
        </w:rPr>
      </w:pPr>
    </w:p>
    <w:p>
      <w:pPr>
        <w:pStyle w:val="ListParagraph"/>
        <w:numPr>
          <w:ilvl w:val="1"/>
          <w:numId w:val="2"/>
        </w:numPr>
        <w:tabs>
          <w:tab w:pos="1161" w:val="left" w:leader="none"/>
        </w:tabs>
        <w:spacing w:line="240" w:lineRule="auto" w:before="0" w:after="0"/>
        <w:ind w:left="1160" w:right="0" w:hanging="423"/>
        <w:jc w:val="both"/>
        <w:rPr>
          <w:b/>
          <w:sz w:val="28"/>
        </w:rPr>
      </w:pPr>
      <w:r>
        <w:rPr>
          <w:b/>
          <w:sz w:val="28"/>
        </w:rPr>
        <w:t>The maximum amount of the grant is EUR</w:t>
      </w:r>
      <w:r>
        <w:rPr>
          <w:b/>
          <w:spacing w:val="-12"/>
          <w:sz w:val="28"/>
        </w:rPr>
        <w:t> </w:t>
      </w:r>
      <w:r>
        <w:rPr>
          <w:b/>
          <w:sz w:val="28"/>
        </w:rPr>
        <w:t>33625.</w:t>
      </w:r>
    </w:p>
    <w:p>
      <w:pPr>
        <w:pStyle w:val="ListParagraph"/>
        <w:numPr>
          <w:ilvl w:val="1"/>
          <w:numId w:val="2"/>
        </w:numPr>
        <w:tabs>
          <w:tab w:pos="1161" w:val="left" w:leader="none"/>
        </w:tabs>
        <w:spacing w:line="240" w:lineRule="auto" w:before="239" w:after="0"/>
        <w:ind w:left="1160" w:right="0" w:hanging="423"/>
        <w:jc w:val="both"/>
        <w:rPr>
          <w:b/>
          <w:sz w:val="28"/>
        </w:rPr>
      </w:pPr>
      <w:r>
        <w:rPr>
          <w:b/>
          <w:sz w:val="28"/>
        </w:rPr>
        <w:t>The grant takes the form</w:t>
      </w:r>
      <w:r>
        <w:rPr>
          <w:b/>
          <w:spacing w:val="-12"/>
          <w:sz w:val="28"/>
        </w:rPr>
        <w:t> </w:t>
      </w:r>
      <w:r>
        <w:rPr>
          <w:b/>
          <w:sz w:val="28"/>
        </w:rPr>
        <w:t>of:</w:t>
      </w:r>
    </w:p>
    <w:p>
      <w:pPr>
        <w:pStyle w:val="BodyText"/>
        <w:spacing w:before="1"/>
        <w:rPr>
          <w:b/>
          <w:sz w:val="29"/>
        </w:rPr>
      </w:pPr>
    </w:p>
    <w:p>
      <w:pPr>
        <w:pStyle w:val="BodyText"/>
        <w:spacing w:before="1"/>
        <w:ind w:left="738" w:right="314"/>
        <w:jc w:val="both"/>
      </w:pPr>
      <w:r>
        <w:rPr/>
        <w:t>The reimbursement of maximum 70% of the eligible costs of the action (‘reimbursement of eligible costs’),</w:t>
      </w:r>
      <w:r>
        <w:rPr>
          <w:spacing w:val="-17"/>
        </w:rPr>
        <w:t> </w:t>
      </w:r>
      <w:r>
        <w:rPr/>
        <w:t>which</w:t>
      </w:r>
      <w:r>
        <w:rPr>
          <w:spacing w:val="-13"/>
        </w:rPr>
        <w:t> </w:t>
      </w:r>
      <w:r>
        <w:rPr/>
        <w:t>are</w:t>
      </w:r>
      <w:r>
        <w:rPr>
          <w:spacing w:val="-15"/>
        </w:rPr>
        <w:t> </w:t>
      </w:r>
      <w:r>
        <w:rPr/>
        <w:t>estimated</w:t>
      </w:r>
      <w:r>
        <w:rPr>
          <w:spacing w:val="-16"/>
        </w:rPr>
        <w:t> </w:t>
      </w:r>
      <w:r>
        <w:rPr/>
        <w:t>at</w:t>
      </w:r>
      <w:r>
        <w:rPr>
          <w:spacing w:val="-15"/>
        </w:rPr>
        <w:t> </w:t>
      </w:r>
      <w:r>
        <w:rPr/>
        <w:t>EUR</w:t>
      </w:r>
      <w:r>
        <w:rPr>
          <w:spacing w:val="-16"/>
        </w:rPr>
        <w:t> </w:t>
      </w:r>
      <w:r>
        <w:rPr/>
        <w:t>67250</w:t>
      </w:r>
      <w:r>
        <w:rPr>
          <w:spacing w:val="-13"/>
        </w:rPr>
        <w:t> </w:t>
      </w:r>
      <w:r>
        <w:rPr/>
        <w:t>and</w:t>
      </w:r>
      <w:r>
        <w:rPr>
          <w:spacing w:val="-17"/>
        </w:rPr>
        <w:t> </w:t>
      </w:r>
      <w:r>
        <w:rPr/>
        <w:t>which</w:t>
      </w:r>
      <w:r>
        <w:rPr>
          <w:spacing w:val="-16"/>
        </w:rPr>
        <w:t> </w:t>
      </w:r>
      <w:r>
        <w:rPr/>
        <w:t>are</w:t>
      </w:r>
      <w:r>
        <w:rPr>
          <w:spacing w:val="-14"/>
        </w:rPr>
        <w:t> </w:t>
      </w:r>
      <w:r>
        <w:rPr/>
        <w:t>actually</w:t>
      </w:r>
      <w:r>
        <w:rPr>
          <w:spacing w:val="-17"/>
        </w:rPr>
        <w:t> </w:t>
      </w:r>
      <w:r>
        <w:rPr/>
        <w:t>incurred</w:t>
      </w:r>
      <w:r>
        <w:rPr>
          <w:spacing w:val="-13"/>
        </w:rPr>
        <w:t> </w:t>
      </w:r>
      <w:r>
        <w:rPr/>
        <w:t>(‘reimbursement</w:t>
      </w:r>
      <w:r>
        <w:rPr>
          <w:spacing w:val="-15"/>
        </w:rPr>
        <w:t> </w:t>
      </w:r>
      <w:r>
        <w:rPr/>
        <w:t>of</w:t>
      </w:r>
      <w:r>
        <w:rPr>
          <w:spacing w:val="-18"/>
        </w:rPr>
        <w:t> </w:t>
      </w:r>
      <w:r>
        <w:rPr/>
        <w:t>actual costs’) for the</w:t>
      </w:r>
      <w:r>
        <w:rPr>
          <w:spacing w:val="-4"/>
        </w:rPr>
        <w:t> </w:t>
      </w:r>
      <w:r>
        <w:rPr/>
        <w:t>partner.</w:t>
      </w:r>
    </w:p>
    <w:p>
      <w:pPr>
        <w:spacing w:after="0"/>
        <w:jc w:val="both"/>
        <w:sectPr>
          <w:pgSz w:w="12240" w:h="15840"/>
          <w:pgMar w:header="726" w:footer="687" w:top="920" w:bottom="960" w:left="680" w:right="940"/>
        </w:sectPr>
      </w:pPr>
    </w:p>
    <w:p>
      <w:pPr>
        <w:pStyle w:val="BodyText"/>
        <w:rPr>
          <w:sz w:val="20"/>
        </w:rPr>
      </w:pPr>
    </w:p>
    <w:p>
      <w:pPr>
        <w:pStyle w:val="BodyText"/>
        <w:spacing w:before="8"/>
        <w:rPr>
          <w:sz w:val="22"/>
        </w:rPr>
      </w:pPr>
    </w:p>
    <w:p>
      <w:pPr>
        <w:pStyle w:val="Heading2"/>
        <w:ind w:right="316"/>
        <w:jc w:val="both"/>
      </w:pPr>
      <w:r>
        <w:rPr/>
        <w:t>ARTICLE 4 –REPORTING, REQUEST FOR PAYMENTS AND SUPPORTING DOCUMENTS</w:t>
      </w:r>
    </w:p>
    <w:p>
      <w:pPr>
        <w:pStyle w:val="BodyText"/>
        <w:rPr>
          <w:b/>
          <w:sz w:val="26"/>
        </w:rPr>
      </w:pPr>
    </w:p>
    <w:p>
      <w:pPr>
        <w:pStyle w:val="BodyText"/>
        <w:spacing w:before="2"/>
        <w:rPr>
          <w:b/>
        </w:rPr>
      </w:pPr>
    </w:p>
    <w:p>
      <w:pPr>
        <w:pStyle w:val="ListParagraph"/>
        <w:numPr>
          <w:ilvl w:val="1"/>
          <w:numId w:val="3"/>
        </w:numPr>
        <w:tabs>
          <w:tab w:pos="1159" w:val="left" w:leader="none"/>
        </w:tabs>
        <w:spacing w:line="240" w:lineRule="auto" w:before="1" w:after="0"/>
        <w:ind w:left="1158" w:right="0" w:hanging="421"/>
        <w:jc w:val="left"/>
        <w:rPr>
          <w:b/>
          <w:sz w:val="28"/>
        </w:rPr>
      </w:pPr>
      <w:r>
        <w:rPr>
          <w:b/>
          <w:sz w:val="28"/>
        </w:rPr>
        <w:t>Reporting</w:t>
      </w:r>
      <w:r>
        <w:rPr>
          <w:b/>
          <w:spacing w:val="-1"/>
          <w:sz w:val="28"/>
        </w:rPr>
        <w:t> </w:t>
      </w:r>
      <w:r>
        <w:rPr>
          <w:b/>
          <w:sz w:val="28"/>
        </w:rPr>
        <w:t>periods</w:t>
      </w:r>
    </w:p>
    <w:p>
      <w:pPr>
        <w:pStyle w:val="BodyText"/>
        <w:spacing w:before="1"/>
        <w:rPr>
          <w:b/>
          <w:sz w:val="29"/>
        </w:rPr>
      </w:pPr>
    </w:p>
    <w:p>
      <w:pPr>
        <w:pStyle w:val="BodyText"/>
        <w:ind w:left="738" w:right="317"/>
        <w:jc w:val="both"/>
      </w:pPr>
      <w:r>
        <w:rPr/>
        <w:t>The action covers the sole reporting period as set out in Article 2.2, subject if applicable to Article 2.3.</w:t>
      </w:r>
    </w:p>
    <w:p>
      <w:pPr>
        <w:pStyle w:val="BodyText"/>
        <w:rPr>
          <w:sz w:val="26"/>
        </w:rPr>
      </w:pPr>
    </w:p>
    <w:p>
      <w:pPr>
        <w:pStyle w:val="Heading1"/>
        <w:numPr>
          <w:ilvl w:val="1"/>
          <w:numId w:val="3"/>
        </w:numPr>
        <w:tabs>
          <w:tab w:pos="1159" w:val="left" w:leader="none"/>
        </w:tabs>
        <w:spacing w:line="240" w:lineRule="auto" w:before="218" w:after="0"/>
        <w:ind w:left="1158" w:right="0" w:hanging="421"/>
        <w:jc w:val="left"/>
      </w:pPr>
      <w:r>
        <w:rPr/>
        <w:t>Request for pre-financing</w:t>
      </w:r>
      <w:r>
        <w:rPr>
          <w:spacing w:val="-3"/>
        </w:rPr>
        <w:t> </w:t>
      </w:r>
      <w:r>
        <w:rPr/>
        <w:t>payment</w:t>
      </w:r>
    </w:p>
    <w:p>
      <w:pPr>
        <w:pStyle w:val="BodyText"/>
        <w:spacing w:before="1"/>
        <w:rPr>
          <w:b/>
          <w:sz w:val="29"/>
        </w:rPr>
      </w:pPr>
    </w:p>
    <w:p>
      <w:pPr>
        <w:pStyle w:val="BodyText"/>
        <w:ind w:left="738" w:right="314"/>
        <w:jc w:val="both"/>
      </w:pPr>
      <w:r>
        <w:rPr/>
        <w:t>The partner must submit a request for a pre-financing payment within 60 calendar days from the starting date of the action mentioned in Article 2.2.</w:t>
      </w:r>
    </w:p>
    <w:p>
      <w:pPr>
        <w:pStyle w:val="BodyText"/>
        <w:spacing w:before="11"/>
        <w:rPr>
          <w:sz w:val="20"/>
        </w:rPr>
      </w:pPr>
    </w:p>
    <w:p>
      <w:pPr>
        <w:pStyle w:val="Heading1"/>
        <w:numPr>
          <w:ilvl w:val="1"/>
          <w:numId w:val="3"/>
        </w:numPr>
        <w:tabs>
          <w:tab w:pos="1159" w:val="left" w:leader="none"/>
        </w:tabs>
        <w:spacing w:line="240" w:lineRule="auto" w:before="0" w:after="0"/>
        <w:ind w:left="1158" w:right="0" w:hanging="421"/>
        <w:jc w:val="left"/>
      </w:pPr>
      <w:r>
        <w:rPr/>
        <w:t>Request for interim</w:t>
      </w:r>
      <w:r>
        <w:rPr>
          <w:spacing w:val="-5"/>
        </w:rPr>
        <w:t> </w:t>
      </w:r>
      <w:r>
        <w:rPr/>
        <w:t>payment[s]</w:t>
      </w:r>
    </w:p>
    <w:p>
      <w:pPr>
        <w:pStyle w:val="BodyText"/>
        <w:spacing w:before="1"/>
        <w:rPr>
          <w:b/>
          <w:sz w:val="29"/>
        </w:rPr>
      </w:pPr>
    </w:p>
    <w:p>
      <w:pPr>
        <w:pStyle w:val="BodyText"/>
        <w:ind w:left="750"/>
        <w:jc w:val="both"/>
      </w:pPr>
      <w:r>
        <w:rPr/>
        <w:t>Not applicable</w:t>
      </w:r>
    </w:p>
    <w:p>
      <w:pPr>
        <w:pStyle w:val="BodyText"/>
        <w:rPr>
          <w:sz w:val="21"/>
        </w:rPr>
      </w:pPr>
    </w:p>
    <w:p>
      <w:pPr>
        <w:pStyle w:val="Heading1"/>
        <w:numPr>
          <w:ilvl w:val="1"/>
          <w:numId w:val="3"/>
        </w:numPr>
        <w:tabs>
          <w:tab w:pos="1159" w:val="left" w:leader="none"/>
        </w:tabs>
        <w:spacing w:line="240" w:lineRule="auto" w:before="0" w:after="0"/>
        <w:ind w:left="1158" w:right="0" w:hanging="421"/>
        <w:jc w:val="left"/>
      </w:pPr>
      <w:r>
        <w:rPr/>
        <w:t>Request for payment of the balance and supporting</w:t>
      </w:r>
      <w:r>
        <w:rPr>
          <w:spacing w:val="-11"/>
        </w:rPr>
        <w:t> </w:t>
      </w:r>
      <w:r>
        <w:rPr/>
        <w:t>documents</w:t>
      </w:r>
    </w:p>
    <w:p>
      <w:pPr>
        <w:pStyle w:val="BodyText"/>
        <w:spacing w:before="1"/>
        <w:rPr>
          <w:b/>
          <w:sz w:val="29"/>
        </w:rPr>
      </w:pPr>
    </w:p>
    <w:p>
      <w:pPr>
        <w:pStyle w:val="BodyText"/>
        <w:ind w:left="738" w:right="318"/>
        <w:jc w:val="both"/>
      </w:pPr>
      <w:r>
        <w:rPr/>
        <w:t>The</w:t>
      </w:r>
      <w:r>
        <w:rPr>
          <w:spacing w:val="-5"/>
        </w:rPr>
        <w:t> </w:t>
      </w:r>
      <w:r>
        <w:rPr/>
        <w:t>partner</w:t>
      </w:r>
      <w:r>
        <w:rPr>
          <w:spacing w:val="-5"/>
        </w:rPr>
        <w:t> </w:t>
      </w:r>
      <w:r>
        <w:rPr/>
        <w:t>must</w:t>
      </w:r>
      <w:r>
        <w:rPr>
          <w:spacing w:val="-2"/>
        </w:rPr>
        <w:t> </w:t>
      </w:r>
      <w:r>
        <w:rPr/>
        <w:t>submit</w:t>
      </w:r>
      <w:r>
        <w:rPr>
          <w:spacing w:val="-3"/>
        </w:rPr>
        <w:t> </w:t>
      </w:r>
      <w:r>
        <w:rPr/>
        <w:t>a</w:t>
      </w:r>
      <w:r>
        <w:rPr>
          <w:spacing w:val="-4"/>
        </w:rPr>
        <w:t> </w:t>
      </w:r>
      <w:r>
        <w:rPr/>
        <w:t>request</w:t>
      </w:r>
      <w:r>
        <w:rPr>
          <w:spacing w:val="-3"/>
        </w:rPr>
        <w:t> </w:t>
      </w:r>
      <w:r>
        <w:rPr/>
        <w:t>for</w:t>
      </w:r>
      <w:r>
        <w:rPr>
          <w:spacing w:val="-4"/>
        </w:rPr>
        <w:t> </w:t>
      </w:r>
      <w:r>
        <w:rPr/>
        <w:t>payment</w:t>
      </w:r>
      <w:r>
        <w:rPr>
          <w:spacing w:val="-3"/>
        </w:rPr>
        <w:t> </w:t>
      </w:r>
      <w:r>
        <w:rPr/>
        <w:t>of</w:t>
      </w:r>
      <w:r>
        <w:rPr>
          <w:spacing w:val="-2"/>
        </w:rPr>
        <w:t> </w:t>
      </w:r>
      <w:r>
        <w:rPr/>
        <w:t>the</w:t>
      </w:r>
      <w:r>
        <w:rPr>
          <w:spacing w:val="-4"/>
        </w:rPr>
        <w:t> </w:t>
      </w:r>
      <w:r>
        <w:rPr/>
        <w:t>balance</w:t>
      </w:r>
      <w:r>
        <w:rPr>
          <w:spacing w:val="-5"/>
        </w:rPr>
        <w:t> </w:t>
      </w:r>
      <w:r>
        <w:rPr/>
        <w:t>within</w:t>
      </w:r>
      <w:r>
        <w:rPr>
          <w:spacing w:val="-3"/>
        </w:rPr>
        <w:t> </w:t>
      </w:r>
      <w:r>
        <w:rPr/>
        <w:t>60</w:t>
      </w:r>
      <w:r>
        <w:rPr>
          <w:spacing w:val="-4"/>
        </w:rPr>
        <w:t> </w:t>
      </w:r>
      <w:r>
        <w:rPr/>
        <w:t>calendar</w:t>
      </w:r>
      <w:r>
        <w:rPr>
          <w:spacing w:val="-4"/>
        </w:rPr>
        <w:t> </w:t>
      </w:r>
      <w:r>
        <w:rPr/>
        <w:t>days</w:t>
      </w:r>
      <w:r>
        <w:rPr>
          <w:spacing w:val="-4"/>
        </w:rPr>
        <w:t> </w:t>
      </w:r>
      <w:r>
        <w:rPr/>
        <w:t>following</w:t>
      </w:r>
      <w:r>
        <w:rPr>
          <w:spacing w:val="-3"/>
        </w:rPr>
        <w:t> </w:t>
      </w:r>
      <w:r>
        <w:rPr/>
        <w:t>the end of the sole reporting</w:t>
      </w:r>
      <w:r>
        <w:rPr>
          <w:spacing w:val="-2"/>
        </w:rPr>
        <w:t> </w:t>
      </w:r>
      <w:r>
        <w:rPr/>
        <w:t>period.</w:t>
      </w:r>
    </w:p>
    <w:p>
      <w:pPr>
        <w:pStyle w:val="BodyText"/>
        <w:ind w:left="738"/>
        <w:jc w:val="both"/>
      </w:pPr>
      <w:r>
        <w:rPr/>
        <w:t>This request must be accompanied by the following documents:</w:t>
      </w:r>
    </w:p>
    <w:p>
      <w:pPr>
        <w:pStyle w:val="BodyText"/>
        <w:spacing w:before="5"/>
      </w:pPr>
    </w:p>
    <w:p>
      <w:pPr>
        <w:pStyle w:val="ListParagraph"/>
        <w:numPr>
          <w:ilvl w:val="2"/>
          <w:numId w:val="3"/>
        </w:numPr>
        <w:tabs>
          <w:tab w:pos="1459" w:val="left" w:leader="none"/>
        </w:tabs>
        <w:spacing w:line="240" w:lineRule="auto" w:before="0" w:after="0"/>
        <w:ind w:left="1458" w:right="315" w:hanging="360"/>
        <w:jc w:val="both"/>
        <w:rPr>
          <w:sz w:val="24"/>
        </w:rPr>
      </w:pPr>
      <w:r>
        <w:rPr>
          <w:sz w:val="24"/>
        </w:rPr>
        <w:t>a final report on implementation of the action (‘final technical report’), drawn up in accordance with Annex IV of the Framework agreement,</w:t>
      </w:r>
      <w:r>
        <w:rPr>
          <w:spacing w:val="-5"/>
          <w:sz w:val="24"/>
        </w:rPr>
        <w:t> </w:t>
      </w:r>
      <w:r>
        <w:rPr>
          <w:sz w:val="24"/>
        </w:rPr>
        <w:t>containing:</w:t>
      </w:r>
    </w:p>
    <w:p>
      <w:pPr>
        <w:pStyle w:val="BodyText"/>
        <w:spacing w:before="4"/>
      </w:pPr>
    </w:p>
    <w:p>
      <w:pPr>
        <w:pStyle w:val="ListParagraph"/>
        <w:numPr>
          <w:ilvl w:val="3"/>
          <w:numId w:val="3"/>
        </w:numPr>
        <w:tabs>
          <w:tab w:pos="1958" w:val="left" w:leader="none"/>
        </w:tabs>
        <w:spacing w:line="240" w:lineRule="auto" w:before="1" w:after="0"/>
        <w:ind w:left="2024" w:right="321" w:hanging="360"/>
        <w:jc w:val="left"/>
        <w:rPr>
          <w:sz w:val="24"/>
        </w:rPr>
      </w:pPr>
      <w:r>
        <w:rPr>
          <w:sz w:val="24"/>
        </w:rPr>
        <w:t>the</w:t>
      </w:r>
      <w:r>
        <w:rPr>
          <w:spacing w:val="-18"/>
          <w:sz w:val="24"/>
        </w:rPr>
        <w:t> </w:t>
      </w:r>
      <w:r>
        <w:rPr>
          <w:sz w:val="24"/>
        </w:rPr>
        <w:t>information</w:t>
      </w:r>
      <w:r>
        <w:rPr>
          <w:spacing w:val="-17"/>
          <w:sz w:val="24"/>
        </w:rPr>
        <w:t> </w:t>
      </w:r>
      <w:r>
        <w:rPr>
          <w:sz w:val="24"/>
        </w:rPr>
        <w:t>needed</w:t>
      </w:r>
      <w:r>
        <w:rPr>
          <w:spacing w:val="-16"/>
          <w:sz w:val="24"/>
        </w:rPr>
        <w:t> </w:t>
      </w:r>
      <w:r>
        <w:rPr>
          <w:sz w:val="24"/>
        </w:rPr>
        <w:t>to</w:t>
      </w:r>
      <w:r>
        <w:rPr>
          <w:spacing w:val="-14"/>
          <w:sz w:val="24"/>
        </w:rPr>
        <w:t> </w:t>
      </w:r>
      <w:r>
        <w:rPr>
          <w:sz w:val="24"/>
        </w:rPr>
        <w:t>justify</w:t>
      </w:r>
      <w:r>
        <w:rPr>
          <w:spacing w:val="-16"/>
          <w:sz w:val="24"/>
        </w:rPr>
        <w:t> </w:t>
      </w:r>
      <w:r>
        <w:rPr>
          <w:sz w:val="24"/>
        </w:rPr>
        <w:t>the</w:t>
      </w:r>
      <w:r>
        <w:rPr>
          <w:spacing w:val="-18"/>
          <w:sz w:val="24"/>
        </w:rPr>
        <w:t> </w:t>
      </w:r>
      <w:r>
        <w:rPr>
          <w:sz w:val="24"/>
        </w:rPr>
        <w:t>eligible</w:t>
      </w:r>
      <w:r>
        <w:rPr>
          <w:spacing w:val="-17"/>
          <w:sz w:val="24"/>
        </w:rPr>
        <w:t> </w:t>
      </w:r>
      <w:r>
        <w:rPr>
          <w:sz w:val="24"/>
        </w:rPr>
        <w:t>costs</w:t>
      </w:r>
      <w:r>
        <w:rPr>
          <w:spacing w:val="-17"/>
          <w:sz w:val="24"/>
        </w:rPr>
        <w:t> </w:t>
      </w:r>
      <w:r>
        <w:rPr>
          <w:sz w:val="24"/>
        </w:rPr>
        <w:t>declared</w:t>
      </w:r>
      <w:r>
        <w:rPr>
          <w:spacing w:val="-16"/>
          <w:sz w:val="24"/>
        </w:rPr>
        <w:t> </w:t>
      </w:r>
      <w:r>
        <w:rPr>
          <w:sz w:val="24"/>
        </w:rPr>
        <w:t>or</w:t>
      </w:r>
      <w:r>
        <w:rPr>
          <w:spacing w:val="-18"/>
          <w:sz w:val="24"/>
        </w:rPr>
        <w:t> </w:t>
      </w:r>
      <w:r>
        <w:rPr>
          <w:sz w:val="24"/>
        </w:rPr>
        <w:t>the</w:t>
      </w:r>
      <w:r>
        <w:rPr>
          <w:spacing w:val="-17"/>
          <w:sz w:val="24"/>
        </w:rPr>
        <w:t> </w:t>
      </w:r>
      <w:r>
        <w:rPr>
          <w:sz w:val="24"/>
        </w:rPr>
        <w:t>contribution</w:t>
      </w:r>
      <w:r>
        <w:rPr>
          <w:spacing w:val="-17"/>
          <w:sz w:val="24"/>
        </w:rPr>
        <w:t> </w:t>
      </w:r>
      <w:r>
        <w:rPr>
          <w:sz w:val="24"/>
        </w:rPr>
        <w:t>requested on the basis of unit costs and lump sums (as provided for in Article</w:t>
      </w:r>
      <w:r>
        <w:rPr>
          <w:spacing w:val="-8"/>
          <w:sz w:val="24"/>
        </w:rPr>
        <w:t> </w:t>
      </w:r>
      <w:r>
        <w:rPr>
          <w:sz w:val="24"/>
        </w:rPr>
        <w:t>3.2);</w:t>
      </w:r>
    </w:p>
    <w:p>
      <w:pPr>
        <w:pStyle w:val="ListParagraph"/>
        <w:numPr>
          <w:ilvl w:val="3"/>
          <w:numId w:val="3"/>
        </w:numPr>
        <w:tabs>
          <w:tab w:pos="2025" w:val="left" w:leader="none"/>
        </w:tabs>
        <w:spacing w:line="240" w:lineRule="auto" w:before="0" w:after="0"/>
        <w:ind w:left="2024" w:right="321" w:hanging="360"/>
        <w:jc w:val="left"/>
        <w:rPr>
          <w:sz w:val="24"/>
        </w:rPr>
      </w:pPr>
      <w:r>
        <w:rPr>
          <w:sz w:val="24"/>
        </w:rPr>
        <w:t>information on subcontracting as referred to in Article II.11.1(d)(ii) of the Framework agreement;</w:t>
      </w:r>
    </w:p>
    <w:p>
      <w:pPr>
        <w:pStyle w:val="BodyText"/>
        <w:spacing w:before="2"/>
      </w:pPr>
    </w:p>
    <w:p>
      <w:pPr>
        <w:pStyle w:val="ListParagraph"/>
        <w:numPr>
          <w:ilvl w:val="2"/>
          <w:numId w:val="3"/>
        </w:numPr>
        <w:tabs>
          <w:tab w:pos="1459" w:val="left" w:leader="none"/>
        </w:tabs>
        <w:spacing w:line="240" w:lineRule="auto" w:before="0" w:after="0"/>
        <w:ind w:left="1458" w:right="319" w:hanging="360"/>
        <w:jc w:val="both"/>
        <w:rPr>
          <w:sz w:val="24"/>
        </w:rPr>
      </w:pPr>
      <w:r>
        <w:rPr>
          <w:sz w:val="24"/>
        </w:rPr>
        <w:t>a final financial statement (‘final financial statement’). The final financial statement must include</w:t>
      </w:r>
      <w:r>
        <w:rPr>
          <w:spacing w:val="-10"/>
          <w:sz w:val="24"/>
        </w:rPr>
        <w:t> </w:t>
      </w:r>
      <w:r>
        <w:rPr>
          <w:sz w:val="24"/>
        </w:rPr>
        <w:t>a</w:t>
      </w:r>
      <w:r>
        <w:rPr>
          <w:spacing w:val="-7"/>
          <w:sz w:val="24"/>
        </w:rPr>
        <w:t> </w:t>
      </w:r>
      <w:r>
        <w:rPr>
          <w:sz w:val="24"/>
        </w:rPr>
        <w:t>consolidated</w:t>
      </w:r>
      <w:r>
        <w:rPr>
          <w:spacing w:val="-9"/>
          <w:sz w:val="24"/>
        </w:rPr>
        <w:t> </w:t>
      </w:r>
      <w:r>
        <w:rPr>
          <w:sz w:val="24"/>
        </w:rPr>
        <w:t>statement</w:t>
      </w:r>
      <w:r>
        <w:rPr>
          <w:spacing w:val="-8"/>
          <w:sz w:val="24"/>
        </w:rPr>
        <w:t> </w:t>
      </w:r>
      <w:r>
        <w:rPr>
          <w:sz w:val="24"/>
        </w:rPr>
        <w:t>and</w:t>
      </w:r>
      <w:r>
        <w:rPr>
          <w:spacing w:val="-5"/>
          <w:sz w:val="24"/>
        </w:rPr>
        <w:t> </w:t>
      </w:r>
      <w:r>
        <w:rPr>
          <w:sz w:val="24"/>
        </w:rPr>
        <w:t>a</w:t>
      </w:r>
      <w:r>
        <w:rPr>
          <w:spacing w:val="-10"/>
          <w:sz w:val="24"/>
        </w:rPr>
        <w:t> </w:t>
      </w:r>
      <w:r>
        <w:rPr>
          <w:sz w:val="24"/>
        </w:rPr>
        <w:t>breakdown</w:t>
      </w:r>
      <w:r>
        <w:rPr>
          <w:spacing w:val="-4"/>
          <w:sz w:val="24"/>
        </w:rPr>
        <w:t> </w:t>
      </w:r>
      <w:r>
        <w:rPr>
          <w:sz w:val="24"/>
        </w:rPr>
        <w:t>of</w:t>
      </w:r>
      <w:r>
        <w:rPr>
          <w:spacing w:val="-9"/>
          <w:sz w:val="24"/>
        </w:rPr>
        <w:t> </w:t>
      </w:r>
      <w:r>
        <w:rPr>
          <w:sz w:val="24"/>
        </w:rPr>
        <w:t>the</w:t>
      </w:r>
      <w:r>
        <w:rPr>
          <w:spacing w:val="-6"/>
          <w:sz w:val="24"/>
        </w:rPr>
        <w:t> </w:t>
      </w:r>
      <w:r>
        <w:rPr>
          <w:sz w:val="24"/>
        </w:rPr>
        <w:t>amounts</w:t>
      </w:r>
      <w:r>
        <w:rPr>
          <w:spacing w:val="-8"/>
          <w:sz w:val="24"/>
        </w:rPr>
        <w:t> </w:t>
      </w:r>
      <w:r>
        <w:rPr>
          <w:sz w:val="24"/>
        </w:rPr>
        <w:t>claimed</w:t>
      </w:r>
      <w:r>
        <w:rPr>
          <w:spacing w:val="-9"/>
          <w:sz w:val="24"/>
        </w:rPr>
        <w:t> </w:t>
      </w:r>
      <w:r>
        <w:rPr>
          <w:sz w:val="24"/>
        </w:rPr>
        <w:t>by</w:t>
      </w:r>
      <w:r>
        <w:rPr>
          <w:spacing w:val="-9"/>
          <w:sz w:val="24"/>
        </w:rPr>
        <w:t> </w:t>
      </w:r>
      <w:r>
        <w:rPr>
          <w:sz w:val="24"/>
        </w:rPr>
        <w:t>the</w:t>
      </w:r>
      <w:r>
        <w:rPr>
          <w:spacing w:val="-9"/>
          <w:sz w:val="24"/>
        </w:rPr>
        <w:t> </w:t>
      </w:r>
      <w:r>
        <w:rPr>
          <w:sz w:val="24"/>
        </w:rPr>
        <w:t>partner</w:t>
      </w:r>
      <w:r>
        <w:rPr>
          <w:spacing w:val="-7"/>
          <w:sz w:val="24"/>
        </w:rPr>
        <w:t> </w:t>
      </w:r>
      <w:r>
        <w:rPr>
          <w:sz w:val="24"/>
        </w:rPr>
        <w:t>and its affiliated</w:t>
      </w:r>
      <w:r>
        <w:rPr>
          <w:spacing w:val="-1"/>
          <w:sz w:val="24"/>
        </w:rPr>
        <w:t> </w:t>
      </w:r>
      <w:r>
        <w:rPr>
          <w:sz w:val="24"/>
        </w:rPr>
        <w:t>entities.</w:t>
      </w:r>
    </w:p>
    <w:p>
      <w:pPr>
        <w:pStyle w:val="BodyText"/>
        <w:spacing w:before="5"/>
      </w:pPr>
    </w:p>
    <w:p>
      <w:pPr>
        <w:pStyle w:val="BodyText"/>
        <w:ind w:left="738" w:right="317"/>
        <w:jc w:val="both"/>
      </w:pPr>
      <w:r>
        <w:rPr/>
        <w:t>The final financial statement must be drawn up in accordance with the structure of the estimated budget set out in Annex II of the Specific agreement and in accordance with Annex V of the Framework</w:t>
      </w:r>
      <w:r>
        <w:rPr>
          <w:spacing w:val="-4"/>
        </w:rPr>
        <w:t> </w:t>
      </w:r>
      <w:r>
        <w:rPr/>
        <w:t>agreement</w:t>
      </w:r>
      <w:r>
        <w:rPr>
          <w:spacing w:val="-6"/>
        </w:rPr>
        <w:t> </w:t>
      </w:r>
      <w:r>
        <w:rPr/>
        <w:t>and</w:t>
      </w:r>
      <w:r>
        <w:rPr>
          <w:spacing w:val="-6"/>
        </w:rPr>
        <w:t> </w:t>
      </w:r>
      <w:r>
        <w:rPr/>
        <w:t>detail</w:t>
      </w:r>
      <w:r>
        <w:rPr>
          <w:spacing w:val="-6"/>
        </w:rPr>
        <w:t> </w:t>
      </w:r>
      <w:r>
        <w:rPr/>
        <w:t>the</w:t>
      </w:r>
      <w:r>
        <w:rPr>
          <w:spacing w:val="-7"/>
        </w:rPr>
        <w:t> </w:t>
      </w:r>
      <w:r>
        <w:rPr/>
        <w:t>amounts</w:t>
      </w:r>
      <w:r>
        <w:rPr>
          <w:spacing w:val="-6"/>
        </w:rPr>
        <w:t> </w:t>
      </w:r>
      <w:r>
        <w:rPr/>
        <w:t>for</w:t>
      </w:r>
      <w:r>
        <w:rPr>
          <w:spacing w:val="-5"/>
        </w:rPr>
        <w:t> </w:t>
      </w:r>
      <w:r>
        <w:rPr/>
        <w:t>each</w:t>
      </w:r>
      <w:r>
        <w:rPr>
          <w:spacing w:val="-6"/>
        </w:rPr>
        <w:t> </w:t>
      </w:r>
      <w:r>
        <w:rPr/>
        <w:t>of</w:t>
      </w:r>
      <w:r>
        <w:rPr>
          <w:spacing w:val="-7"/>
        </w:rPr>
        <w:t> </w:t>
      </w:r>
      <w:r>
        <w:rPr/>
        <w:t>the</w:t>
      </w:r>
      <w:r>
        <w:rPr>
          <w:spacing w:val="-5"/>
        </w:rPr>
        <w:t> </w:t>
      </w:r>
      <w:r>
        <w:rPr/>
        <w:t>forms</w:t>
      </w:r>
      <w:r>
        <w:rPr>
          <w:spacing w:val="-6"/>
        </w:rPr>
        <w:t> </w:t>
      </w:r>
      <w:r>
        <w:rPr/>
        <w:t>of</w:t>
      </w:r>
      <w:r>
        <w:rPr>
          <w:spacing w:val="-7"/>
        </w:rPr>
        <w:t> </w:t>
      </w:r>
      <w:r>
        <w:rPr/>
        <w:t>grant</w:t>
      </w:r>
      <w:r>
        <w:rPr>
          <w:spacing w:val="-3"/>
        </w:rPr>
        <w:t> </w:t>
      </w:r>
      <w:r>
        <w:rPr/>
        <w:t>set</w:t>
      </w:r>
      <w:r>
        <w:rPr>
          <w:spacing w:val="-6"/>
        </w:rPr>
        <w:t> </w:t>
      </w:r>
      <w:r>
        <w:rPr/>
        <w:t>out</w:t>
      </w:r>
      <w:r>
        <w:rPr>
          <w:spacing w:val="-6"/>
        </w:rPr>
        <w:t> </w:t>
      </w:r>
      <w:r>
        <w:rPr/>
        <w:t>in</w:t>
      </w:r>
      <w:r>
        <w:rPr>
          <w:spacing w:val="-5"/>
        </w:rPr>
        <w:t> </w:t>
      </w:r>
      <w:r>
        <w:rPr/>
        <w:t>Article</w:t>
      </w:r>
      <w:r>
        <w:rPr>
          <w:spacing w:val="-7"/>
        </w:rPr>
        <w:t> </w:t>
      </w:r>
      <w:r>
        <w:rPr/>
        <w:t>3.2</w:t>
      </w:r>
      <w:r>
        <w:rPr>
          <w:spacing w:val="-6"/>
        </w:rPr>
        <w:t> </w:t>
      </w:r>
      <w:r>
        <w:rPr/>
        <w:t>for the sole reporting</w:t>
      </w:r>
      <w:r>
        <w:rPr>
          <w:spacing w:val="-3"/>
        </w:rPr>
        <w:t> </w:t>
      </w:r>
      <w:r>
        <w:rPr/>
        <w:t>period;</w:t>
      </w:r>
    </w:p>
    <w:p>
      <w:pPr>
        <w:pStyle w:val="BodyText"/>
        <w:spacing w:before="5"/>
      </w:pPr>
    </w:p>
    <w:p>
      <w:pPr>
        <w:pStyle w:val="ListParagraph"/>
        <w:numPr>
          <w:ilvl w:val="2"/>
          <w:numId w:val="3"/>
        </w:numPr>
        <w:tabs>
          <w:tab w:pos="1459" w:val="left" w:leader="none"/>
        </w:tabs>
        <w:spacing w:line="240" w:lineRule="auto" w:before="0" w:after="0"/>
        <w:ind w:left="1458" w:right="0" w:hanging="361"/>
        <w:jc w:val="left"/>
        <w:rPr>
          <w:sz w:val="24"/>
        </w:rPr>
      </w:pPr>
      <w:r>
        <w:rPr>
          <w:sz w:val="24"/>
        </w:rPr>
        <w:t>a summary financial statement (‘summary financial</w:t>
      </w:r>
      <w:r>
        <w:rPr>
          <w:spacing w:val="-3"/>
          <w:sz w:val="24"/>
        </w:rPr>
        <w:t> </w:t>
      </w:r>
      <w:r>
        <w:rPr>
          <w:sz w:val="24"/>
        </w:rPr>
        <w:t>statement’).</w:t>
      </w:r>
    </w:p>
    <w:p>
      <w:pPr>
        <w:spacing w:after="0" w:line="240" w:lineRule="auto"/>
        <w:jc w:val="left"/>
        <w:rPr>
          <w:sz w:val="24"/>
        </w:rPr>
        <w:sectPr>
          <w:pgSz w:w="12240" w:h="15840"/>
          <w:pgMar w:header="726" w:footer="687" w:top="920" w:bottom="960" w:left="680" w:right="940"/>
        </w:sectPr>
      </w:pPr>
    </w:p>
    <w:p>
      <w:pPr>
        <w:pStyle w:val="BodyText"/>
        <w:rPr>
          <w:sz w:val="20"/>
        </w:rPr>
      </w:pPr>
    </w:p>
    <w:p>
      <w:pPr>
        <w:pStyle w:val="BodyText"/>
        <w:spacing w:before="8"/>
        <w:rPr>
          <w:sz w:val="22"/>
        </w:rPr>
      </w:pPr>
    </w:p>
    <w:p>
      <w:pPr>
        <w:pStyle w:val="BodyText"/>
        <w:ind w:left="1304" w:right="317"/>
        <w:jc w:val="both"/>
      </w:pPr>
      <w:r>
        <w:rPr/>
        <w:t>This statement must include a consolidated financial statement and a breakdown of the amounts declared or requested by the partner and its affiliated entities, aggregating the financial statements already submitted previously and indicating the receipts referred to in Article II.25.3 of the Framework agreement for the partner and its affiliated entities.</w:t>
      </w:r>
    </w:p>
    <w:p>
      <w:pPr>
        <w:pStyle w:val="BodyText"/>
        <w:spacing w:before="1"/>
        <w:ind w:left="1278" w:right="315"/>
        <w:jc w:val="both"/>
      </w:pPr>
      <w:r>
        <w:rPr/>
        <w:t>The summary financial statement must be drawn up in accordance with Annex V of the Framework agreement;</w:t>
      </w:r>
    </w:p>
    <w:p>
      <w:pPr>
        <w:pStyle w:val="BodyText"/>
        <w:spacing w:before="2"/>
      </w:pPr>
    </w:p>
    <w:p>
      <w:pPr>
        <w:pStyle w:val="ListParagraph"/>
        <w:numPr>
          <w:ilvl w:val="2"/>
          <w:numId w:val="3"/>
        </w:numPr>
        <w:tabs>
          <w:tab w:pos="1459" w:val="left" w:leader="none"/>
        </w:tabs>
        <w:spacing w:line="240" w:lineRule="auto" w:before="0" w:after="0"/>
        <w:ind w:left="1458" w:right="319" w:hanging="360"/>
        <w:jc w:val="left"/>
        <w:rPr>
          <w:sz w:val="24"/>
        </w:rPr>
      </w:pPr>
      <w:r>
        <w:rPr>
          <w:sz w:val="24"/>
        </w:rPr>
        <w:t>a</w:t>
      </w:r>
      <w:r>
        <w:rPr>
          <w:spacing w:val="-8"/>
          <w:sz w:val="24"/>
        </w:rPr>
        <w:t> </w:t>
      </w:r>
      <w:r>
        <w:rPr>
          <w:sz w:val="24"/>
        </w:rPr>
        <w:t>certificate</w:t>
      </w:r>
      <w:r>
        <w:rPr>
          <w:spacing w:val="-5"/>
          <w:sz w:val="24"/>
        </w:rPr>
        <w:t> </w:t>
      </w:r>
      <w:r>
        <w:rPr>
          <w:sz w:val="24"/>
        </w:rPr>
        <w:t>on</w:t>
      </w:r>
      <w:r>
        <w:rPr>
          <w:spacing w:val="-7"/>
          <w:sz w:val="24"/>
        </w:rPr>
        <w:t> </w:t>
      </w:r>
      <w:r>
        <w:rPr>
          <w:sz w:val="24"/>
        </w:rPr>
        <w:t>the</w:t>
      </w:r>
      <w:r>
        <w:rPr>
          <w:spacing w:val="-5"/>
          <w:sz w:val="24"/>
        </w:rPr>
        <w:t> </w:t>
      </w:r>
      <w:r>
        <w:rPr>
          <w:sz w:val="24"/>
        </w:rPr>
        <w:t>financial</w:t>
      </w:r>
      <w:r>
        <w:rPr>
          <w:spacing w:val="-6"/>
          <w:sz w:val="24"/>
        </w:rPr>
        <w:t> </w:t>
      </w:r>
      <w:r>
        <w:rPr>
          <w:sz w:val="24"/>
        </w:rPr>
        <w:t>statements</w:t>
      </w:r>
      <w:r>
        <w:rPr>
          <w:spacing w:val="-7"/>
          <w:sz w:val="24"/>
        </w:rPr>
        <w:t> </w:t>
      </w:r>
      <w:r>
        <w:rPr>
          <w:sz w:val="24"/>
        </w:rPr>
        <w:t>and</w:t>
      </w:r>
      <w:r>
        <w:rPr>
          <w:spacing w:val="-4"/>
          <w:sz w:val="24"/>
        </w:rPr>
        <w:t> </w:t>
      </w:r>
      <w:r>
        <w:rPr>
          <w:sz w:val="24"/>
        </w:rPr>
        <w:t>underlying</w:t>
      </w:r>
      <w:r>
        <w:rPr>
          <w:spacing w:val="-6"/>
          <w:sz w:val="24"/>
        </w:rPr>
        <w:t> </w:t>
      </w:r>
      <w:r>
        <w:rPr>
          <w:sz w:val="24"/>
        </w:rPr>
        <w:t>accounts</w:t>
      </w:r>
      <w:r>
        <w:rPr>
          <w:spacing w:val="-5"/>
          <w:sz w:val="24"/>
        </w:rPr>
        <w:t> </w:t>
      </w:r>
      <w:r>
        <w:rPr>
          <w:sz w:val="24"/>
        </w:rPr>
        <w:t>(‘certificate</w:t>
      </w:r>
      <w:r>
        <w:rPr>
          <w:spacing w:val="-7"/>
          <w:sz w:val="24"/>
        </w:rPr>
        <w:t> </w:t>
      </w:r>
      <w:r>
        <w:rPr>
          <w:sz w:val="24"/>
        </w:rPr>
        <w:t>on</w:t>
      </w:r>
      <w:r>
        <w:rPr>
          <w:spacing w:val="-7"/>
          <w:sz w:val="24"/>
        </w:rPr>
        <w:t> </w:t>
      </w:r>
      <w:r>
        <w:rPr>
          <w:sz w:val="24"/>
        </w:rPr>
        <w:t>the</w:t>
      </w:r>
      <w:r>
        <w:rPr>
          <w:spacing w:val="-5"/>
          <w:sz w:val="24"/>
        </w:rPr>
        <w:t> </w:t>
      </w:r>
      <w:r>
        <w:rPr>
          <w:sz w:val="24"/>
        </w:rPr>
        <w:t>financial statements’)</w:t>
      </w:r>
    </w:p>
    <w:p>
      <w:pPr>
        <w:pStyle w:val="BodyText"/>
        <w:spacing w:before="5"/>
      </w:pPr>
    </w:p>
    <w:p>
      <w:pPr>
        <w:pStyle w:val="BodyText"/>
        <w:ind w:left="738" w:right="318"/>
        <w:jc w:val="both"/>
      </w:pPr>
      <w:r>
        <w:rPr/>
        <w:t>This</w:t>
      </w:r>
      <w:r>
        <w:rPr>
          <w:spacing w:val="-11"/>
        </w:rPr>
        <w:t> </w:t>
      </w:r>
      <w:r>
        <w:rPr/>
        <w:t>certificate</w:t>
      </w:r>
      <w:r>
        <w:rPr>
          <w:spacing w:val="-12"/>
        </w:rPr>
        <w:t> </w:t>
      </w:r>
      <w:r>
        <w:rPr/>
        <w:t>must</w:t>
      </w:r>
      <w:r>
        <w:rPr>
          <w:spacing w:val="-10"/>
        </w:rPr>
        <w:t> </w:t>
      </w:r>
      <w:r>
        <w:rPr/>
        <w:t>be</w:t>
      </w:r>
      <w:r>
        <w:rPr>
          <w:spacing w:val="-12"/>
        </w:rPr>
        <w:t> </w:t>
      </w:r>
      <w:r>
        <w:rPr/>
        <w:t>produced</w:t>
      </w:r>
      <w:r>
        <w:rPr>
          <w:spacing w:val="-10"/>
        </w:rPr>
        <w:t> </w:t>
      </w:r>
      <w:r>
        <w:rPr/>
        <w:t>by</w:t>
      </w:r>
      <w:r>
        <w:rPr>
          <w:spacing w:val="-9"/>
        </w:rPr>
        <w:t> </w:t>
      </w:r>
      <w:r>
        <w:rPr/>
        <w:t>an</w:t>
      </w:r>
      <w:r>
        <w:rPr>
          <w:spacing w:val="-11"/>
        </w:rPr>
        <w:t> </w:t>
      </w:r>
      <w:r>
        <w:rPr/>
        <w:t>approved</w:t>
      </w:r>
      <w:r>
        <w:rPr>
          <w:spacing w:val="-10"/>
        </w:rPr>
        <w:t> </w:t>
      </w:r>
      <w:r>
        <w:rPr/>
        <w:t>auditor</w:t>
      </w:r>
      <w:r>
        <w:rPr>
          <w:spacing w:val="-12"/>
        </w:rPr>
        <w:t> </w:t>
      </w:r>
      <w:r>
        <w:rPr/>
        <w:t>or,</w:t>
      </w:r>
      <w:r>
        <w:rPr>
          <w:spacing w:val="-10"/>
        </w:rPr>
        <w:t> </w:t>
      </w:r>
      <w:r>
        <w:rPr/>
        <w:t>in</w:t>
      </w:r>
      <w:r>
        <w:rPr>
          <w:spacing w:val="-11"/>
        </w:rPr>
        <w:t> </w:t>
      </w:r>
      <w:r>
        <w:rPr/>
        <w:t>case</w:t>
      </w:r>
      <w:r>
        <w:rPr>
          <w:spacing w:val="-11"/>
        </w:rPr>
        <w:t> </w:t>
      </w:r>
      <w:r>
        <w:rPr/>
        <w:t>of</w:t>
      </w:r>
      <w:r>
        <w:rPr>
          <w:spacing w:val="-12"/>
        </w:rPr>
        <w:t> </w:t>
      </w:r>
      <w:r>
        <w:rPr/>
        <w:t>public</w:t>
      </w:r>
      <w:r>
        <w:rPr>
          <w:spacing w:val="-12"/>
        </w:rPr>
        <w:t> </w:t>
      </w:r>
      <w:r>
        <w:rPr/>
        <w:t>bodies,</w:t>
      </w:r>
      <w:r>
        <w:rPr>
          <w:spacing w:val="-10"/>
        </w:rPr>
        <w:t> </w:t>
      </w:r>
      <w:r>
        <w:rPr/>
        <w:t>by</w:t>
      </w:r>
      <w:r>
        <w:rPr>
          <w:spacing w:val="-11"/>
        </w:rPr>
        <w:t> </w:t>
      </w:r>
      <w:r>
        <w:rPr/>
        <w:t>a</w:t>
      </w:r>
      <w:r>
        <w:rPr>
          <w:spacing w:val="-11"/>
        </w:rPr>
        <w:t> </w:t>
      </w:r>
      <w:r>
        <w:rPr/>
        <w:t>competent and independent public officer and drawn up in accordance with Annex VI of the Framework agreement.</w:t>
      </w:r>
    </w:p>
    <w:p>
      <w:pPr>
        <w:pStyle w:val="BodyText"/>
      </w:pPr>
    </w:p>
    <w:p>
      <w:pPr>
        <w:pStyle w:val="BodyText"/>
        <w:ind w:left="738" w:right="316"/>
        <w:jc w:val="both"/>
      </w:pPr>
      <w:r>
        <w:rPr/>
        <w:t>The certificate must certify that the costs declared in the final financial statement by the partner or its affiliated entities for the categories of costs reimbursed in accordance with Article 3.2 are real, accurately recorded and eligible in accordance with the Specific agreement and the Framework agreement.</w:t>
      </w:r>
    </w:p>
    <w:p>
      <w:pPr>
        <w:pStyle w:val="BodyText"/>
      </w:pPr>
    </w:p>
    <w:p>
      <w:pPr>
        <w:pStyle w:val="BodyText"/>
        <w:ind w:left="738" w:right="314"/>
        <w:jc w:val="both"/>
      </w:pPr>
      <w:r>
        <w:rPr/>
        <w:t>In addition, the certificate must certify that all the receipts referred to in Article II.25.3 of the Framework agreement have been declared.</w:t>
      </w:r>
    </w:p>
    <w:p>
      <w:pPr>
        <w:pStyle w:val="BodyText"/>
      </w:pPr>
    </w:p>
    <w:p>
      <w:pPr>
        <w:pStyle w:val="BodyText"/>
        <w:ind w:left="738" w:right="319"/>
        <w:jc w:val="both"/>
      </w:pPr>
      <w:r>
        <w:rPr/>
        <w:t>The partner must certify that the information provided in the request for payment of the balance is full, reliable and true.</w:t>
      </w:r>
    </w:p>
    <w:p>
      <w:pPr>
        <w:pStyle w:val="BodyText"/>
      </w:pPr>
    </w:p>
    <w:p>
      <w:pPr>
        <w:pStyle w:val="BodyText"/>
        <w:ind w:left="738" w:right="318"/>
        <w:jc w:val="both"/>
      </w:pPr>
      <w:r>
        <w:rPr/>
        <w:t>The partner must also certify that the costs incurred can be considered eligible in accordance with the Framework agreement and the Specific agreement and that the request for payment is substantiated by adequate supporting documents that can be produced in the context of the checks or audits described in Article II.27 of the Framework agreement.</w:t>
      </w:r>
    </w:p>
    <w:p>
      <w:pPr>
        <w:pStyle w:val="BodyText"/>
      </w:pPr>
    </w:p>
    <w:p>
      <w:pPr>
        <w:pStyle w:val="BodyText"/>
        <w:ind w:left="738" w:right="318"/>
        <w:jc w:val="both"/>
      </w:pPr>
      <w:r>
        <w:rPr/>
        <w:t>In</w:t>
      </w:r>
      <w:r>
        <w:rPr>
          <w:spacing w:val="-14"/>
        </w:rPr>
        <w:t> </w:t>
      </w:r>
      <w:r>
        <w:rPr/>
        <w:t>addition,</w:t>
      </w:r>
      <w:r>
        <w:rPr>
          <w:spacing w:val="-17"/>
        </w:rPr>
        <w:t> </w:t>
      </w:r>
      <w:r>
        <w:rPr/>
        <w:t>the</w:t>
      </w:r>
      <w:r>
        <w:rPr>
          <w:spacing w:val="-17"/>
        </w:rPr>
        <w:t> </w:t>
      </w:r>
      <w:r>
        <w:rPr/>
        <w:t>partner</w:t>
      </w:r>
      <w:r>
        <w:rPr>
          <w:spacing w:val="-17"/>
        </w:rPr>
        <w:t> </w:t>
      </w:r>
      <w:r>
        <w:rPr/>
        <w:t>must</w:t>
      </w:r>
      <w:r>
        <w:rPr>
          <w:spacing w:val="-16"/>
        </w:rPr>
        <w:t> </w:t>
      </w:r>
      <w:r>
        <w:rPr/>
        <w:t>certify</w:t>
      </w:r>
      <w:r>
        <w:rPr>
          <w:spacing w:val="-16"/>
        </w:rPr>
        <w:t> </w:t>
      </w:r>
      <w:r>
        <w:rPr/>
        <w:t>that</w:t>
      </w:r>
      <w:r>
        <w:rPr>
          <w:spacing w:val="-16"/>
        </w:rPr>
        <w:t> </w:t>
      </w:r>
      <w:r>
        <w:rPr/>
        <w:t>all</w:t>
      </w:r>
      <w:r>
        <w:rPr>
          <w:spacing w:val="-15"/>
        </w:rPr>
        <w:t> </w:t>
      </w:r>
      <w:r>
        <w:rPr/>
        <w:t>the</w:t>
      </w:r>
      <w:r>
        <w:rPr>
          <w:spacing w:val="-18"/>
        </w:rPr>
        <w:t> </w:t>
      </w:r>
      <w:r>
        <w:rPr/>
        <w:t>receipts</w:t>
      </w:r>
      <w:r>
        <w:rPr>
          <w:spacing w:val="-16"/>
        </w:rPr>
        <w:t> </w:t>
      </w:r>
      <w:r>
        <w:rPr/>
        <w:t>referred</w:t>
      </w:r>
      <w:r>
        <w:rPr>
          <w:spacing w:val="-17"/>
        </w:rPr>
        <w:t> </w:t>
      </w:r>
      <w:r>
        <w:rPr/>
        <w:t>to</w:t>
      </w:r>
      <w:r>
        <w:rPr>
          <w:spacing w:val="-16"/>
        </w:rPr>
        <w:t> </w:t>
      </w:r>
      <w:r>
        <w:rPr/>
        <w:t>in</w:t>
      </w:r>
      <w:r>
        <w:rPr>
          <w:spacing w:val="-17"/>
        </w:rPr>
        <w:t> </w:t>
      </w:r>
      <w:r>
        <w:rPr/>
        <w:t>Article</w:t>
      </w:r>
      <w:r>
        <w:rPr>
          <w:spacing w:val="-14"/>
        </w:rPr>
        <w:t> </w:t>
      </w:r>
      <w:r>
        <w:rPr/>
        <w:t>II.25.3</w:t>
      </w:r>
      <w:r>
        <w:rPr>
          <w:spacing w:val="-16"/>
        </w:rPr>
        <w:t> </w:t>
      </w:r>
      <w:r>
        <w:rPr/>
        <w:t>of</w:t>
      </w:r>
      <w:r>
        <w:rPr>
          <w:spacing w:val="-17"/>
        </w:rPr>
        <w:t> </w:t>
      </w:r>
      <w:r>
        <w:rPr/>
        <w:t>the</w:t>
      </w:r>
      <w:r>
        <w:rPr>
          <w:spacing w:val="-18"/>
        </w:rPr>
        <w:t> </w:t>
      </w:r>
      <w:r>
        <w:rPr/>
        <w:t>Framework agreement have been</w:t>
      </w:r>
      <w:r>
        <w:rPr>
          <w:spacing w:val="-2"/>
        </w:rPr>
        <w:t> </w:t>
      </w:r>
      <w:r>
        <w:rPr/>
        <w:t>declared.</w:t>
      </w:r>
    </w:p>
    <w:p>
      <w:pPr>
        <w:pStyle w:val="BodyText"/>
        <w:rPr>
          <w:sz w:val="21"/>
        </w:rPr>
      </w:pPr>
    </w:p>
    <w:p>
      <w:pPr>
        <w:pStyle w:val="Heading1"/>
        <w:numPr>
          <w:ilvl w:val="1"/>
          <w:numId w:val="3"/>
        </w:numPr>
        <w:tabs>
          <w:tab w:pos="1159" w:val="left" w:leader="none"/>
        </w:tabs>
        <w:spacing w:line="240" w:lineRule="auto" w:before="0" w:after="0"/>
        <w:ind w:left="1158" w:right="0" w:hanging="421"/>
        <w:jc w:val="left"/>
      </w:pPr>
      <w:r>
        <w:rPr/>
        <w:t>Information on cumulative expenditure</w:t>
      </w:r>
      <w:r>
        <w:rPr>
          <w:spacing w:val="-5"/>
        </w:rPr>
        <w:t> </w:t>
      </w:r>
      <w:r>
        <w:rPr/>
        <w:t>incurred</w:t>
      </w:r>
    </w:p>
    <w:p>
      <w:pPr>
        <w:pStyle w:val="BodyText"/>
        <w:spacing w:before="1"/>
        <w:rPr>
          <w:b/>
          <w:sz w:val="29"/>
        </w:rPr>
      </w:pPr>
    </w:p>
    <w:p>
      <w:pPr>
        <w:pStyle w:val="BodyText"/>
        <w:ind w:left="738"/>
        <w:jc w:val="both"/>
      </w:pPr>
      <w:r>
        <w:rPr/>
        <w:t>Not applicable</w:t>
      </w:r>
    </w:p>
    <w:p>
      <w:pPr>
        <w:pStyle w:val="BodyText"/>
        <w:rPr>
          <w:sz w:val="21"/>
        </w:rPr>
      </w:pPr>
    </w:p>
    <w:p>
      <w:pPr>
        <w:pStyle w:val="Heading1"/>
        <w:numPr>
          <w:ilvl w:val="1"/>
          <w:numId w:val="3"/>
        </w:numPr>
        <w:tabs>
          <w:tab w:pos="1286" w:val="left" w:leader="none"/>
          <w:tab w:pos="2677" w:val="left" w:leader="none"/>
          <w:tab w:pos="3250" w:val="left" w:leader="none"/>
          <w:tab w:pos="4491" w:val="left" w:leader="none"/>
          <w:tab w:pos="5067" w:val="left" w:leader="none"/>
          <w:tab w:pos="6344" w:val="left" w:leader="none"/>
          <w:tab w:pos="7013" w:val="left" w:leader="none"/>
          <w:tab w:pos="8307" w:val="left" w:leader="none"/>
          <w:tab w:pos="9835" w:val="left" w:leader="none"/>
        </w:tabs>
        <w:spacing w:line="240" w:lineRule="auto" w:before="0" w:after="0"/>
        <w:ind w:left="738" w:right="321" w:firstLine="0"/>
        <w:jc w:val="left"/>
      </w:pPr>
      <w:r>
        <w:rPr>
          <w:spacing w:val="3"/>
        </w:rPr>
        <w:t>Currency</w:t>
        <w:tab/>
        <w:t>for</w:t>
        <w:tab/>
        <w:t>requests</w:t>
        <w:tab/>
        <w:t>for</w:t>
        <w:tab/>
        <w:t>payment</w:t>
        <w:tab/>
        <w:t>and</w:t>
        <w:tab/>
        <w:t>financial</w:t>
        <w:tab/>
        <w:t>statements</w:t>
        <w:tab/>
      </w:r>
      <w:r>
        <w:rPr>
          <w:spacing w:val="-4"/>
        </w:rPr>
        <w:t>and </w:t>
      </w:r>
      <w:r>
        <w:rPr>
          <w:spacing w:val="3"/>
        </w:rPr>
        <w:t>conversion </w:t>
      </w:r>
      <w:r>
        <w:rPr>
          <w:spacing w:val="2"/>
        </w:rPr>
        <w:t>into</w:t>
      </w:r>
      <w:r>
        <w:rPr>
          <w:spacing w:val="16"/>
        </w:rPr>
        <w:t> </w:t>
      </w:r>
      <w:r>
        <w:rPr>
          <w:spacing w:val="2"/>
        </w:rPr>
        <w:t>euro</w:t>
      </w:r>
    </w:p>
    <w:p>
      <w:pPr>
        <w:pStyle w:val="BodyText"/>
        <w:rPr>
          <w:b/>
          <w:sz w:val="29"/>
        </w:rPr>
      </w:pPr>
    </w:p>
    <w:p>
      <w:pPr>
        <w:pStyle w:val="BodyText"/>
        <w:ind w:left="738"/>
        <w:jc w:val="both"/>
      </w:pPr>
      <w:r>
        <w:rPr/>
        <w:t>Requests for payment and financial statements must be drafted in euros.</w:t>
      </w:r>
    </w:p>
    <w:p>
      <w:pPr>
        <w:pStyle w:val="BodyText"/>
        <w:spacing w:before="1"/>
        <w:rPr>
          <w:sz w:val="21"/>
        </w:rPr>
      </w:pPr>
    </w:p>
    <w:p>
      <w:pPr>
        <w:spacing w:line="276" w:lineRule="auto" w:before="0"/>
        <w:ind w:left="738" w:right="315" w:firstLine="0"/>
        <w:jc w:val="both"/>
        <w:rPr>
          <w:sz w:val="23"/>
        </w:rPr>
      </w:pPr>
      <w:r>
        <w:rPr>
          <w:sz w:val="23"/>
        </w:rPr>
        <w:t>The partner and affiliated entities with general accounts in a currency other than the euro must convert costs incurred in another currency into euros at the average of the daily exchange rates published in the C series of the </w:t>
      </w:r>
      <w:r>
        <w:rPr>
          <w:i/>
          <w:sz w:val="23"/>
        </w:rPr>
        <w:t>Official Journal of the European Union </w:t>
      </w:r>
      <w:r>
        <w:rPr>
          <w:sz w:val="23"/>
        </w:rPr>
        <w:t>(available at</w:t>
      </w:r>
    </w:p>
    <w:p>
      <w:pPr>
        <w:spacing w:after="0" w:line="276" w:lineRule="auto"/>
        <w:jc w:val="both"/>
        <w:rPr>
          <w:sz w:val="23"/>
        </w:rPr>
        <w:sectPr>
          <w:pgSz w:w="12240" w:h="15840"/>
          <w:pgMar w:header="726" w:footer="687" w:top="920" w:bottom="960" w:left="680" w:right="940"/>
        </w:sectPr>
      </w:pPr>
    </w:p>
    <w:p>
      <w:pPr>
        <w:pStyle w:val="BodyText"/>
        <w:rPr>
          <w:sz w:val="20"/>
        </w:rPr>
      </w:pPr>
    </w:p>
    <w:p>
      <w:pPr>
        <w:pStyle w:val="BodyText"/>
        <w:spacing w:before="8"/>
        <w:rPr>
          <w:sz w:val="22"/>
        </w:rPr>
      </w:pPr>
    </w:p>
    <w:p>
      <w:pPr>
        <w:spacing w:line="276" w:lineRule="auto" w:before="0"/>
        <w:ind w:left="738" w:right="316" w:firstLine="0"/>
        <w:jc w:val="both"/>
        <w:rPr>
          <w:sz w:val="23"/>
        </w:rPr>
      </w:pPr>
      <w:hyperlink r:id="rId10">
        <w:r>
          <w:rPr>
            <w:color w:val="0000FF"/>
            <w:sz w:val="23"/>
          </w:rPr>
          <w:t>http://www.ecb.europa.eu/stats/exchange/eurofxref/html/index.en.html</w:t>
        </w:r>
        <w:r>
          <w:rPr>
            <w:sz w:val="23"/>
          </w:rPr>
          <w:t>),</w:t>
        </w:r>
      </w:hyperlink>
      <w:r>
        <w:rPr>
          <w:sz w:val="23"/>
        </w:rPr>
        <w:t> ) as well as on the ReferNet Extranet, determined over the corresponding reporting period.</w:t>
      </w:r>
    </w:p>
    <w:p>
      <w:pPr>
        <w:pStyle w:val="BodyText"/>
        <w:spacing w:line="276" w:lineRule="auto" w:before="201"/>
        <w:ind w:left="738" w:right="318"/>
        <w:jc w:val="both"/>
      </w:pPr>
      <w:r>
        <w:rPr/>
        <w:t>The partner and affiliated entities with general accounts in euros must convert costs incurred in another currency into euros in accordance with their usual accounting practices.</w:t>
      </w:r>
    </w:p>
    <w:p>
      <w:pPr>
        <w:pStyle w:val="BodyText"/>
        <w:spacing w:before="10"/>
        <w:rPr>
          <w:sz w:val="20"/>
        </w:rPr>
      </w:pPr>
    </w:p>
    <w:p>
      <w:pPr>
        <w:pStyle w:val="Heading1"/>
        <w:numPr>
          <w:ilvl w:val="1"/>
          <w:numId w:val="3"/>
        </w:numPr>
        <w:tabs>
          <w:tab w:pos="1250" w:val="left" w:leader="none"/>
        </w:tabs>
        <w:spacing w:line="240" w:lineRule="auto" w:before="0" w:after="0"/>
        <w:ind w:left="738" w:right="322" w:firstLine="0"/>
        <w:jc w:val="left"/>
      </w:pPr>
      <w:r>
        <w:rPr>
          <w:spacing w:val="3"/>
        </w:rPr>
        <w:t>Language of requests </w:t>
      </w:r>
      <w:r>
        <w:rPr>
          <w:spacing w:val="2"/>
        </w:rPr>
        <w:t>for </w:t>
      </w:r>
      <w:r>
        <w:rPr>
          <w:spacing w:val="3"/>
        </w:rPr>
        <w:t>payments, technical reports and financial statements</w:t>
      </w:r>
    </w:p>
    <w:p>
      <w:pPr>
        <w:pStyle w:val="BodyText"/>
        <w:rPr>
          <w:b/>
          <w:sz w:val="29"/>
        </w:rPr>
      </w:pPr>
    </w:p>
    <w:p>
      <w:pPr>
        <w:pStyle w:val="BodyText"/>
        <w:spacing w:before="1"/>
        <w:ind w:left="738"/>
      </w:pPr>
      <w:r>
        <w:rPr/>
        <w:t>All requests for payments, technical reports and financial statements must be submitted in English.</w:t>
      </w:r>
    </w:p>
    <w:p>
      <w:pPr>
        <w:pStyle w:val="BodyText"/>
        <w:spacing w:before="7"/>
      </w:pPr>
    </w:p>
    <w:p>
      <w:pPr>
        <w:pStyle w:val="Heading2"/>
      </w:pPr>
      <w:r>
        <w:rPr/>
        <w:t>ARTICLE 5 — PAYMENTS AND PAYMENT ARRANGEMENTS</w:t>
      </w:r>
    </w:p>
    <w:p>
      <w:pPr>
        <w:pStyle w:val="BodyText"/>
        <w:spacing w:before="11"/>
        <w:rPr>
          <w:b/>
          <w:sz w:val="20"/>
        </w:rPr>
      </w:pPr>
    </w:p>
    <w:p>
      <w:pPr>
        <w:pStyle w:val="ListParagraph"/>
        <w:numPr>
          <w:ilvl w:val="1"/>
          <w:numId w:val="4"/>
        </w:numPr>
        <w:tabs>
          <w:tab w:pos="1159" w:val="left" w:leader="none"/>
        </w:tabs>
        <w:spacing w:line="240" w:lineRule="auto" w:before="0" w:after="0"/>
        <w:ind w:left="1158" w:right="0" w:hanging="421"/>
        <w:jc w:val="left"/>
        <w:rPr>
          <w:b/>
          <w:sz w:val="28"/>
        </w:rPr>
      </w:pPr>
      <w:r>
        <w:rPr>
          <w:b/>
          <w:sz w:val="28"/>
        </w:rPr>
        <w:t>Payments to be</w:t>
      </w:r>
      <w:r>
        <w:rPr>
          <w:b/>
          <w:spacing w:val="-4"/>
          <w:sz w:val="28"/>
        </w:rPr>
        <w:t> </w:t>
      </w:r>
      <w:r>
        <w:rPr>
          <w:b/>
          <w:sz w:val="28"/>
        </w:rPr>
        <w:t>made</w:t>
      </w:r>
    </w:p>
    <w:p>
      <w:pPr>
        <w:pStyle w:val="BodyText"/>
        <w:spacing w:before="1"/>
        <w:rPr>
          <w:b/>
          <w:sz w:val="29"/>
        </w:rPr>
      </w:pPr>
    </w:p>
    <w:p>
      <w:pPr>
        <w:pStyle w:val="BodyText"/>
        <w:ind w:left="738"/>
      </w:pPr>
      <w:r>
        <w:rPr/>
        <w:t>Cedefop must make the following payments to the partner:</w:t>
      </w:r>
    </w:p>
    <w:p>
      <w:pPr>
        <w:pStyle w:val="ListParagraph"/>
        <w:numPr>
          <w:ilvl w:val="0"/>
          <w:numId w:val="5"/>
        </w:numPr>
        <w:tabs>
          <w:tab w:pos="976" w:val="left" w:leader="none"/>
        </w:tabs>
        <w:spacing w:line="276" w:lineRule="auto" w:before="41" w:after="0"/>
        <w:ind w:left="975" w:right="318" w:hanging="238"/>
        <w:jc w:val="left"/>
        <w:rPr>
          <w:sz w:val="24"/>
        </w:rPr>
      </w:pPr>
      <w:r>
        <w:rPr>
          <w:sz w:val="24"/>
        </w:rPr>
        <w:t>one pre-financing payment, on the basis of the request for the pre-financing payment referred to in Article</w:t>
      </w:r>
      <w:r>
        <w:rPr>
          <w:spacing w:val="-2"/>
          <w:sz w:val="24"/>
        </w:rPr>
        <w:t> </w:t>
      </w:r>
      <w:r>
        <w:rPr>
          <w:sz w:val="24"/>
        </w:rPr>
        <w:t>4.2.;</w:t>
      </w:r>
    </w:p>
    <w:p>
      <w:pPr>
        <w:pStyle w:val="ListParagraph"/>
        <w:numPr>
          <w:ilvl w:val="0"/>
          <w:numId w:val="5"/>
        </w:numPr>
        <w:tabs>
          <w:tab w:pos="976" w:val="left" w:leader="none"/>
        </w:tabs>
        <w:spacing w:line="276" w:lineRule="auto" w:before="200" w:after="0"/>
        <w:ind w:left="975" w:right="316" w:hanging="238"/>
        <w:jc w:val="left"/>
        <w:rPr>
          <w:sz w:val="24"/>
        </w:rPr>
      </w:pPr>
      <w:r>
        <w:rPr>
          <w:sz w:val="24"/>
        </w:rPr>
        <w:t>one payment of the balance, on the basis of the request for payment of the balance referred to in Article</w:t>
      </w:r>
      <w:r>
        <w:rPr>
          <w:spacing w:val="-2"/>
          <w:sz w:val="24"/>
        </w:rPr>
        <w:t> </w:t>
      </w:r>
      <w:r>
        <w:rPr>
          <w:sz w:val="24"/>
        </w:rPr>
        <w:t>4.4.</w:t>
      </w:r>
    </w:p>
    <w:p>
      <w:pPr>
        <w:pStyle w:val="BodyText"/>
        <w:spacing w:before="1"/>
        <w:rPr>
          <w:sz w:val="21"/>
        </w:rPr>
      </w:pPr>
    </w:p>
    <w:p>
      <w:pPr>
        <w:pStyle w:val="Heading1"/>
        <w:numPr>
          <w:ilvl w:val="1"/>
          <w:numId w:val="4"/>
        </w:numPr>
        <w:tabs>
          <w:tab w:pos="1159" w:val="left" w:leader="none"/>
        </w:tabs>
        <w:spacing w:line="240" w:lineRule="auto" w:before="0" w:after="0"/>
        <w:ind w:left="1158" w:right="0" w:hanging="421"/>
        <w:jc w:val="left"/>
      </w:pPr>
      <w:r>
        <w:rPr/>
        <w:t>Pre-financing</w:t>
      </w:r>
      <w:r>
        <w:rPr>
          <w:spacing w:val="-1"/>
        </w:rPr>
        <w:t> </w:t>
      </w:r>
      <w:r>
        <w:rPr/>
        <w:t>payment</w:t>
      </w:r>
    </w:p>
    <w:p>
      <w:pPr>
        <w:pStyle w:val="BodyText"/>
        <w:spacing w:before="10"/>
        <w:rPr>
          <w:b/>
          <w:sz w:val="28"/>
        </w:rPr>
      </w:pPr>
    </w:p>
    <w:p>
      <w:pPr>
        <w:pStyle w:val="BodyText"/>
        <w:spacing w:line="276" w:lineRule="auto"/>
        <w:ind w:left="738" w:right="318"/>
        <w:jc w:val="both"/>
      </w:pPr>
      <w:r>
        <w:rPr/>
        <w:t>The aim of the pre-financing is to provide the partner with a float. The pre-financing remains the property</w:t>
      </w:r>
      <w:r>
        <w:rPr>
          <w:spacing w:val="-7"/>
        </w:rPr>
        <w:t> </w:t>
      </w:r>
      <w:r>
        <w:rPr/>
        <w:t>of</w:t>
      </w:r>
      <w:r>
        <w:rPr>
          <w:spacing w:val="-7"/>
        </w:rPr>
        <w:t> </w:t>
      </w:r>
      <w:r>
        <w:rPr/>
        <w:t>Cedefop</w:t>
      </w:r>
      <w:r>
        <w:rPr>
          <w:spacing w:val="-6"/>
        </w:rPr>
        <w:t> </w:t>
      </w:r>
      <w:r>
        <w:rPr/>
        <w:t>until</w:t>
      </w:r>
      <w:r>
        <w:rPr>
          <w:spacing w:val="-3"/>
        </w:rPr>
        <w:t> </w:t>
      </w:r>
      <w:r>
        <w:rPr/>
        <w:t>it</w:t>
      </w:r>
      <w:r>
        <w:rPr>
          <w:spacing w:val="-6"/>
        </w:rPr>
        <w:t> </w:t>
      </w:r>
      <w:r>
        <w:rPr/>
        <w:t>is</w:t>
      </w:r>
      <w:r>
        <w:rPr>
          <w:spacing w:val="-6"/>
        </w:rPr>
        <w:t> </w:t>
      </w:r>
      <w:r>
        <w:rPr/>
        <w:t>cleared</w:t>
      </w:r>
      <w:r>
        <w:rPr>
          <w:spacing w:val="-4"/>
        </w:rPr>
        <w:t> </w:t>
      </w:r>
      <w:r>
        <w:rPr/>
        <w:t>against</w:t>
      </w:r>
      <w:r>
        <w:rPr>
          <w:spacing w:val="-6"/>
        </w:rPr>
        <w:t> </w:t>
      </w:r>
      <w:r>
        <w:rPr/>
        <w:t>interim</w:t>
      </w:r>
      <w:r>
        <w:rPr>
          <w:spacing w:val="-6"/>
        </w:rPr>
        <w:t> </w:t>
      </w:r>
      <w:r>
        <w:rPr/>
        <w:t>payments</w:t>
      </w:r>
      <w:r>
        <w:rPr>
          <w:spacing w:val="-6"/>
        </w:rPr>
        <w:t> </w:t>
      </w:r>
      <w:r>
        <w:rPr/>
        <w:t>or,</w:t>
      </w:r>
      <w:r>
        <w:rPr>
          <w:spacing w:val="-6"/>
        </w:rPr>
        <w:t> </w:t>
      </w:r>
      <w:r>
        <w:rPr/>
        <w:t>if</w:t>
      </w:r>
      <w:r>
        <w:rPr>
          <w:spacing w:val="-7"/>
        </w:rPr>
        <w:t> </w:t>
      </w:r>
      <w:r>
        <w:rPr/>
        <w:t>it</w:t>
      </w:r>
      <w:r>
        <w:rPr>
          <w:spacing w:val="-6"/>
        </w:rPr>
        <w:t> </w:t>
      </w:r>
      <w:r>
        <w:rPr/>
        <w:t>is</w:t>
      </w:r>
      <w:r>
        <w:rPr>
          <w:spacing w:val="-6"/>
        </w:rPr>
        <w:t> </w:t>
      </w:r>
      <w:r>
        <w:rPr/>
        <w:t>not</w:t>
      </w:r>
      <w:r>
        <w:rPr>
          <w:spacing w:val="-6"/>
        </w:rPr>
        <w:t> </w:t>
      </w:r>
      <w:r>
        <w:rPr/>
        <w:t>cleared</w:t>
      </w:r>
      <w:r>
        <w:rPr>
          <w:spacing w:val="-6"/>
        </w:rPr>
        <w:t> </w:t>
      </w:r>
      <w:r>
        <w:rPr/>
        <w:t>against</w:t>
      </w:r>
      <w:r>
        <w:rPr>
          <w:spacing w:val="-6"/>
        </w:rPr>
        <w:t> </w:t>
      </w:r>
      <w:r>
        <w:rPr/>
        <w:t>interim payments, until the payment of the</w:t>
      </w:r>
      <w:r>
        <w:rPr>
          <w:spacing w:val="-4"/>
        </w:rPr>
        <w:t> </w:t>
      </w:r>
      <w:r>
        <w:rPr/>
        <w:t>balance.</w:t>
      </w:r>
    </w:p>
    <w:p>
      <w:pPr>
        <w:pStyle w:val="BodyText"/>
        <w:spacing w:line="276" w:lineRule="auto" w:before="200"/>
        <w:ind w:left="738" w:right="317"/>
        <w:jc w:val="both"/>
      </w:pPr>
      <w:r>
        <w:rPr/>
        <w:t>Cedefop</w:t>
      </w:r>
      <w:r>
        <w:rPr>
          <w:spacing w:val="-9"/>
        </w:rPr>
        <w:t> </w:t>
      </w:r>
      <w:r>
        <w:rPr/>
        <w:t>must</w:t>
      </w:r>
      <w:r>
        <w:rPr>
          <w:spacing w:val="-8"/>
        </w:rPr>
        <w:t> </w:t>
      </w:r>
      <w:r>
        <w:rPr/>
        <w:t>make</w:t>
      </w:r>
      <w:r>
        <w:rPr>
          <w:spacing w:val="-9"/>
        </w:rPr>
        <w:t> </w:t>
      </w:r>
      <w:r>
        <w:rPr/>
        <w:t>the</w:t>
      </w:r>
      <w:r>
        <w:rPr>
          <w:spacing w:val="-10"/>
        </w:rPr>
        <w:t> </w:t>
      </w:r>
      <w:r>
        <w:rPr/>
        <w:t>pre-financing</w:t>
      </w:r>
      <w:r>
        <w:rPr>
          <w:spacing w:val="-8"/>
        </w:rPr>
        <w:t> </w:t>
      </w:r>
      <w:r>
        <w:rPr/>
        <w:t>payment</w:t>
      </w:r>
      <w:r>
        <w:rPr>
          <w:spacing w:val="-8"/>
        </w:rPr>
        <w:t> </w:t>
      </w:r>
      <w:r>
        <w:rPr/>
        <w:t>of</w:t>
      </w:r>
      <w:r>
        <w:rPr>
          <w:spacing w:val="-7"/>
        </w:rPr>
        <w:t> </w:t>
      </w:r>
      <w:r>
        <w:rPr/>
        <w:t>EUR</w:t>
      </w:r>
      <w:r>
        <w:rPr>
          <w:spacing w:val="-7"/>
        </w:rPr>
        <w:t> </w:t>
      </w:r>
      <w:r>
        <w:rPr/>
        <w:t>20175</w:t>
      </w:r>
      <w:r>
        <w:rPr>
          <w:spacing w:val="-9"/>
        </w:rPr>
        <w:t> </w:t>
      </w:r>
      <w:r>
        <w:rPr/>
        <w:t>to</w:t>
      </w:r>
      <w:r>
        <w:rPr>
          <w:spacing w:val="-8"/>
        </w:rPr>
        <w:t> </w:t>
      </w:r>
      <w:r>
        <w:rPr/>
        <w:t>the</w:t>
      </w:r>
      <w:r>
        <w:rPr>
          <w:spacing w:val="-10"/>
        </w:rPr>
        <w:t> </w:t>
      </w:r>
      <w:r>
        <w:rPr/>
        <w:t>partner</w:t>
      </w:r>
      <w:r>
        <w:rPr>
          <w:spacing w:val="-7"/>
        </w:rPr>
        <w:t> </w:t>
      </w:r>
      <w:r>
        <w:rPr/>
        <w:t>within</w:t>
      </w:r>
      <w:r>
        <w:rPr>
          <w:spacing w:val="-8"/>
        </w:rPr>
        <w:t> </w:t>
      </w:r>
      <w:r>
        <w:rPr/>
        <w:t>30</w:t>
      </w:r>
      <w:r>
        <w:rPr>
          <w:spacing w:val="-9"/>
        </w:rPr>
        <w:t> </w:t>
      </w:r>
      <w:r>
        <w:rPr/>
        <w:t>calendar</w:t>
      </w:r>
      <w:r>
        <w:rPr>
          <w:spacing w:val="-6"/>
        </w:rPr>
        <w:t> </w:t>
      </w:r>
      <w:r>
        <w:rPr/>
        <w:t>days from the date of receipt of the request for a pre-financing payment, except if Article II.24.1 of the Framework agreement</w:t>
      </w:r>
      <w:r>
        <w:rPr>
          <w:spacing w:val="-1"/>
        </w:rPr>
        <w:t> </w:t>
      </w:r>
      <w:r>
        <w:rPr/>
        <w:t>applies.</w:t>
      </w:r>
    </w:p>
    <w:p>
      <w:pPr>
        <w:pStyle w:val="BodyText"/>
        <w:spacing w:before="3"/>
        <w:rPr>
          <w:sz w:val="21"/>
        </w:rPr>
      </w:pPr>
    </w:p>
    <w:p>
      <w:pPr>
        <w:pStyle w:val="Heading1"/>
        <w:numPr>
          <w:ilvl w:val="1"/>
          <w:numId w:val="4"/>
        </w:numPr>
        <w:tabs>
          <w:tab w:pos="1159" w:val="left" w:leader="none"/>
        </w:tabs>
        <w:spacing w:line="240" w:lineRule="auto" w:before="0" w:after="0"/>
        <w:ind w:left="1158" w:right="0" w:hanging="421"/>
        <w:jc w:val="left"/>
      </w:pPr>
      <w:r>
        <w:rPr/>
        <w:t>Interim</w:t>
      </w:r>
      <w:r>
        <w:rPr>
          <w:spacing w:val="-3"/>
        </w:rPr>
        <w:t> </w:t>
      </w:r>
      <w:r>
        <w:rPr/>
        <w:t>payment</w:t>
      </w:r>
    </w:p>
    <w:p>
      <w:pPr>
        <w:pStyle w:val="BodyText"/>
        <w:spacing w:before="10"/>
        <w:rPr>
          <w:b/>
          <w:sz w:val="28"/>
        </w:rPr>
      </w:pPr>
    </w:p>
    <w:p>
      <w:pPr>
        <w:pStyle w:val="BodyText"/>
        <w:ind w:left="798"/>
      </w:pPr>
      <w:r>
        <w:rPr/>
        <w:t>Not applicable.</w:t>
      </w:r>
    </w:p>
    <w:p>
      <w:pPr>
        <w:pStyle w:val="BodyText"/>
        <w:spacing w:before="8"/>
      </w:pPr>
    </w:p>
    <w:p>
      <w:pPr>
        <w:pStyle w:val="Heading1"/>
        <w:numPr>
          <w:ilvl w:val="1"/>
          <w:numId w:val="4"/>
        </w:numPr>
        <w:tabs>
          <w:tab w:pos="1159" w:val="left" w:leader="none"/>
        </w:tabs>
        <w:spacing w:line="240" w:lineRule="auto" w:before="0" w:after="0"/>
        <w:ind w:left="1158" w:right="0" w:hanging="421"/>
        <w:jc w:val="left"/>
      </w:pPr>
      <w:r>
        <w:rPr/>
        <w:t>Payment of the</w:t>
      </w:r>
      <w:r>
        <w:rPr>
          <w:spacing w:val="-5"/>
        </w:rPr>
        <w:t> </w:t>
      </w:r>
      <w:r>
        <w:rPr/>
        <w:t>balance</w:t>
      </w:r>
    </w:p>
    <w:p>
      <w:pPr>
        <w:pStyle w:val="BodyText"/>
        <w:spacing w:before="1"/>
        <w:rPr>
          <w:b/>
          <w:sz w:val="29"/>
        </w:rPr>
      </w:pPr>
    </w:p>
    <w:p>
      <w:pPr>
        <w:pStyle w:val="BodyText"/>
        <w:spacing w:line="276" w:lineRule="auto" w:before="1"/>
        <w:ind w:left="738" w:right="319"/>
        <w:jc w:val="both"/>
      </w:pPr>
      <w:r>
        <w:rPr/>
        <w:t>The</w:t>
      </w:r>
      <w:r>
        <w:rPr>
          <w:spacing w:val="-7"/>
        </w:rPr>
        <w:t> </w:t>
      </w:r>
      <w:r>
        <w:rPr/>
        <w:t>payment</w:t>
      </w:r>
      <w:r>
        <w:rPr>
          <w:spacing w:val="-6"/>
        </w:rPr>
        <w:t> </w:t>
      </w:r>
      <w:r>
        <w:rPr/>
        <w:t>of</w:t>
      </w:r>
      <w:r>
        <w:rPr>
          <w:spacing w:val="-6"/>
        </w:rPr>
        <w:t> </w:t>
      </w:r>
      <w:r>
        <w:rPr/>
        <w:t>the</w:t>
      </w:r>
      <w:r>
        <w:rPr>
          <w:spacing w:val="-7"/>
        </w:rPr>
        <w:t> </w:t>
      </w:r>
      <w:r>
        <w:rPr/>
        <w:t>balance</w:t>
      </w:r>
      <w:r>
        <w:rPr>
          <w:spacing w:val="-7"/>
        </w:rPr>
        <w:t> </w:t>
      </w:r>
      <w:r>
        <w:rPr/>
        <w:t>reimburses</w:t>
      </w:r>
      <w:r>
        <w:rPr>
          <w:spacing w:val="-5"/>
        </w:rPr>
        <w:t> </w:t>
      </w:r>
      <w:r>
        <w:rPr/>
        <w:t>or</w:t>
      </w:r>
      <w:r>
        <w:rPr>
          <w:spacing w:val="-7"/>
        </w:rPr>
        <w:t> </w:t>
      </w:r>
      <w:r>
        <w:rPr/>
        <w:t>covers</w:t>
      </w:r>
      <w:r>
        <w:rPr>
          <w:spacing w:val="-5"/>
        </w:rPr>
        <w:t> </w:t>
      </w:r>
      <w:r>
        <w:rPr/>
        <w:t>the</w:t>
      </w:r>
      <w:r>
        <w:rPr>
          <w:spacing w:val="-7"/>
        </w:rPr>
        <w:t> </w:t>
      </w:r>
      <w:r>
        <w:rPr/>
        <w:t>remaining</w:t>
      </w:r>
      <w:r>
        <w:rPr>
          <w:spacing w:val="-6"/>
        </w:rPr>
        <w:t> </w:t>
      </w:r>
      <w:r>
        <w:rPr/>
        <w:t>part</w:t>
      </w:r>
      <w:r>
        <w:rPr>
          <w:spacing w:val="-5"/>
        </w:rPr>
        <w:t> </w:t>
      </w:r>
      <w:r>
        <w:rPr/>
        <w:t>of</w:t>
      </w:r>
      <w:r>
        <w:rPr>
          <w:spacing w:val="-7"/>
        </w:rPr>
        <w:t> </w:t>
      </w:r>
      <w:r>
        <w:rPr/>
        <w:t>the</w:t>
      </w:r>
      <w:r>
        <w:rPr>
          <w:spacing w:val="-5"/>
        </w:rPr>
        <w:t> </w:t>
      </w:r>
      <w:r>
        <w:rPr/>
        <w:t>eligible</w:t>
      </w:r>
      <w:r>
        <w:rPr>
          <w:spacing w:val="-6"/>
        </w:rPr>
        <w:t> </w:t>
      </w:r>
      <w:r>
        <w:rPr/>
        <w:t>costs</w:t>
      </w:r>
      <w:r>
        <w:rPr>
          <w:spacing w:val="-6"/>
        </w:rPr>
        <w:t> </w:t>
      </w:r>
      <w:r>
        <w:rPr/>
        <w:t>incurred</w:t>
      </w:r>
      <w:r>
        <w:rPr>
          <w:spacing w:val="-5"/>
        </w:rPr>
        <w:t> </w:t>
      </w:r>
      <w:r>
        <w:rPr/>
        <w:t>by the partner for the implementation of the</w:t>
      </w:r>
      <w:r>
        <w:rPr>
          <w:spacing w:val="-5"/>
        </w:rPr>
        <w:t> </w:t>
      </w:r>
      <w:r>
        <w:rPr/>
        <w:t>action.</w:t>
      </w:r>
    </w:p>
    <w:p>
      <w:pPr>
        <w:spacing w:after="0" w:line="276" w:lineRule="auto"/>
        <w:jc w:val="both"/>
        <w:sectPr>
          <w:pgSz w:w="12240" w:h="15840"/>
          <w:pgMar w:header="726" w:footer="687" w:top="920" w:bottom="960" w:left="680" w:right="940"/>
        </w:sectPr>
      </w:pPr>
    </w:p>
    <w:p>
      <w:pPr>
        <w:pStyle w:val="BodyText"/>
        <w:rPr>
          <w:sz w:val="20"/>
        </w:rPr>
      </w:pPr>
    </w:p>
    <w:p>
      <w:pPr>
        <w:pStyle w:val="BodyText"/>
        <w:spacing w:before="8"/>
        <w:rPr>
          <w:sz w:val="22"/>
        </w:rPr>
      </w:pPr>
    </w:p>
    <w:p>
      <w:pPr>
        <w:pStyle w:val="BodyText"/>
        <w:spacing w:line="276" w:lineRule="auto"/>
        <w:ind w:left="738" w:right="317"/>
        <w:jc w:val="both"/>
      </w:pPr>
      <w:r>
        <w:rPr/>
        <w:t>If the total amount of earlier payments is greater than the final amount of the grant determined in accordance with Article II.25 of the Framework agreement, the payment of the balance takes the form of a recovery as provided for by Article II.26 of the Framework agreement.</w:t>
      </w:r>
    </w:p>
    <w:p>
      <w:pPr>
        <w:pStyle w:val="BodyText"/>
        <w:spacing w:line="276" w:lineRule="auto" w:before="200"/>
        <w:ind w:left="738" w:right="318"/>
        <w:jc w:val="both"/>
      </w:pPr>
      <w:r>
        <w:rPr/>
        <w:t>If the total amount of earlier payments is lower than the final amount of the grant determined in accordance</w:t>
      </w:r>
      <w:r>
        <w:rPr>
          <w:spacing w:val="-8"/>
        </w:rPr>
        <w:t> </w:t>
      </w:r>
      <w:r>
        <w:rPr/>
        <w:t>with</w:t>
      </w:r>
      <w:r>
        <w:rPr>
          <w:spacing w:val="-7"/>
        </w:rPr>
        <w:t> </w:t>
      </w:r>
      <w:r>
        <w:rPr/>
        <w:t>Article</w:t>
      </w:r>
      <w:r>
        <w:rPr>
          <w:spacing w:val="-6"/>
        </w:rPr>
        <w:t> </w:t>
      </w:r>
      <w:r>
        <w:rPr/>
        <w:t>II.25</w:t>
      </w:r>
      <w:r>
        <w:rPr>
          <w:spacing w:val="-7"/>
        </w:rPr>
        <w:t> </w:t>
      </w:r>
      <w:r>
        <w:rPr/>
        <w:t>of</w:t>
      </w:r>
      <w:r>
        <w:rPr>
          <w:spacing w:val="-7"/>
        </w:rPr>
        <w:t> </w:t>
      </w:r>
      <w:r>
        <w:rPr/>
        <w:t>the</w:t>
      </w:r>
      <w:r>
        <w:rPr>
          <w:spacing w:val="-6"/>
        </w:rPr>
        <w:t> </w:t>
      </w:r>
      <w:r>
        <w:rPr/>
        <w:t>Framework</w:t>
      </w:r>
      <w:r>
        <w:rPr>
          <w:spacing w:val="-7"/>
        </w:rPr>
        <w:t> </w:t>
      </w:r>
      <w:r>
        <w:rPr/>
        <w:t>agreement,</w:t>
      </w:r>
      <w:r>
        <w:rPr>
          <w:spacing w:val="-7"/>
        </w:rPr>
        <w:t> </w:t>
      </w:r>
      <w:r>
        <w:rPr/>
        <w:t>Cedefop</w:t>
      </w:r>
      <w:r>
        <w:rPr>
          <w:spacing w:val="-6"/>
        </w:rPr>
        <w:t> </w:t>
      </w:r>
      <w:r>
        <w:rPr/>
        <w:t>must</w:t>
      </w:r>
      <w:r>
        <w:rPr>
          <w:spacing w:val="-7"/>
        </w:rPr>
        <w:t> </w:t>
      </w:r>
      <w:r>
        <w:rPr/>
        <w:t>pay</w:t>
      </w:r>
      <w:r>
        <w:rPr>
          <w:spacing w:val="-7"/>
        </w:rPr>
        <w:t> </w:t>
      </w:r>
      <w:r>
        <w:rPr/>
        <w:t>the</w:t>
      </w:r>
      <w:r>
        <w:rPr>
          <w:spacing w:val="-7"/>
        </w:rPr>
        <w:t> </w:t>
      </w:r>
      <w:r>
        <w:rPr/>
        <w:t>balance</w:t>
      </w:r>
      <w:r>
        <w:rPr>
          <w:spacing w:val="-8"/>
        </w:rPr>
        <w:t> </w:t>
      </w:r>
      <w:r>
        <w:rPr/>
        <w:t>within</w:t>
      </w:r>
      <w:r>
        <w:rPr>
          <w:spacing w:val="-7"/>
        </w:rPr>
        <w:t> </w:t>
      </w:r>
      <w:r>
        <w:rPr/>
        <w:t>60 calendar</w:t>
      </w:r>
      <w:r>
        <w:rPr>
          <w:spacing w:val="-10"/>
        </w:rPr>
        <w:t> </w:t>
      </w:r>
      <w:r>
        <w:rPr/>
        <w:t>days</w:t>
      </w:r>
      <w:r>
        <w:rPr>
          <w:spacing w:val="-10"/>
        </w:rPr>
        <w:t> </w:t>
      </w:r>
      <w:r>
        <w:rPr/>
        <w:t>from</w:t>
      </w:r>
      <w:r>
        <w:rPr>
          <w:spacing w:val="-9"/>
        </w:rPr>
        <w:t> </w:t>
      </w:r>
      <w:r>
        <w:rPr/>
        <w:t>when</w:t>
      </w:r>
      <w:r>
        <w:rPr>
          <w:spacing w:val="-7"/>
        </w:rPr>
        <w:t> </w:t>
      </w:r>
      <w:r>
        <w:rPr/>
        <w:t>it</w:t>
      </w:r>
      <w:r>
        <w:rPr>
          <w:spacing w:val="-9"/>
        </w:rPr>
        <w:t> </w:t>
      </w:r>
      <w:r>
        <w:rPr/>
        <w:t>receives</w:t>
      </w:r>
      <w:r>
        <w:rPr>
          <w:spacing w:val="-9"/>
        </w:rPr>
        <w:t> </w:t>
      </w:r>
      <w:r>
        <w:rPr/>
        <w:t>the</w:t>
      </w:r>
      <w:r>
        <w:rPr>
          <w:spacing w:val="-11"/>
        </w:rPr>
        <w:t> </w:t>
      </w:r>
      <w:r>
        <w:rPr/>
        <w:t>documents</w:t>
      </w:r>
      <w:r>
        <w:rPr>
          <w:spacing w:val="-7"/>
        </w:rPr>
        <w:t> </w:t>
      </w:r>
      <w:r>
        <w:rPr/>
        <w:t>referred</w:t>
      </w:r>
      <w:r>
        <w:rPr>
          <w:spacing w:val="-10"/>
        </w:rPr>
        <w:t> </w:t>
      </w:r>
      <w:r>
        <w:rPr/>
        <w:t>to</w:t>
      </w:r>
      <w:r>
        <w:rPr>
          <w:spacing w:val="-10"/>
        </w:rPr>
        <w:t> </w:t>
      </w:r>
      <w:r>
        <w:rPr/>
        <w:t>in</w:t>
      </w:r>
      <w:r>
        <w:rPr>
          <w:spacing w:val="-10"/>
        </w:rPr>
        <w:t> </w:t>
      </w:r>
      <w:r>
        <w:rPr/>
        <w:t>Article</w:t>
      </w:r>
      <w:r>
        <w:rPr>
          <w:spacing w:val="-11"/>
        </w:rPr>
        <w:t> </w:t>
      </w:r>
      <w:r>
        <w:rPr/>
        <w:t>4.4,</w:t>
      </w:r>
      <w:r>
        <w:rPr>
          <w:spacing w:val="-10"/>
        </w:rPr>
        <w:t> </w:t>
      </w:r>
      <w:r>
        <w:rPr/>
        <w:t>except</w:t>
      </w:r>
      <w:r>
        <w:rPr>
          <w:spacing w:val="-9"/>
        </w:rPr>
        <w:t> </w:t>
      </w:r>
      <w:r>
        <w:rPr/>
        <w:t>if</w:t>
      </w:r>
      <w:r>
        <w:rPr>
          <w:spacing w:val="-10"/>
        </w:rPr>
        <w:t> </w:t>
      </w:r>
      <w:r>
        <w:rPr/>
        <w:t>Article</w:t>
      </w:r>
      <w:r>
        <w:rPr>
          <w:spacing w:val="-8"/>
        </w:rPr>
        <w:t> </w:t>
      </w:r>
      <w:r>
        <w:rPr/>
        <w:t>II.24.1 or II.24.2 of the Framework agreement apply.</w:t>
      </w:r>
    </w:p>
    <w:p>
      <w:pPr>
        <w:pStyle w:val="BodyText"/>
        <w:spacing w:line="276" w:lineRule="auto" w:before="200"/>
        <w:ind w:left="738" w:right="319"/>
        <w:jc w:val="both"/>
      </w:pPr>
      <w:r>
        <w:rPr/>
        <w:t>Payment</w:t>
      </w:r>
      <w:r>
        <w:rPr>
          <w:spacing w:val="-14"/>
        </w:rPr>
        <w:t> </w:t>
      </w:r>
      <w:r>
        <w:rPr/>
        <w:t>is</w:t>
      </w:r>
      <w:r>
        <w:rPr>
          <w:spacing w:val="-13"/>
        </w:rPr>
        <w:t> </w:t>
      </w:r>
      <w:r>
        <w:rPr/>
        <w:t>subject</w:t>
      </w:r>
      <w:r>
        <w:rPr>
          <w:spacing w:val="-13"/>
        </w:rPr>
        <w:t> </w:t>
      </w:r>
      <w:r>
        <w:rPr/>
        <w:t>to</w:t>
      </w:r>
      <w:r>
        <w:rPr>
          <w:spacing w:val="-16"/>
        </w:rPr>
        <w:t> </w:t>
      </w:r>
      <w:r>
        <w:rPr/>
        <w:t>the</w:t>
      </w:r>
      <w:r>
        <w:rPr>
          <w:spacing w:val="-14"/>
        </w:rPr>
        <w:t> </w:t>
      </w:r>
      <w:r>
        <w:rPr/>
        <w:t>approval</w:t>
      </w:r>
      <w:r>
        <w:rPr>
          <w:spacing w:val="-13"/>
        </w:rPr>
        <w:t> </w:t>
      </w:r>
      <w:r>
        <w:rPr/>
        <w:t>of</w:t>
      </w:r>
      <w:r>
        <w:rPr>
          <w:spacing w:val="-14"/>
        </w:rPr>
        <w:t> </w:t>
      </w:r>
      <w:r>
        <w:rPr/>
        <w:t>the</w:t>
      </w:r>
      <w:r>
        <w:rPr>
          <w:spacing w:val="-14"/>
        </w:rPr>
        <w:t> </w:t>
      </w:r>
      <w:r>
        <w:rPr/>
        <w:t>request</w:t>
      </w:r>
      <w:r>
        <w:rPr>
          <w:spacing w:val="-12"/>
        </w:rPr>
        <w:t> </w:t>
      </w:r>
      <w:r>
        <w:rPr/>
        <w:t>for</w:t>
      </w:r>
      <w:r>
        <w:rPr>
          <w:spacing w:val="-14"/>
        </w:rPr>
        <w:t> </w:t>
      </w:r>
      <w:r>
        <w:rPr/>
        <w:t>payment</w:t>
      </w:r>
      <w:r>
        <w:rPr>
          <w:spacing w:val="-14"/>
        </w:rPr>
        <w:t> </w:t>
      </w:r>
      <w:r>
        <w:rPr/>
        <w:t>of</w:t>
      </w:r>
      <w:r>
        <w:rPr>
          <w:spacing w:val="-14"/>
        </w:rPr>
        <w:t> </w:t>
      </w:r>
      <w:r>
        <w:rPr/>
        <w:t>the</w:t>
      </w:r>
      <w:r>
        <w:rPr>
          <w:spacing w:val="-14"/>
        </w:rPr>
        <w:t> </w:t>
      </w:r>
      <w:r>
        <w:rPr/>
        <w:t>balance</w:t>
      </w:r>
      <w:r>
        <w:rPr>
          <w:spacing w:val="-12"/>
        </w:rPr>
        <w:t> </w:t>
      </w:r>
      <w:r>
        <w:rPr/>
        <w:t>and</w:t>
      </w:r>
      <w:r>
        <w:rPr>
          <w:spacing w:val="-13"/>
        </w:rPr>
        <w:t> </w:t>
      </w:r>
      <w:r>
        <w:rPr/>
        <w:t>of</w:t>
      </w:r>
      <w:r>
        <w:rPr>
          <w:spacing w:val="-14"/>
        </w:rPr>
        <w:t> </w:t>
      </w:r>
      <w:r>
        <w:rPr/>
        <w:t>the</w:t>
      </w:r>
      <w:r>
        <w:rPr>
          <w:spacing w:val="-14"/>
        </w:rPr>
        <w:t> </w:t>
      </w:r>
      <w:r>
        <w:rPr/>
        <w:t>accompanying documents.</w:t>
      </w:r>
      <w:r>
        <w:rPr>
          <w:spacing w:val="-12"/>
        </w:rPr>
        <w:t> </w:t>
      </w:r>
      <w:r>
        <w:rPr/>
        <w:t>Their</w:t>
      </w:r>
      <w:r>
        <w:rPr>
          <w:spacing w:val="-9"/>
        </w:rPr>
        <w:t> </w:t>
      </w:r>
      <w:r>
        <w:rPr/>
        <w:t>approval</w:t>
      </w:r>
      <w:r>
        <w:rPr>
          <w:spacing w:val="-12"/>
        </w:rPr>
        <w:t> </w:t>
      </w:r>
      <w:r>
        <w:rPr/>
        <w:t>does</w:t>
      </w:r>
      <w:r>
        <w:rPr>
          <w:spacing w:val="-11"/>
        </w:rPr>
        <w:t> </w:t>
      </w:r>
      <w:r>
        <w:rPr/>
        <w:t>not</w:t>
      </w:r>
      <w:r>
        <w:rPr>
          <w:spacing w:val="-12"/>
        </w:rPr>
        <w:t> </w:t>
      </w:r>
      <w:r>
        <w:rPr/>
        <w:t>imply</w:t>
      </w:r>
      <w:r>
        <w:rPr>
          <w:spacing w:val="-11"/>
        </w:rPr>
        <w:t> </w:t>
      </w:r>
      <w:r>
        <w:rPr/>
        <w:t>recognition</w:t>
      </w:r>
      <w:r>
        <w:rPr>
          <w:spacing w:val="-11"/>
        </w:rPr>
        <w:t> </w:t>
      </w:r>
      <w:r>
        <w:rPr/>
        <w:t>of</w:t>
      </w:r>
      <w:r>
        <w:rPr>
          <w:spacing w:val="-13"/>
        </w:rPr>
        <w:t> </w:t>
      </w:r>
      <w:r>
        <w:rPr/>
        <w:t>the</w:t>
      </w:r>
      <w:r>
        <w:rPr>
          <w:spacing w:val="-12"/>
        </w:rPr>
        <w:t> </w:t>
      </w:r>
      <w:r>
        <w:rPr/>
        <w:t>compliance,</w:t>
      </w:r>
      <w:r>
        <w:rPr>
          <w:spacing w:val="-10"/>
        </w:rPr>
        <w:t> </w:t>
      </w:r>
      <w:r>
        <w:rPr/>
        <w:t>authenticity,</w:t>
      </w:r>
      <w:r>
        <w:rPr>
          <w:spacing w:val="-11"/>
        </w:rPr>
        <w:t> </w:t>
      </w:r>
      <w:r>
        <w:rPr/>
        <w:t>completeness or correctness of their</w:t>
      </w:r>
      <w:r>
        <w:rPr>
          <w:spacing w:val="-4"/>
        </w:rPr>
        <w:t> </w:t>
      </w:r>
      <w:r>
        <w:rPr/>
        <w:t>content.</w:t>
      </w:r>
    </w:p>
    <w:p>
      <w:pPr>
        <w:pStyle w:val="BodyText"/>
        <w:spacing w:line="276" w:lineRule="auto" w:before="200"/>
        <w:ind w:left="738" w:right="318"/>
        <w:jc w:val="both"/>
      </w:pPr>
      <w:r>
        <w:rPr/>
        <w:t>Cedefop determines the amount due as the balance by deducting the total amount of pre-financing and interim payments (if any) already made from the final amount of the grant determined in accordance with Article II.25 of the Framework agreement.</w:t>
      </w:r>
    </w:p>
    <w:p>
      <w:pPr>
        <w:pStyle w:val="BodyText"/>
        <w:spacing w:before="199"/>
        <w:ind w:left="738" w:right="658"/>
      </w:pPr>
      <w:r>
        <w:rPr/>
        <w:t>The amount to be paid may, however, be offset, without the partner’s consent, against any other amount owed by the partner to the Commission or to an executive agency (under the EU or Euratom budget), up to the maximum amount of the grant.</w:t>
      </w:r>
    </w:p>
    <w:p>
      <w:pPr>
        <w:pStyle w:val="BodyText"/>
        <w:rPr>
          <w:sz w:val="21"/>
        </w:rPr>
      </w:pPr>
    </w:p>
    <w:p>
      <w:pPr>
        <w:pStyle w:val="Heading1"/>
        <w:numPr>
          <w:ilvl w:val="1"/>
          <w:numId w:val="4"/>
        </w:numPr>
        <w:tabs>
          <w:tab w:pos="1159" w:val="left" w:leader="none"/>
        </w:tabs>
        <w:spacing w:line="240" w:lineRule="auto" w:before="0" w:after="0"/>
        <w:ind w:left="1158" w:right="0" w:hanging="421"/>
        <w:jc w:val="left"/>
      </w:pPr>
      <w:r>
        <w:rPr/>
        <w:t>Notification of amounts</w:t>
      </w:r>
      <w:r>
        <w:rPr>
          <w:spacing w:val="-5"/>
        </w:rPr>
        <w:t> </w:t>
      </w:r>
      <w:r>
        <w:rPr/>
        <w:t>due</w:t>
      </w:r>
    </w:p>
    <w:p>
      <w:pPr>
        <w:pStyle w:val="BodyText"/>
        <w:spacing w:before="1"/>
        <w:rPr>
          <w:b/>
          <w:sz w:val="29"/>
        </w:rPr>
      </w:pPr>
    </w:p>
    <w:p>
      <w:pPr>
        <w:spacing w:before="0"/>
        <w:ind w:left="738" w:right="0" w:firstLine="0"/>
        <w:jc w:val="left"/>
        <w:rPr>
          <w:sz w:val="24"/>
        </w:rPr>
      </w:pPr>
      <w:r>
        <w:rPr>
          <w:sz w:val="24"/>
        </w:rPr>
        <w:t>Cedefop must send a </w:t>
      </w:r>
      <w:r>
        <w:rPr>
          <w:i/>
          <w:sz w:val="24"/>
        </w:rPr>
        <w:t>formal notification </w:t>
      </w:r>
      <w:r>
        <w:rPr>
          <w:sz w:val="24"/>
        </w:rPr>
        <w:t>to the partner:</w:t>
      </w:r>
    </w:p>
    <w:p>
      <w:pPr>
        <w:pStyle w:val="BodyText"/>
        <w:spacing w:before="5"/>
      </w:pPr>
    </w:p>
    <w:p>
      <w:pPr>
        <w:pStyle w:val="ListParagraph"/>
        <w:numPr>
          <w:ilvl w:val="2"/>
          <w:numId w:val="4"/>
        </w:numPr>
        <w:tabs>
          <w:tab w:pos="1459" w:val="left" w:leader="none"/>
        </w:tabs>
        <w:spacing w:line="240" w:lineRule="auto" w:before="0" w:after="0"/>
        <w:ind w:left="1458" w:right="0" w:hanging="361"/>
        <w:jc w:val="left"/>
        <w:rPr>
          <w:sz w:val="24"/>
        </w:rPr>
      </w:pPr>
      <w:r>
        <w:rPr>
          <w:sz w:val="24"/>
        </w:rPr>
        <w:t>informing it of the amount due;</w:t>
      </w:r>
      <w:r>
        <w:rPr>
          <w:spacing w:val="-3"/>
          <w:sz w:val="24"/>
        </w:rPr>
        <w:t> </w:t>
      </w:r>
      <w:r>
        <w:rPr>
          <w:sz w:val="24"/>
        </w:rPr>
        <w:t>and</w:t>
      </w:r>
    </w:p>
    <w:p>
      <w:pPr>
        <w:pStyle w:val="ListParagraph"/>
        <w:numPr>
          <w:ilvl w:val="2"/>
          <w:numId w:val="4"/>
        </w:numPr>
        <w:tabs>
          <w:tab w:pos="1459" w:val="left" w:leader="none"/>
        </w:tabs>
        <w:spacing w:line="240" w:lineRule="auto" w:before="0" w:after="0"/>
        <w:ind w:left="1458" w:right="316" w:hanging="360"/>
        <w:jc w:val="left"/>
        <w:rPr>
          <w:sz w:val="24"/>
        </w:rPr>
      </w:pPr>
      <w:r>
        <w:rPr>
          <w:sz w:val="24"/>
        </w:rPr>
        <w:t>specifying whether the notification concerns a further pre-financing payment, an interim payment or the payment of the</w:t>
      </w:r>
      <w:r>
        <w:rPr>
          <w:spacing w:val="-3"/>
          <w:sz w:val="24"/>
        </w:rPr>
        <w:t> </w:t>
      </w:r>
      <w:r>
        <w:rPr>
          <w:sz w:val="24"/>
        </w:rPr>
        <w:t>balance.</w:t>
      </w:r>
    </w:p>
    <w:p>
      <w:pPr>
        <w:pStyle w:val="BodyText"/>
        <w:spacing w:before="5"/>
      </w:pPr>
    </w:p>
    <w:p>
      <w:pPr>
        <w:pStyle w:val="BodyText"/>
        <w:ind w:left="738" w:right="218"/>
      </w:pPr>
      <w:r>
        <w:rPr/>
        <w:t>For the payment of the balance, Cedefop must also specify the final amount of the grant determined in accordance with Article II.25 of the Framework agreement.</w:t>
      </w:r>
    </w:p>
    <w:p>
      <w:pPr>
        <w:pStyle w:val="BodyText"/>
        <w:rPr>
          <w:sz w:val="26"/>
        </w:rPr>
      </w:pPr>
    </w:p>
    <w:p>
      <w:pPr>
        <w:pStyle w:val="Heading1"/>
        <w:numPr>
          <w:ilvl w:val="1"/>
          <w:numId w:val="4"/>
        </w:numPr>
        <w:tabs>
          <w:tab w:pos="1159" w:val="left" w:leader="none"/>
        </w:tabs>
        <w:spacing w:line="240" w:lineRule="auto" w:before="218" w:after="0"/>
        <w:ind w:left="1158" w:right="0" w:hanging="421"/>
        <w:jc w:val="left"/>
      </w:pPr>
      <w:r>
        <w:rPr/>
        <w:t>Interest on late</w:t>
      </w:r>
      <w:r>
        <w:rPr>
          <w:spacing w:val="-6"/>
        </w:rPr>
        <w:t> </w:t>
      </w:r>
      <w:r>
        <w:rPr/>
        <w:t>payment</w:t>
      </w:r>
    </w:p>
    <w:p>
      <w:pPr>
        <w:pStyle w:val="BodyText"/>
        <w:spacing w:before="7"/>
        <w:rPr>
          <w:b/>
          <w:sz w:val="32"/>
        </w:rPr>
      </w:pPr>
    </w:p>
    <w:p>
      <w:pPr>
        <w:pStyle w:val="BodyText"/>
        <w:spacing w:line="276" w:lineRule="auto"/>
        <w:ind w:left="738" w:right="315"/>
        <w:jc w:val="both"/>
      </w:pPr>
      <w:r>
        <w:rPr/>
        <w:t>If Cedefop does not pay within the time limits for payment, the partner is entitled to late-payment interest</w:t>
      </w:r>
      <w:r>
        <w:rPr>
          <w:spacing w:val="-7"/>
        </w:rPr>
        <w:t> </w:t>
      </w:r>
      <w:r>
        <w:rPr/>
        <w:t>at</w:t>
      </w:r>
      <w:r>
        <w:rPr>
          <w:spacing w:val="-6"/>
        </w:rPr>
        <w:t> </w:t>
      </w:r>
      <w:r>
        <w:rPr/>
        <w:t>the</w:t>
      </w:r>
      <w:r>
        <w:rPr>
          <w:spacing w:val="-8"/>
        </w:rPr>
        <w:t> </w:t>
      </w:r>
      <w:r>
        <w:rPr/>
        <w:t>rate</w:t>
      </w:r>
      <w:r>
        <w:rPr>
          <w:spacing w:val="-7"/>
        </w:rPr>
        <w:t> </w:t>
      </w:r>
      <w:r>
        <w:rPr/>
        <w:t>applied</w:t>
      </w:r>
      <w:r>
        <w:rPr>
          <w:spacing w:val="-6"/>
        </w:rPr>
        <w:t> </w:t>
      </w:r>
      <w:r>
        <w:rPr/>
        <w:t>by</w:t>
      </w:r>
      <w:r>
        <w:rPr>
          <w:spacing w:val="-7"/>
        </w:rPr>
        <w:t> </w:t>
      </w:r>
      <w:r>
        <w:rPr/>
        <w:t>the</w:t>
      </w:r>
      <w:r>
        <w:rPr>
          <w:spacing w:val="-7"/>
        </w:rPr>
        <w:t> </w:t>
      </w:r>
      <w:r>
        <w:rPr/>
        <w:t>European</w:t>
      </w:r>
      <w:r>
        <w:rPr>
          <w:spacing w:val="-6"/>
        </w:rPr>
        <w:t> </w:t>
      </w:r>
      <w:r>
        <w:rPr/>
        <w:t>Central</w:t>
      </w:r>
      <w:r>
        <w:rPr>
          <w:spacing w:val="-7"/>
        </w:rPr>
        <w:t> </w:t>
      </w:r>
      <w:r>
        <w:rPr/>
        <w:t>Bank</w:t>
      </w:r>
      <w:r>
        <w:rPr>
          <w:spacing w:val="-6"/>
        </w:rPr>
        <w:t> </w:t>
      </w:r>
      <w:r>
        <w:rPr/>
        <w:t>for</w:t>
      </w:r>
      <w:r>
        <w:rPr>
          <w:spacing w:val="-7"/>
        </w:rPr>
        <w:t> </w:t>
      </w:r>
      <w:r>
        <w:rPr/>
        <w:t>its</w:t>
      </w:r>
      <w:r>
        <w:rPr>
          <w:spacing w:val="-7"/>
        </w:rPr>
        <w:t> </w:t>
      </w:r>
      <w:r>
        <w:rPr/>
        <w:t>main</w:t>
      </w:r>
      <w:r>
        <w:rPr>
          <w:spacing w:val="-9"/>
        </w:rPr>
        <w:t> </w:t>
      </w:r>
      <w:r>
        <w:rPr/>
        <w:t>refinancing</w:t>
      </w:r>
      <w:r>
        <w:rPr>
          <w:spacing w:val="-6"/>
        </w:rPr>
        <w:t> </w:t>
      </w:r>
      <w:r>
        <w:rPr/>
        <w:t>operations</w:t>
      </w:r>
      <w:r>
        <w:rPr>
          <w:spacing w:val="-7"/>
        </w:rPr>
        <w:t> </w:t>
      </w:r>
      <w:r>
        <w:rPr/>
        <w:t>in</w:t>
      </w:r>
      <w:r>
        <w:rPr>
          <w:spacing w:val="-6"/>
        </w:rPr>
        <w:t> </w:t>
      </w:r>
      <w:r>
        <w:rPr/>
        <w:t>euros (‘the reference rate’), plus three and a half points. The reference rate is the rate in force on the first day of the month in which the time limit for payment expires, as published in the C series of the </w:t>
      </w:r>
      <w:r>
        <w:rPr>
          <w:i/>
        </w:rPr>
        <w:t>Official Journal of the European</w:t>
      </w:r>
      <w:r>
        <w:rPr>
          <w:i/>
          <w:spacing w:val="-2"/>
        </w:rPr>
        <w:t> </w:t>
      </w:r>
      <w:r>
        <w:rPr>
          <w:i/>
        </w:rPr>
        <w:t>Union</w:t>
      </w:r>
      <w:r>
        <w:rPr/>
        <w:t>.</w:t>
      </w:r>
    </w:p>
    <w:p>
      <w:pPr>
        <w:pStyle w:val="BodyText"/>
        <w:spacing w:line="276" w:lineRule="auto" w:before="202"/>
        <w:ind w:left="738" w:right="320"/>
        <w:jc w:val="both"/>
      </w:pPr>
      <w:r>
        <w:rPr/>
        <w:t>Late-payment interest is not due if the partner is a Member State of the Union (including regional and local government authorities and other public bodies acting in the name of and on behalf of the Member State for the purpose of the Framework agreement and the Specific agreement).</w:t>
      </w:r>
    </w:p>
    <w:p>
      <w:pPr>
        <w:spacing w:after="0" w:line="276" w:lineRule="auto"/>
        <w:jc w:val="both"/>
        <w:sectPr>
          <w:pgSz w:w="12240" w:h="15840"/>
          <w:pgMar w:header="726" w:footer="687" w:top="920" w:bottom="960" w:left="680" w:right="940"/>
        </w:sectPr>
      </w:pPr>
    </w:p>
    <w:p>
      <w:pPr>
        <w:pStyle w:val="BodyText"/>
        <w:rPr>
          <w:sz w:val="20"/>
        </w:rPr>
      </w:pPr>
    </w:p>
    <w:p>
      <w:pPr>
        <w:pStyle w:val="BodyText"/>
        <w:spacing w:before="8"/>
        <w:rPr>
          <w:sz w:val="22"/>
        </w:rPr>
      </w:pPr>
    </w:p>
    <w:p>
      <w:pPr>
        <w:pStyle w:val="BodyText"/>
        <w:spacing w:line="276" w:lineRule="auto"/>
        <w:ind w:left="738" w:right="319"/>
        <w:jc w:val="both"/>
      </w:pPr>
      <w:r>
        <w:rPr/>
        <w:t>If Cedefop suspends the time limit for payment as provided for in Article II.24.2 of the Framework agreement</w:t>
      </w:r>
      <w:r>
        <w:rPr>
          <w:spacing w:val="-7"/>
        </w:rPr>
        <w:t> </w:t>
      </w:r>
      <w:r>
        <w:rPr/>
        <w:t>or</w:t>
      </w:r>
      <w:r>
        <w:rPr>
          <w:spacing w:val="-8"/>
        </w:rPr>
        <w:t> </w:t>
      </w:r>
      <w:r>
        <w:rPr/>
        <w:t>if</w:t>
      </w:r>
      <w:r>
        <w:rPr>
          <w:spacing w:val="-8"/>
        </w:rPr>
        <w:t> </w:t>
      </w:r>
      <w:r>
        <w:rPr/>
        <w:t>it</w:t>
      </w:r>
      <w:r>
        <w:rPr>
          <w:spacing w:val="-7"/>
        </w:rPr>
        <w:t> </w:t>
      </w:r>
      <w:r>
        <w:rPr/>
        <w:t>suspends</w:t>
      </w:r>
      <w:r>
        <w:rPr>
          <w:spacing w:val="-6"/>
        </w:rPr>
        <w:t> </w:t>
      </w:r>
      <w:r>
        <w:rPr/>
        <w:t>payments</w:t>
      </w:r>
      <w:r>
        <w:rPr>
          <w:spacing w:val="-7"/>
        </w:rPr>
        <w:t> </w:t>
      </w:r>
      <w:r>
        <w:rPr/>
        <w:t>as</w:t>
      </w:r>
      <w:r>
        <w:rPr>
          <w:spacing w:val="-7"/>
        </w:rPr>
        <w:t> </w:t>
      </w:r>
      <w:r>
        <w:rPr/>
        <w:t>provided</w:t>
      </w:r>
      <w:r>
        <w:rPr>
          <w:spacing w:val="-10"/>
        </w:rPr>
        <w:t> </w:t>
      </w:r>
      <w:r>
        <w:rPr/>
        <w:t>for</w:t>
      </w:r>
      <w:r>
        <w:rPr>
          <w:spacing w:val="-7"/>
        </w:rPr>
        <w:t> </w:t>
      </w:r>
      <w:r>
        <w:rPr/>
        <w:t>in</w:t>
      </w:r>
      <w:r>
        <w:rPr>
          <w:spacing w:val="-7"/>
        </w:rPr>
        <w:t> </w:t>
      </w:r>
      <w:r>
        <w:rPr/>
        <w:t>Article</w:t>
      </w:r>
      <w:r>
        <w:rPr>
          <w:spacing w:val="-8"/>
        </w:rPr>
        <w:t> </w:t>
      </w:r>
      <w:r>
        <w:rPr/>
        <w:t>II.24.1</w:t>
      </w:r>
      <w:r>
        <w:rPr>
          <w:spacing w:val="-7"/>
        </w:rPr>
        <w:t> </w:t>
      </w:r>
      <w:r>
        <w:rPr/>
        <w:t>of</w:t>
      </w:r>
      <w:r>
        <w:rPr>
          <w:spacing w:val="-8"/>
        </w:rPr>
        <w:t> </w:t>
      </w:r>
      <w:r>
        <w:rPr/>
        <w:t>the</w:t>
      </w:r>
      <w:r>
        <w:rPr>
          <w:spacing w:val="-7"/>
        </w:rPr>
        <w:t> </w:t>
      </w:r>
      <w:r>
        <w:rPr/>
        <w:t>Framework</w:t>
      </w:r>
      <w:r>
        <w:rPr>
          <w:spacing w:val="-7"/>
        </w:rPr>
        <w:t> </w:t>
      </w:r>
      <w:r>
        <w:rPr/>
        <w:t>agreement, these actions may not be considered as cases of late</w:t>
      </w:r>
      <w:r>
        <w:rPr>
          <w:spacing w:val="-2"/>
        </w:rPr>
        <w:t> </w:t>
      </w:r>
      <w:r>
        <w:rPr/>
        <w:t>payment.</w:t>
      </w:r>
    </w:p>
    <w:p>
      <w:pPr>
        <w:pStyle w:val="BodyText"/>
        <w:spacing w:line="276" w:lineRule="auto" w:before="200"/>
        <w:ind w:left="738" w:right="318"/>
        <w:jc w:val="both"/>
      </w:pPr>
      <w:r>
        <w:rPr/>
        <w:t>Late-payment interest covers the period running from the day following the due date for payment, up to and including the date of actual payment as established in Article 5.8. Cedefop does not consider payable interest when determining the final amount of grant within the meaning of Article</w:t>
      </w:r>
    </w:p>
    <w:p>
      <w:pPr>
        <w:pStyle w:val="BodyText"/>
        <w:spacing w:before="1"/>
        <w:ind w:left="738"/>
        <w:jc w:val="both"/>
      </w:pPr>
      <w:r>
        <w:rPr/>
        <w:t>II.25 of the Framework agreement.</w:t>
      </w:r>
    </w:p>
    <w:p>
      <w:pPr>
        <w:pStyle w:val="BodyText"/>
        <w:spacing w:before="10"/>
        <w:rPr>
          <w:sz w:val="20"/>
        </w:rPr>
      </w:pPr>
    </w:p>
    <w:p>
      <w:pPr>
        <w:pStyle w:val="BodyText"/>
        <w:spacing w:line="276" w:lineRule="auto"/>
        <w:ind w:left="738" w:right="316"/>
        <w:jc w:val="both"/>
      </w:pPr>
      <w:r>
        <w:rPr/>
        <w:t>As</w:t>
      </w:r>
      <w:r>
        <w:rPr>
          <w:spacing w:val="-14"/>
        </w:rPr>
        <w:t> </w:t>
      </w:r>
      <w:r>
        <w:rPr/>
        <w:t>an</w:t>
      </w:r>
      <w:r>
        <w:rPr>
          <w:spacing w:val="-13"/>
        </w:rPr>
        <w:t> </w:t>
      </w:r>
      <w:r>
        <w:rPr/>
        <w:t>exception</w:t>
      </w:r>
      <w:r>
        <w:rPr>
          <w:spacing w:val="-13"/>
        </w:rPr>
        <w:t> </w:t>
      </w:r>
      <w:r>
        <w:rPr/>
        <w:t>to</w:t>
      </w:r>
      <w:r>
        <w:rPr>
          <w:spacing w:val="-13"/>
        </w:rPr>
        <w:t> </w:t>
      </w:r>
      <w:r>
        <w:rPr/>
        <w:t>the</w:t>
      </w:r>
      <w:r>
        <w:rPr>
          <w:spacing w:val="-14"/>
        </w:rPr>
        <w:t> </w:t>
      </w:r>
      <w:r>
        <w:rPr/>
        <w:t>first</w:t>
      </w:r>
      <w:r>
        <w:rPr>
          <w:spacing w:val="-13"/>
        </w:rPr>
        <w:t> </w:t>
      </w:r>
      <w:r>
        <w:rPr/>
        <w:t>subparagraph,</w:t>
      </w:r>
      <w:r>
        <w:rPr>
          <w:spacing w:val="-13"/>
        </w:rPr>
        <w:t> </w:t>
      </w:r>
      <w:r>
        <w:rPr/>
        <w:t>if</w:t>
      </w:r>
      <w:r>
        <w:rPr>
          <w:spacing w:val="-15"/>
        </w:rPr>
        <w:t> </w:t>
      </w:r>
      <w:r>
        <w:rPr/>
        <w:t>the</w:t>
      </w:r>
      <w:r>
        <w:rPr>
          <w:spacing w:val="-12"/>
        </w:rPr>
        <w:t> </w:t>
      </w:r>
      <w:r>
        <w:rPr/>
        <w:t>calculated</w:t>
      </w:r>
      <w:r>
        <w:rPr>
          <w:spacing w:val="-13"/>
        </w:rPr>
        <w:t> </w:t>
      </w:r>
      <w:r>
        <w:rPr/>
        <w:t>interest</w:t>
      </w:r>
      <w:r>
        <w:rPr>
          <w:spacing w:val="-13"/>
        </w:rPr>
        <w:t> </w:t>
      </w:r>
      <w:r>
        <w:rPr/>
        <w:t>is</w:t>
      </w:r>
      <w:r>
        <w:rPr>
          <w:spacing w:val="-13"/>
        </w:rPr>
        <w:t> </w:t>
      </w:r>
      <w:r>
        <w:rPr/>
        <w:t>lower</w:t>
      </w:r>
      <w:r>
        <w:rPr>
          <w:spacing w:val="-14"/>
        </w:rPr>
        <w:t> </w:t>
      </w:r>
      <w:r>
        <w:rPr/>
        <w:t>than</w:t>
      </w:r>
      <w:r>
        <w:rPr>
          <w:spacing w:val="-13"/>
        </w:rPr>
        <w:t> </w:t>
      </w:r>
      <w:r>
        <w:rPr/>
        <w:t>or</w:t>
      </w:r>
      <w:r>
        <w:rPr>
          <w:spacing w:val="-15"/>
        </w:rPr>
        <w:t> </w:t>
      </w:r>
      <w:r>
        <w:rPr/>
        <w:t>equal</w:t>
      </w:r>
      <w:r>
        <w:rPr>
          <w:spacing w:val="-13"/>
        </w:rPr>
        <w:t> </w:t>
      </w:r>
      <w:r>
        <w:rPr/>
        <w:t>to</w:t>
      </w:r>
      <w:r>
        <w:rPr>
          <w:spacing w:val="-13"/>
        </w:rPr>
        <w:t> </w:t>
      </w:r>
      <w:r>
        <w:rPr/>
        <w:t>EUR</w:t>
      </w:r>
      <w:r>
        <w:rPr>
          <w:spacing w:val="-1"/>
        </w:rPr>
        <w:t> </w:t>
      </w:r>
      <w:r>
        <w:rPr/>
        <w:t>200, it must be paid to the partner only if the partner requests it within two months of receiving late payment.</w:t>
      </w:r>
    </w:p>
    <w:p>
      <w:pPr>
        <w:pStyle w:val="BodyText"/>
        <w:rPr>
          <w:sz w:val="21"/>
        </w:rPr>
      </w:pPr>
    </w:p>
    <w:p>
      <w:pPr>
        <w:pStyle w:val="Heading1"/>
        <w:numPr>
          <w:ilvl w:val="1"/>
          <w:numId w:val="6"/>
        </w:numPr>
        <w:tabs>
          <w:tab w:pos="1159" w:val="left" w:leader="none"/>
        </w:tabs>
        <w:spacing w:line="240" w:lineRule="auto" w:before="0" w:after="0"/>
        <w:ind w:left="1158" w:right="0" w:hanging="421"/>
        <w:jc w:val="both"/>
      </w:pPr>
      <w:r>
        <w:rPr/>
        <w:t>Currency for</w:t>
      </w:r>
      <w:r>
        <w:rPr>
          <w:spacing w:val="-4"/>
        </w:rPr>
        <w:t> </w:t>
      </w:r>
      <w:r>
        <w:rPr/>
        <w:t>payments</w:t>
      </w:r>
    </w:p>
    <w:p>
      <w:pPr>
        <w:pStyle w:val="BodyText"/>
        <w:spacing w:before="1"/>
        <w:rPr>
          <w:b/>
          <w:sz w:val="29"/>
        </w:rPr>
      </w:pPr>
    </w:p>
    <w:p>
      <w:pPr>
        <w:pStyle w:val="BodyText"/>
        <w:ind w:left="738"/>
      </w:pPr>
      <w:r>
        <w:rPr/>
        <w:t>Cedefop must make payments in euros.</w:t>
      </w:r>
    </w:p>
    <w:p>
      <w:pPr>
        <w:pStyle w:val="BodyText"/>
        <w:rPr>
          <w:sz w:val="26"/>
        </w:rPr>
      </w:pPr>
    </w:p>
    <w:p>
      <w:pPr>
        <w:pStyle w:val="Heading1"/>
        <w:numPr>
          <w:ilvl w:val="1"/>
          <w:numId w:val="6"/>
        </w:numPr>
        <w:tabs>
          <w:tab w:pos="1159" w:val="left" w:leader="none"/>
        </w:tabs>
        <w:spacing w:line="240" w:lineRule="auto" w:before="219" w:after="0"/>
        <w:ind w:left="1158" w:right="0" w:hanging="421"/>
        <w:jc w:val="both"/>
      </w:pPr>
      <w:r>
        <w:rPr/>
        <w:t>Date of</w:t>
      </w:r>
      <w:r>
        <w:rPr>
          <w:spacing w:val="-3"/>
        </w:rPr>
        <w:t> </w:t>
      </w:r>
      <w:r>
        <w:rPr/>
        <w:t>payment</w:t>
      </w:r>
    </w:p>
    <w:p>
      <w:pPr>
        <w:pStyle w:val="BodyText"/>
        <w:rPr>
          <w:b/>
          <w:sz w:val="29"/>
        </w:rPr>
      </w:pPr>
    </w:p>
    <w:p>
      <w:pPr>
        <w:pStyle w:val="BodyText"/>
        <w:spacing w:before="1"/>
        <w:ind w:left="738" w:right="218"/>
      </w:pPr>
      <w:r>
        <w:rPr/>
        <w:t>Payments by Cedefop are considered to have been carried out on the date when they are debited to its account.</w:t>
      </w:r>
    </w:p>
    <w:p>
      <w:pPr>
        <w:pStyle w:val="BodyText"/>
        <w:spacing w:before="11"/>
        <w:rPr>
          <w:sz w:val="20"/>
        </w:rPr>
      </w:pPr>
    </w:p>
    <w:p>
      <w:pPr>
        <w:pStyle w:val="Heading1"/>
        <w:numPr>
          <w:ilvl w:val="1"/>
          <w:numId w:val="6"/>
        </w:numPr>
        <w:tabs>
          <w:tab w:pos="1159" w:val="left" w:leader="none"/>
        </w:tabs>
        <w:spacing w:line="240" w:lineRule="auto" w:before="0" w:after="0"/>
        <w:ind w:left="1158" w:right="0" w:hanging="421"/>
        <w:jc w:val="left"/>
      </w:pPr>
      <w:r>
        <w:rPr/>
        <w:t>Costs of payment</w:t>
      </w:r>
      <w:r>
        <w:rPr>
          <w:spacing w:val="-3"/>
        </w:rPr>
        <w:t> </w:t>
      </w:r>
      <w:r>
        <w:rPr/>
        <w:t>transfers</w:t>
      </w:r>
    </w:p>
    <w:p>
      <w:pPr>
        <w:pStyle w:val="BodyText"/>
        <w:spacing w:before="1"/>
        <w:rPr>
          <w:b/>
          <w:sz w:val="29"/>
        </w:rPr>
      </w:pPr>
    </w:p>
    <w:p>
      <w:pPr>
        <w:pStyle w:val="BodyText"/>
        <w:ind w:left="738"/>
      </w:pPr>
      <w:r>
        <w:rPr/>
        <w:t>Costs of the payment transfers are borne as follows:</w:t>
      </w:r>
    </w:p>
    <w:p>
      <w:pPr>
        <w:pStyle w:val="BodyText"/>
        <w:spacing w:before="2"/>
        <w:rPr>
          <w:sz w:val="28"/>
        </w:rPr>
      </w:pPr>
    </w:p>
    <w:p>
      <w:pPr>
        <w:pStyle w:val="ListParagraph"/>
        <w:numPr>
          <w:ilvl w:val="2"/>
          <w:numId w:val="6"/>
        </w:numPr>
        <w:tabs>
          <w:tab w:pos="1459" w:val="left" w:leader="none"/>
        </w:tabs>
        <w:spacing w:line="240" w:lineRule="auto" w:before="0" w:after="0"/>
        <w:ind w:left="1458" w:right="0" w:hanging="361"/>
        <w:jc w:val="left"/>
        <w:rPr>
          <w:sz w:val="24"/>
        </w:rPr>
      </w:pPr>
      <w:r>
        <w:rPr>
          <w:sz w:val="24"/>
        </w:rPr>
        <w:t>Cedefop bears the costs of transfer charged by its</w:t>
      </w:r>
      <w:r>
        <w:rPr>
          <w:spacing w:val="-3"/>
          <w:sz w:val="24"/>
        </w:rPr>
        <w:t> </w:t>
      </w:r>
      <w:r>
        <w:rPr>
          <w:sz w:val="24"/>
        </w:rPr>
        <w:t>bank;</w:t>
      </w:r>
    </w:p>
    <w:p>
      <w:pPr>
        <w:pStyle w:val="ListParagraph"/>
        <w:numPr>
          <w:ilvl w:val="2"/>
          <w:numId w:val="6"/>
        </w:numPr>
        <w:tabs>
          <w:tab w:pos="1459" w:val="left" w:leader="none"/>
        </w:tabs>
        <w:spacing w:line="240" w:lineRule="auto" w:before="38" w:after="0"/>
        <w:ind w:left="1458" w:right="0" w:hanging="361"/>
        <w:jc w:val="left"/>
        <w:rPr>
          <w:sz w:val="24"/>
        </w:rPr>
      </w:pPr>
      <w:r>
        <w:rPr>
          <w:sz w:val="24"/>
        </w:rPr>
        <w:t>the partner bears the costs of transfer charged by its</w:t>
      </w:r>
      <w:r>
        <w:rPr>
          <w:spacing w:val="-6"/>
          <w:sz w:val="24"/>
        </w:rPr>
        <w:t> </w:t>
      </w:r>
      <w:r>
        <w:rPr>
          <w:sz w:val="24"/>
        </w:rPr>
        <w:t>bank;</w:t>
      </w:r>
    </w:p>
    <w:p>
      <w:pPr>
        <w:pStyle w:val="ListParagraph"/>
        <w:numPr>
          <w:ilvl w:val="2"/>
          <w:numId w:val="6"/>
        </w:numPr>
        <w:tabs>
          <w:tab w:pos="1459" w:val="left" w:leader="none"/>
        </w:tabs>
        <w:spacing w:line="240" w:lineRule="auto" w:before="44" w:after="0"/>
        <w:ind w:left="1458" w:right="0" w:hanging="361"/>
        <w:jc w:val="left"/>
        <w:rPr>
          <w:sz w:val="24"/>
        </w:rPr>
      </w:pPr>
      <w:r>
        <w:rPr>
          <w:sz w:val="24"/>
        </w:rPr>
        <w:t>the party causing a repetition of a transfer bears all costs of repeated</w:t>
      </w:r>
      <w:r>
        <w:rPr>
          <w:spacing w:val="-8"/>
          <w:sz w:val="24"/>
        </w:rPr>
        <w:t> </w:t>
      </w:r>
      <w:r>
        <w:rPr>
          <w:sz w:val="24"/>
        </w:rPr>
        <w:t>transfers.</w:t>
      </w:r>
    </w:p>
    <w:p>
      <w:pPr>
        <w:pStyle w:val="BodyText"/>
        <w:rPr>
          <w:sz w:val="28"/>
        </w:rPr>
      </w:pPr>
    </w:p>
    <w:p>
      <w:pPr>
        <w:pStyle w:val="Heading1"/>
        <w:numPr>
          <w:ilvl w:val="1"/>
          <w:numId w:val="6"/>
        </w:numPr>
        <w:tabs>
          <w:tab w:pos="1300" w:val="left" w:leader="none"/>
        </w:tabs>
        <w:spacing w:line="240" w:lineRule="auto" w:before="0" w:after="0"/>
        <w:ind w:left="1299" w:right="0" w:hanging="562"/>
        <w:jc w:val="left"/>
      </w:pPr>
      <w:r>
        <w:rPr/>
        <w:t>Payments to the</w:t>
      </w:r>
      <w:r>
        <w:rPr>
          <w:spacing w:val="-2"/>
        </w:rPr>
        <w:t> </w:t>
      </w:r>
      <w:r>
        <w:rPr/>
        <w:t>partner</w:t>
      </w:r>
    </w:p>
    <w:p>
      <w:pPr>
        <w:pStyle w:val="BodyText"/>
        <w:spacing w:before="1"/>
        <w:rPr>
          <w:b/>
          <w:sz w:val="29"/>
        </w:rPr>
      </w:pPr>
    </w:p>
    <w:p>
      <w:pPr>
        <w:pStyle w:val="BodyText"/>
        <w:ind w:left="738"/>
      </w:pPr>
      <w:r>
        <w:rPr/>
        <w:t>Cedefop must make payments to the partner.</w:t>
      </w:r>
    </w:p>
    <w:p>
      <w:pPr>
        <w:pStyle w:val="BodyText"/>
        <w:spacing w:before="10"/>
        <w:rPr>
          <w:sz w:val="20"/>
        </w:rPr>
      </w:pPr>
    </w:p>
    <w:p>
      <w:pPr>
        <w:pStyle w:val="BodyText"/>
        <w:ind w:left="738"/>
      </w:pPr>
      <w:r>
        <w:rPr/>
        <w:t>Payments to the partner discharge Cedefop from its payment obligation.</w:t>
      </w:r>
    </w:p>
    <w:p>
      <w:pPr>
        <w:pStyle w:val="BodyText"/>
        <w:spacing w:before="7"/>
      </w:pPr>
    </w:p>
    <w:p>
      <w:pPr>
        <w:pStyle w:val="Heading2"/>
        <w:spacing w:before="1"/>
      </w:pPr>
      <w:r>
        <w:rPr/>
        <w:t>ARTICLE 6 – BANK ACCOUNT FOR PAYMENTS</w:t>
      </w:r>
    </w:p>
    <w:p>
      <w:pPr>
        <w:pStyle w:val="BodyText"/>
        <w:spacing w:before="8"/>
        <w:rPr>
          <w:b/>
          <w:sz w:val="32"/>
        </w:rPr>
      </w:pPr>
    </w:p>
    <w:p>
      <w:pPr>
        <w:pStyle w:val="BodyText"/>
        <w:spacing w:before="1"/>
        <w:ind w:left="738"/>
      </w:pPr>
      <w:r>
        <w:rPr/>
        <w:t>All payments must be made to the partner's bank account as indicated below:</w:t>
      </w:r>
    </w:p>
    <w:p>
      <w:pPr>
        <w:spacing w:after="0"/>
        <w:sectPr>
          <w:pgSz w:w="12240" w:h="15840"/>
          <w:pgMar w:header="726" w:footer="687" w:top="920" w:bottom="960" w:left="680" w:right="940"/>
        </w:sectPr>
      </w:pPr>
    </w:p>
    <w:p>
      <w:pPr>
        <w:pStyle w:val="BodyText"/>
        <w:rPr>
          <w:sz w:val="20"/>
        </w:rPr>
      </w:pPr>
    </w:p>
    <w:p>
      <w:pPr>
        <w:pStyle w:val="BodyText"/>
        <w:spacing w:before="8"/>
        <w:rPr>
          <w:sz w:val="22"/>
        </w:rPr>
      </w:pPr>
    </w:p>
    <w:p>
      <w:pPr>
        <w:pStyle w:val="BodyText"/>
        <w:ind w:left="738"/>
      </w:pPr>
      <w:r>
        <w:rPr/>
        <w:t>Name of bank: Česká národní banka</w:t>
      </w:r>
    </w:p>
    <w:p>
      <w:pPr>
        <w:pStyle w:val="BodyText"/>
        <w:spacing w:before="1"/>
        <w:ind w:left="738" w:right="464"/>
      </w:pPr>
      <w:r>
        <w:rPr/>
        <w:t>Precise denomination of the account holder: National Pedagogical Institute of the Czech Republic IBAN code:CZ5007101100070079530011</w:t>
      </w:r>
    </w:p>
    <w:p>
      <w:pPr>
        <w:pStyle w:val="BodyText"/>
        <w:ind w:left="738"/>
      </w:pPr>
      <w:r>
        <w:rPr/>
        <w:t>CZ11503</w:t>
      </w:r>
    </w:p>
    <w:p>
      <w:pPr>
        <w:pStyle w:val="BodyText"/>
        <w:spacing w:before="9"/>
        <w:rPr>
          <w:sz w:val="20"/>
        </w:rPr>
      </w:pPr>
    </w:p>
    <w:p>
      <w:pPr>
        <w:pStyle w:val="Heading2"/>
        <w:spacing w:before="1"/>
      </w:pPr>
      <w:r>
        <w:rPr/>
        <w:t>ARTICLE 7 - COMMUNICATION DETAILS OF THE PARTIES</w:t>
      </w:r>
    </w:p>
    <w:p>
      <w:pPr>
        <w:pStyle w:val="BodyText"/>
        <w:rPr>
          <w:b/>
          <w:sz w:val="26"/>
        </w:rPr>
      </w:pPr>
    </w:p>
    <w:p>
      <w:pPr>
        <w:pStyle w:val="BodyText"/>
        <w:spacing w:before="2"/>
        <w:rPr>
          <w:b/>
        </w:rPr>
      </w:pPr>
    </w:p>
    <w:p>
      <w:pPr>
        <w:pStyle w:val="ListParagraph"/>
        <w:numPr>
          <w:ilvl w:val="1"/>
          <w:numId w:val="7"/>
        </w:numPr>
        <w:tabs>
          <w:tab w:pos="1159" w:val="left" w:leader="none"/>
        </w:tabs>
        <w:spacing w:line="240" w:lineRule="auto" w:before="0" w:after="0"/>
        <w:ind w:left="1158" w:right="0" w:hanging="421"/>
        <w:jc w:val="left"/>
        <w:rPr>
          <w:b/>
          <w:sz w:val="28"/>
        </w:rPr>
      </w:pPr>
      <w:r>
        <w:rPr>
          <w:b/>
          <w:sz w:val="28"/>
        </w:rPr>
        <w:t>Communication details of</w:t>
      </w:r>
      <w:r>
        <w:rPr>
          <w:b/>
          <w:spacing w:val="-4"/>
          <w:sz w:val="28"/>
        </w:rPr>
        <w:t> </w:t>
      </w:r>
      <w:r>
        <w:rPr>
          <w:b/>
          <w:sz w:val="28"/>
        </w:rPr>
        <w:t>Cedefop</w:t>
      </w:r>
    </w:p>
    <w:p>
      <w:pPr>
        <w:pStyle w:val="BodyText"/>
        <w:spacing w:line="510" w:lineRule="atLeast" w:before="100"/>
        <w:ind w:left="1304" w:right="2057" w:hanging="567"/>
      </w:pPr>
      <w:r>
        <w:rPr/>
        <w:t>Any communication addressed to Cedefop must be sent to the following address</w:t>
      </w:r>
      <w:r>
        <w:rPr>
          <w:i/>
        </w:rPr>
        <w:t>: </w:t>
      </w:r>
      <w:r>
        <w:rPr/>
        <w:t>Cedefop:</w:t>
      </w:r>
    </w:p>
    <w:p>
      <w:pPr>
        <w:pStyle w:val="BodyText"/>
        <w:spacing w:line="292" w:lineRule="auto" w:before="66"/>
        <w:ind w:left="1304" w:right="7090"/>
      </w:pPr>
      <w:r>
        <w:rPr/>
        <w:t>(Procurement Service) ‘SERVICE POST’</w:t>
      </w:r>
    </w:p>
    <w:p>
      <w:pPr>
        <w:pStyle w:val="BodyText"/>
        <w:spacing w:line="275" w:lineRule="exact"/>
        <w:ind w:left="1304"/>
      </w:pPr>
      <w:r>
        <w:rPr/>
        <w:t>Europe 123</w:t>
      </w:r>
    </w:p>
    <w:p>
      <w:pPr>
        <w:pStyle w:val="BodyText"/>
        <w:spacing w:line="292" w:lineRule="auto" w:before="60"/>
        <w:ind w:left="1304" w:right="6483"/>
      </w:pPr>
      <w:r>
        <w:rPr/>
        <w:t>57001 Thermi (Thessaloniki) Greece</w:t>
      </w:r>
    </w:p>
    <w:p>
      <w:pPr>
        <w:spacing w:line="275" w:lineRule="exact" w:before="0"/>
        <w:ind w:left="1304" w:right="0" w:firstLine="0"/>
        <w:jc w:val="left"/>
        <w:rPr>
          <w:i/>
          <w:sz w:val="24"/>
        </w:rPr>
      </w:pPr>
      <w:r>
        <w:rPr>
          <w:sz w:val="24"/>
        </w:rPr>
        <w:t>Tel: 2310 490111 </w:t>
      </w:r>
      <w:r>
        <w:rPr>
          <w:i/>
          <w:color w:val="595958"/>
          <w:sz w:val="24"/>
        </w:rPr>
        <w:t>(indicate only in case of courier delivery)</w:t>
      </w:r>
    </w:p>
    <w:p>
      <w:pPr>
        <w:pStyle w:val="BodyText"/>
        <w:spacing w:before="60"/>
        <w:ind w:left="1304"/>
      </w:pPr>
      <w:r>
        <w:rPr/>
        <w:t>E-mail: </w:t>
      </w:r>
      <w:hyperlink r:id="rId11">
        <w:r>
          <w:rPr>
            <w:color w:val="0000FF"/>
            <w:u w:val="single" w:color="0000FF"/>
          </w:rPr>
          <w:t>c4t-services@cedefop.europa.eu</w:t>
        </w:r>
      </w:hyperlink>
    </w:p>
    <w:p>
      <w:pPr>
        <w:pStyle w:val="BodyText"/>
        <w:rPr>
          <w:sz w:val="21"/>
        </w:rPr>
      </w:pPr>
    </w:p>
    <w:p>
      <w:pPr>
        <w:pStyle w:val="Heading1"/>
        <w:numPr>
          <w:ilvl w:val="1"/>
          <w:numId w:val="7"/>
        </w:numPr>
        <w:tabs>
          <w:tab w:pos="1159" w:val="left" w:leader="none"/>
        </w:tabs>
        <w:spacing w:line="240" w:lineRule="auto" w:before="0" w:after="0"/>
        <w:ind w:left="1158" w:right="0" w:hanging="421"/>
        <w:jc w:val="left"/>
      </w:pPr>
      <w:r>
        <w:rPr/>
        <w:t>Communication details of the</w:t>
      </w:r>
      <w:r>
        <w:rPr>
          <w:spacing w:val="-6"/>
        </w:rPr>
        <w:t> </w:t>
      </w:r>
      <w:r>
        <w:rPr/>
        <w:t>partner</w:t>
      </w:r>
    </w:p>
    <w:p>
      <w:pPr>
        <w:pStyle w:val="BodyText"/>
        <w:spacing w:before="3"/>
        <w:rPr>
          <w:b/>
          <w:sz w:val="29"/>
        </w:rPr>
      </w:pPr>
    </w:p>
    <w:p>
      <w:pPr>
        <w:pStyle w:val="BodyText"/>
        <w:ind w:left="738"/>
      </w:pPr>
      <w:r>
        <w:rPr/>
        <w:t>Any communication from Cedefop to the partner must be sent to the following address:</w:t>
      </w:r>
    </w:p>
    <w:p>
      <w:pPr>
        <w:pStyle w:val="BodyText"/>
        <w:spacing w:before="161"/>
        <w:ind w:left="1446"/>
      </w:pPr>
      <w:r>
        <w:rPr/>
        <w:t>Mrs Kaňáková Martina</w:t>
      </w:r>
    </w:p>
    <w:p>
      <w:pPr>
        <w:pStyle w:val="BodyText"/>
        <w:spacing w:line="379" w:lineRule="auto" w:before="161"/>
        <w:ind w:left="1446" w:right="2057"/>
      </w:pPr>
      <w:r>
        <w:rPr/>
        <w:t>National Pedagogical Institute of the Czech Republic – NPI ČR Senovážné námĕstí 25</w:t>
      </w:r>
    </w:p>
    <w:p>
      <w:pPr>
        <w:pStyle w:val="BodyText"/>
        <w:spacing w:line="379" w:lineRule="auto" w:before="4"/>
        <w:ind w:left="1446" w:right="8307"/>
      </w:pPr>
      <w:r>
        <w:rPr/>
        <w:t>0 Prague Czechia</w:t>
      </w:r>
    </w:p>
    <w:p>
      <w:pPr>
        <w:pStyle w:val="Heading2"/>
        <w:spacing w:before="122"/>
      </w:pPr>
      <w:r>
        <w:rPr/>
        <w:t>ARTICLE 8 – ENTITIES AFFILIATED TO THE PARTNER – NOT APPLICABLE</w:t>
      </w:r>
    </w:p>
    <w:p>
      <w:pPr>
        <w:pStyle w:val="BodyText"/>
        <w:rPr>
          <w:b/>
          <w:sz w:val="26"/>
        </w:rPr>
      </w:pPr>
    </w:p>
    <w:p>
      <w:pPr>
        <w:pStyle w:val="BodyText"/>
        <w:rPr>
          <w:b/>
        </w:rPr>
      </w:pPr>
    </w:p>
    <w:p>
      <w:pPr>
        <w:spacing w:before="1"/>
        <w:ind w:left="738" w:right="633" w:firstLine="0"/>
        <w:jc w:val="left"/>
        <w:rPr>
          <w:b/>
          <w:sz w:val="24"/>
        </w:rPr>
      </w:pPr>
      <w:r>
        <w:rPr>
          <w:b/>
          <w:sz w:val="24"/>
        </w:rPr>
        <w:t>ARTICLE 9 – ADDITIONAL PROVISIONS ON USE OF THE RESULTS (INCLUDING INTELLECTUAL AND INDUSTRIAL PROPERTY RIGHTS)</w:t>
      </w:r>
    </w:p>
    <w:p>
      <w:pPr>
        <w:pStyle w:val="BodyText"/>
        <w:spacing w:line="276" w:lineRule="auto" w:before="60"/>
        <w:ind w:left="738" w:right="218"/>
      </w:pPr>
      <w:r>
        <w:rPr/>
        <w:t>In accordance with Article II.9.3 of the Framework agreement, whereby the Union acquires rights to use the results of the action, these results may be exploited using any of the following modes:</w:t>
      </w:r>
    </w:p>
    <w:p>
      <w:pPr>
        <w:pStyle w:val="BodyText"/>
        <w:spacing w:before="3"/>
      </w:pPr>
    </w:p>
    <w:p>
      <w:pPr>
        <w:pStyle w:val="ListParagraph"/>
        <w:numPr>
          <w:ilvl w:val="0"/>
          <w:numId w:val="8"/>
        </w:numPr>
        <w:tabs>
          <w:tab w:pos="1458" w:val="left" w:leader="none"/>
          <w:tab w:pos="1459" w:val="left" w:leader="none"/>
        </w:tabs>
        <w:spacing w:line="240" w:lineRule="auto" w:before="0" w:after="0"/>
        <w:ind w:left="1458" w:right="0" w:hanging="721"/>
        <w:jc w:val="left"/>
        <w:rPr>
          <w:sz w:val="24"/>
        </w:rPr>
      </w:pPr>
      <w:r>
        <w:rPr>
          <w:sz w:val="24"/>
        </w:rPr>
        <w:t>use for its own</w:t>
      </w:r>
      <w:r>
        <w:rPr>
          <w:spacing w:val="-3"/>
          <w:sz w:val="24"/>
        </w:rPr>
        <w:t> </w:t>
      </w:r>
      <w:r>
        <w:rPr>
          <w:sz w:val="24"/>
        </w:rPr>
        <w:t>purposes:</w:t>
      </w:r>
    </w:p>
    <w:p>
      <w:pPr>
        <w:pStyle w:val="BodyText"/>
        <w:spacing w:before="5"/>
      </w:pPr>
    </w:p>
    <w:p>
      <w:pPr>
        <w:pStyle w:val="ListParagraph"/>
        <w:numPr>
          <w:ilvl w:val="1"/>
          <w:numId w:val="8"/>
        </w:numPr>
        <w:tabs>
          <w:tab w:pos="1871" w:val="left" w:leader="none"/>
          <w:tab w:pos="1872" w:val="left" w:leader="none"/>
        </w:tabs>
        <w:spacing w:line="240" w:lineRule="auto" w:before="0" w:after="0"/>
        <w:ind w:left="1871" w:right="0" w:hanging="426"/>
        <w:jc w:val="left"/>
        <w:rPr>
          <w:sz w:val="24"/>
        </w:rPr>
      </w:pPr>
      <w:r>
        <w:rPr>
          <w:sz w:val="24"/>
        </w:rPr>
        <w:t>making available to the staff of the contracting</w:t>
      </w:r>
      <w:r>
        <w:rPr>
          <w:spacing w:val="-5"/>
          <w:sz w:val="24"/>
        </w:rPr>
        <w:t> </w:t>
      </w:r>
      <w:r>
        <w:rPr>
          <w:sz w:val="24"/>
        </w:rPr>
        <w:t>authority;</w:t>
      </w:r>
    </w:p>
    <w:p>
      <w:pPr>
        <w:spacing w:after="0" w:line="240" w:lineRule="auto"/>
        <w:jc w:val="left"/>
        <w:rPr>
          <w:sz w:val="24"/>
        </w:rPr>
        <w:sectPr>
          <w:pgSz w:w="12240" w:h="15840"/>
          <w:pgMar w:header="726" w:footer="687" w:top="920" w:bottom="960" w:left="680" w:right="940"/>
        </w:sectPr>
      </w:pPr>
    </w:p>
    <w:p>
      <w:pPr>
        <w:pStyle w:val="BodyText"/>
        <w:rPr>
          <w:sz w:val="20"/>
        </w:rPr>
      </w:pPr>
    </w:p>
    <w:p>
      <w:pPr>
        <w:pStyle w:val="BodyText"/>
        <w:spacing w:before="8"/>
        <w:rPr>
          <w:sz w:val="22"/>
        </w:rPr>
      </w:pPr>
    </w:p>
    <w:p>
      <w:pPr>
        <w:pStyle w:val="ListParagraph"/>
        <w:numPr>
          <w:ilvl w:val="1"/>
          <w:numId w:val="8"/>
        </w:numPr>
        <w:tabs>
          <w:tab w:pos="1872" w:val="left" w:leader="none"/>
        </w:tabs>
        <w:spacing w:line="240" w:lineRule="auto" w:before="0" w:after="0"/>
        <w:ind w:left="1871" w:right="318" w:hanging="425"/>
        <w:jc w:val="both"/>
        <w:rPr>
          <w:sz w:val="24"/>
        </w:rPr>
      </w:pPr>
      <w:r>
        <w:rPr>
          <w:sz w:val="24"/>
        </w:rPr>
        <w:t>making available to the persons and entities working for the contracting authority or cooperating with it, including contractors, subcontractors whether legal or natural persons, Union institutions, agencies and bodies, Member States’</w:t>
      </w:r>
      <w:r>
        <w:rPr>
          <w:spacing w:val="-4"/>
          <w:sz w:val="24"/>
        </w:rPr>
        <w:t> </w:t>
      </w:r>
      <w:r>
        <w:rPr>
          <w:sz w:val="24"/>
        </w:rPr>
        <w:t>institutions;</w:t>
      </w:r>
    </w:p>
    <w:p>
      <w:pPr>
        <w:pStyle w:val="ListParagraph"/>
        <w:numPr>
          <w:ilvl w:val="1"/>
          <w:numId w:val="8"/>
        </w:numPr>
        <w:tabs>
          <w:tab w:pos="1872" w:val="left" w:leader="none"/>
        </w:tabs>
        <w:spacing w:line="292" w:lineRule="exact" w:before="0" w:after="0"/>
        <w:ind w:left="1871" w:right="0" w:hanging="426"/>
        <w:jc w:val="both"/>
        <w:rPr>
          <w:sz w:val="24"/>
        </w:rPr>
      </w:pPr>
      <w:r>
        <w:rPr>
          <w:sz w:val="24"/>
        </w:rPr>
        <w:t>installing, uploading,</w:t>
      </w:r>
      <w:r>
        <w:rPr>
          <w:spacing w:val="-1"/>
          <w:sz w:val="24"/>
        </w:rPr>
        <w:t> </w:t>
      </w:r>
      <w:r>
        <w:rPr>
          <w:sz w:val="24"/>
        </w:rPr>
        <w:t>processing;</w:t>
      </w:r>
    </w:p>
    <w:p>
      <w:pPr>
        <w:pStyle w:val="ListParagraph"/>
        <w:numPr>
          <w:ilvl w:val="1"/>
          <w:numId w:val="8"/>
        </w:numPr>
        <w:tabs>
          <w:tab w:pos="1872" w:val="left" w:leader="none"/>
        </w:tabs>
        <w:spacing w:line="293" w:lineRule="exact" w:before="0" w:after="0"/>
        <w:ind w:left="1871" w:right="0" w:hanging="426"/>
        <w:jc w:val="both"/>
        <w:rPr>
          <w:sz w:val="24"/>
        </w:rPr>
      </w:pPr>
      <w:r>
        <w:rPr>
          <w:sz w:val="24"/>
        </w:rPr>
        <w:t>arranging, compiling, combining,</w:t>
      </w:r>
      <w:r>
        <w:rPr>
          <w:spacing w:val="1"/>
          <w:sz w:val="24"/>
        </w:rPr>
        <w:t> </w:t>
      </w:r>
      <w:r>
        <w:rPr>
          <w:sz w:val="24"/>
        </w:rPr>
        <w:t>retrieving;</w:t>
      </w:r>
    </w:p>
    <w:p>
      <w:pPr>
        <w:pStyle w:val="ListParagraph"/>
        <w:numPr>
          <w:ilvl w:val="1"/>
          <w:numId w:val="8"/>
        </w:numPr>
        <w:tabs>
          <w:tab w:pos="1872" w:val="left" w:leader="none"/>
        </w:tabs>
        <w:spacing w:line="240" w:lineRule="auto" w:before="1" w:after="0"/>
        <w:ind w:left="1871" w:right="0" w:hanging="426"/>
        <w:jc w:val="both"/>
        <w:rPr>
          <w:sz w:val="24"/>
        </w:rPr>
      </w:pPr>
      <w:r>
        <w:rPr>
          <w:sz w:val="24"/>
        </w:rPr>
        <w:t>copying, reproducing in whole or in part and in unlimited number of</w:t>
      </w:r>
      <w:r>
        <w:rPr>
          <w:spacing w:val="-7"/>
          <w:sz w:val="24"/>
        </w:rPr>
        <w:t> </w:t>
      </w:r>
      <w:r>
        <w:rPr>
          <w:sz w:val="24"/>
        </w:rPr>
        <w:t>copies.</w:t>
      </w:r>
    </w:p>
    <w:p>
      <w:pPr>
        <w:pStyle w:val="BodyText"/>
        <w:spacing w:before="8"/>
        <w:rPr>
          <w:sz w:val="27"/>
        </w:rPr>
      </w:pPr>
    </w:p>
    <w:p>
      <w:pPr>
        <w:pStyle w:val="ListParagraph"/>
        <w:numPr>
          <w:ilvl w:val="0"/>
          <w:numId w:val="9"/>
        </w:numPr>
        <w:tabs>
          <w:tab w:pos="1459" w:val="left" w:leader="none"/>
        </w:tabs>
        <w:spacing w:line="278" w:lineRule="auto" w:before="0" w:after="0"/>
        <w:ind w:left="1458" w:right="319" w:hanging="360"/>
        <w:jc w:val="both"/>
        <w:rPr>
          <w:sz w:val="24"/>
        </w:rPr>
      </w:pPr>
      <w:r>
        <w:rPr>
          <w:sz w:val="24"/>
        </w:rPr>
        <w:t>distribution to the public in hard copies, in electronic or digital format, on the internet including social networks as a downloadable or non-downloadable</w:t>
      </w:r>
      <w:r>
        <w:rPr>
          <w:spacing w:val="-4"/>
          <w:sz w:val="24"/>
        </w:rPr>
        <w:t> </w:t>
      </w:r>
      <w:r>
        <w:rPr>
          <w:sz w:val="24"/>
        </w:rPr>
        <w:t>file;</w:t>
      </w:r>
    </w:p>
    <w:p>
      <w:pPr>
        <w:pStyle w:val="ListParagraph"/>
        <w:numPr>
          <w:ilvl w:val="0"/>
          <w:numId w:val="9"/>
        </w:numPr>
        <w:tabs>
          <w:tab w:pos="1459" w:val="left" w:leader="none"/>
        </w:tabs>
        <w:spacing w:line="272" w:lineRule="exact" w:before="0" w:after="0"/>
        <w:ind w:left="1458" w:right="0" w:hanging="361"/>
        <w:jc w:val="both"/>
        <w:rPr>
          <w:sz w:val="24"/>
        </w:rPr>
      </w:pPr>
      <w:r>
        <w:rPr>
          <w:sz w:val="24"/>
        </w:rPr>
        <w:t>communication through press information</w:t>
      </w:r>
      <w:r>
        <w:rPr>
          <w:spacing w:val="-1"/>
          <w:sz w:val="24"/>
        </w:rPr>
        <w:t> </w:t>
      </w:r>
      <w:r>
        <w:rPr>
          <w:sz w:val="24"/>
        </w:rPr>
        <w:t>services;</w:t>
      </w:r>
    </w:p>
    <w:p>
      <w:pPr>
        <w:pStyle w:val="ListParagraph"/>
        <w:numPr>
          <w:ilvl w:val="0"/>
          <w:numId w:val="9"/>
        </w:numPr>
        <w:tabs>
          <w:tab w:pos="1459" w:val="left" w:leader="none"/>
        </w:tabs>
        <w:spacing w:line="276" w:lineRule="auto" w:before="41" w:after="0"/>
        <w:ind w:left="1458" w:right="316" w:hanging="360"/>
        <w:jc w:val="both"/>
        <w:rPr>
          <w:sz w:val="24"/>
        </w:rPr>
      </w:pPr>
      <w:r>
        <w:rPr>
          <w:sz w:val="24"/>
        </w:rPr>
        <w:t>inclusion in widely accessible databases or indexes, such as via ‘open access’ or ‘open data’ portals, or similar repositories, whether freely accessible or accessible only upon subscription;</w:t>
      </w:r>
    </w:p>
    <w:p>
      <w:pPr>
        <w:pStyle w:val="ListParagraph"/>
        <w:numPr>
          <w:ilvl w:val="0"/>
          <w:numId w:val="9"/>
        </w:numPr>
        <w:tabs>
          <w:tab w:pos="1459" w:val="left" w:leader="none"/>
        </w:tabs>
        <w:spacing w:line="276" w:lineRule="auto" w:before="1" w:after="0"/>
        <w:ind w:left="1458" w:right="316" w:hanging="360"/>
        <w:jc w:val="both"/>
        <w:rPr>
          <w:sz w:val="24"/>
        </w:rPr>
      </w:pPr>
      <w:r>
        <w:rPr>
          <w:sz w:val="24"/>
        </w:rPr>
        <w:t>edit or re-write in another way the results of the action, including shortening, summarising, modifying the content, correcting technical errors in the content insert other as</w:t>
      </w:r>
      <w:r>
        <w:rPr>
          <w:spacing w:val="-15"/>
          <w:sz w:val="24"/>
        </w:rPr>
        <w:t> </w:t>
      </w:r>
      <w:r>
        <w:rPr>
          <w:sz w:val="24"/>
        </w:rPr>
        <w:t>appropriate;</w:t>
      </w:r>
    </w:p>
    <w:p>
      <w:pPr>
        <w:pStyle w:val="ListParagraph"/>
        <w:numPr>
          <w:ilvl w:val="0"/>
          <w:numId w:val="9"/>
        </w:numPr>
        <w:tabs>
          <w:tab w:pos="1459" w:val="left" w:leader="none"/>
        </w:tabs>
        <w:spacing w:line="278" w:lineRule="auto" w:before="0" w:after="0"/>
        <w:ind w:left="1458" w:right="316" w:hanging="360"/>
        <w:jc w:val="both"/>
        <w:rPr>
          <w:sz w:val="24"/>
        </w:rPr>
      </w:pPr>
      <w:r>
        <w:rPr>
          <w:sz w:val="24"/>
        </w:rPr>
        <w:t>cut,</w:t>
      </w:r>
      <w:r>
        <w:rPr>
          <w:spacing w:val="-4"/>
          <w:sz w:val="24"/>
        </w:rPr>
        <w:t> </w:t>
      </w:r>
      <w:r>
        <w:rPr>
          <w:sz w:val="24"/>
        </w:rPr>
        <w:t>insert</w:t>
      </w:r>
      <w:r>
        <w:rPr>
          <w:spacing w:val="-3"/>
          <w:sz w:val="24"/>
        </w:rPr>
        <w:t> </w:t>
      </w:r>
      <w:r>
        <w:rPr>
          <w:sz w:val="24"/>
        </w:rPr>
        <w:t>meta-data,</w:t>
      </w:r>
      <w:r>
        <w:rPr>
          <w:spacing w:val="-4"/>
          <w:sz w:val="24"/>
        </w:rPr>
        <w:t> </w:t>
      </w:r>
      <w:r>
        <w:rPr>
          <w:sz w:val="24"/>
        </w:rPr>
        <w:t>legends</w:t>
      </w:r>
      <w:r>
        <w:rPr>
          <w:spacing w:val="-4"/>
          <w:sz w:val="24"/>
        </w:rPr>
        <w:t> </w:t>
      </w:r>
      <w:r>
        <w:rPr>
          <w:sz w:val="24"/>
        </w:rPr>
        <w:t>or</w:t>
      </w:r>
      <w:r>
        <w:rPr>
          <w:spacing w:val="-5"/>
          <w:sz w:val="24"/>
        </w:rPr>
        <w:t> </w:t>
      </w:r>
      <w:r>
        <w:rPr>
          <w:sz w:val="24"/>
        </w:rPr>
        <w:t>other</w:t>
      </w:r>
      <w:r>
        <w:rPr>
          <w:spacing w:val="-5"/>
          <w:sz w:val="24"/>
        </w:rPr>
        <w:t> </w:t>
      </w:r>
      <w:r>
        <w:rPr>
          <w:sz w:val="24"/>
        </w:rPr>
        <w:t>graphic,</w:t>
      </w:r>
      <w:r>
        <w:rPr>
          <w:spacing w:val="-4"/>
          <w:sz w:val="24"/>
        </w:rPr>
        <w:t> </w:t>
      </w:r>
      <w:r>
        <w:rPr>
          <w:sz w:val="24"/>
        </w:rPr>
        <w:t>visual,</w:t>
      </w:r>
      <w:r>
        <w:rPr>
          <w:spacing w:val="-4"/>
          <w:sz w:val="24"/>
        </w:rPr>
        <w:t> </w:t>
      </w:r>
      <w:r>
        <w:rPr>
          <w:sz w:val="24"/>
        </w:rPr>
        <w:t>audio</w:t>
      </w:r>
      <w:r>
        <w:rPr>
          <w:spacing w:val="-4"/>
          <w:sz w:val="24"/>
        </w:rPr>
        <w:t> </w:t>
      </w:r>
      <w:r>
        <w:rPr>
          <w:sz w:val="24"/>
        </w:rPr>
        <w:t>or</w:t>
      </w:r>
      <w:r>
        <w:rPr>
          <w:spacing w:val="-5"/>
          <w:sz w:val="24"/>
        </w:rPr>
        <w:t> </w:t>
      </w:r>
      <w:r>
        <w:rPr>
          <w:sz w:val="24"/>
        </w:rPr>
        <w:t>word</w:t>
      </w:r>
      <w:r>
        <w:rPr>
          <w:spacing w:val="-4"/>
          <w:sz w:val="24"/>
        </w:rPr>
        <w:t> </w:t>
      </w:r>
      <w:r>
        <w:rPr>
          <w:sz w:val="24"/>
        </w:rPr>
        <w:t>elements</w:t>
      </w:r>
      <w:r>
        <w:rPr>
          <w:spacing w:val="-4"/>
          <w:sz w:val="24"/>
        </w:rPr>
        <w:t> </w:t>
      </w:r>
      <w:r>
        <w:rPr>
          <w:sz w:val="24"/>
        </w:rPr>
        <w:t>insert</w:t>
      </w:r>
      <w:r>
        <w:rPr>
          <w:spacing w:val="-2"/>
          <w:sz w:val="24"/>
        </w:rPr>
        <w:t> </w:t>
      </w:r>
      <w:r>
        <w:rPr>
          <w:sz w:val="24"/>
        </w:rPr>
        <w:t>other</w:t>
      </w:r>
      <w:r>
        <w:rPr>
          <w:spacing w:val="-5"/>
          <w:sz w:val="24"/>
        </w:rPr>
        <w:t> </w:t>
      </w:r>
      <w:r>
        <w:rPr>
          <w:sz w:val="24"/>
        </w:rPr>
        <w:t>as appropriate in the results of the</w:t>
      </w:r>
      <w:r>
        <w:rPr>
          <w:spacing w:val="-3"/>
          <w:sz w:val="24"/>
        </w:rPr>
        <w:t> </w:t>
      </w:r>
      <w:r>
        <w:rPr>
          <w:sz w:val="24"/>
        </w:rPr>
        <w:t>action;</w:t>
      </w:r>
    </w:p>
    <w:p>
      <w:pPr>
        <w:pStyle w:val="ListParagraph"/>
        <w:numPr>
          <w:ilvl w:val="0"/>
          <w:numId w:val="9"/>
        </w:numPr>
        <w:tabs>
          <w:tab w:pos="1459" w:val="left" w:leader="none"/>
        </w:tabs>
        <w:spacing w:line="276" w:lineRule="auto" w:before="0" w:after="0"/>
        <w:ind w:left="1458" w:right="317" w:hanging="360"/>
        <w:jc w:val="both"/>
        <w:rPr>
          <w:sz w:val="24"/>
        </w:rPr>
      </w:pPr>
      <w:r>
        <w:rPr>
          <w:sz w:val="24"/>
        </w:rPr>
        <w:t>extract a part (e.g. audio or video files) of, divide into parts or compile the results of the action;</w:t>
      </w:r>
    </w:p>
    <w:p>
      <w:pPr>
        <w:pStyle w:val="ListParagraph"/>
        <w:numPr>
          <w:ilvl w:val="0"/>
          <w:numId w:val="9"/>
        </w:numPr>
        <w:tabs>
          <w:tab w:pos="1459" w:val="left" w:leader="none"/>
        </w:tabs>
        <w:spacing w:line="275" w:lineRule="exact" w:before="0" w:after="0"/>
        <w:ind w:left="1458" w:right="0" w:hanging="361"/>
        <w:jc w:val="both"/>
        <w:rPr>
          <w:sz w:val="24"/>
        </w:rPr>
      </w:pPr>
      <w:r>
        <w:rPr>
          <w:sz w:val="24"/>
        </w:rPr>
        <w:t>prepare derivative works of the results of the</w:t>
      </w:r>
      <w:r>
        <w:rPr>
          <w:spacing w:val="-5"/>
          <w:sz w:val="24"/>
        </w:rPr>
        <w:t> </w:t>
      </w:r>
      <w:r>
        <w:rPr>
          <w:sz w:val="24"/>
        </w:rPr>
        <w:t>action;</w:t>
      </w:r>
    </w:p>
    <w:p>
      <w:pPr>
        <w:pStyle w:val="ListParagraph"/>
        <w:numPr>
          <w:ilvl w:val="0"/>
          <w:numId w:val="9"/>
        </w:numPr>
        <w:tabs>
          <w:tab w:pos="1459" w:val="left" w:leader="none"/>
        </w:tabs>
        <w:spacing w:line="240" w:lineRule="auto" w:before="35" w:after="0"/>
        <w:ind w:left="1458" w:right="319" w:hanging="360"/>
        <w:jc w:val="both"/>
        <w:rPr>
          <w:sz w:val="24"/>
        </w:rPr>
      </w:pPr>
      <w:r>
        <w:rPr>
          <w:sz w:val="24"/>
        </w:rPr>
        <w:t>translate, insert subtitles in, dub the results of the action in all official languages of EU, NO and</w:t>
      </w:r>
      <w:r>
        <w:rPr>
          <w:spacing w:val="1"/>
          <w:sz w:val="24"/>
        </w:rPr>
        <w:t> </w:t>
      </w:r>
      <w:r>
        <w:rPr>
          <w:sz w:val="24"/>
        </w:rPr>
        <w:t>IS</w:t>
      </w:r>
    </w:p>
    <w:p>
      <w:pPr>
        <w:pStyle w:val="ListParagraph"/>
        <w:numPr>
          <w:ilvl w:val="0"/>
          <w:numId w:val="9"/>
        </w:numPr>
        <w:tabs>
          <w:tab w:pos="1459" w:val="left" w:leader="none"/>
        </w:tabs>
        <w:spacing w:line="240" w:lineRule="auto" w:before="0" w:after="0"/>
        <w:ind w:left="1458" w:right="315" w:hanging="360"/>
        <w:jc w:val="both"/>
        <w:rPr>
          <w:sz w:val="24"/>
        </w:rPr>
      </w:pPr>
      <w:r>
        <w:rPr>
          <w:sz w:val="24"/>
        </w:rPr>
        <w:t>license or sub-license to third parties, including if there are licensed pre-existing rights, any of the rights or modes of exploitation set out Article II.9.3 of the of the Framework agreement;</w:t>
      </w:r>
    </w:p>
    <w:p>
      <w:pPr>
        <w:pStyle w:val="BodyText"/>
        <w:spacing w:before="5"/>
      </w:pPr>
    </w:p>
    <w:p>
      <w:pPr>
        <w:pStyle w:val="BodyText"/>
        <w:spacing w:line="276" w:lineRule="auto"/>
        <w:ind w:left="738" w:right="319"/>
        <w:jc w:val="both"/>
      </w:pPr>
      <w:r>
        <w:rPr/>
        <w:t>The partner must ensure that the Union has the rights of use specified in Article II.9.3 of the Framework agreement for the whole duration of the industrial or intellectual property right[s] concerned.</w:t>
      </w:r>
    </w:p>
    <w:p>
      <w:pPr>
        <w:pStyle w:val="BodyText"/>
        <w:spacing w:before="11"/>
        <w:rPr>
          <w:sz w:val="20"/>
        </w:rPr>
      </w:pPr>
    </w:p>
    <w:p>
      <w:pPr>
        <w:pStyle w:val="Heading2"/>
        <w:jc w:val="both"/>
      </w:pPr>
      <w:r>
        <w:rPr/>
        <w:t>ARTICLE 10 — INELIGIBILITY OF VALUE ADDED TAX</w:t>
      </w:r>
    </w:p>
    <w:p>
      <w:pPr>
        <w:pStyle w:val="BodyText"/>
        <w:spacing w:before="60"/>
        <w:ind w:left="738" w:right="453"/>
      </w:pPr>
      <w:r>
        <w:rPr/>
        <w:t>As an exception to Article II.19.2(h) of the Framework agreement, paid value added tax (VAT) is not eligible under the Specific agreement for the following activities as described in Annex I:</w:t>
      </w:r>
    </w:p>
    <w:p>
      <w:pPr>
        <w:pStyle w:val="ListParagraph"/>
        <w:numPr>
          <w:ilvl w:val="0"/>
          <w:numId w:val="10"/>
        </w:numPr>
        <w:tabs>
          <w:tab w:pos="1458" w:val="left" w:leader="none"/>
          <w:tab w:pos="1459" w:val="left" w:leader="none"/>
        </w:tabs>
        <w:spacing w:line="240" w:lineRule="auto" w:before="0" w:after="0"/>
        <w:ind w:left="1458" w:right="316" w:hanging="360"/>
        <w:jc w:val="left"/>
        <w:rPr>
          <w:rFonts w:ascii="Symbol" w:hAnsi="Symbol"/>
          <w:sz w:val="24"/>
        </w:rPr>
      </w:pPr>
      <w:r>
        <w:rPr>
          <w:sz w:val="24"/>
        </w:rPr>
        <w:t>taxed activities or exempt activities with right of deduction. For those activities, VAT is deductible, hence</w:t>
      </w:r>
      <w:r>
        <w:rPr>
          <w:spacing w:val="-2"/>
          <w:sz w:val="24"/>
        </w:rPr>
        <w:t> </w:t>
      </w:r>
      <w:r>
        <w:rPr>
          <w:sz w:val="24"/>
        </w:rPr>
        <w:t>ineligible;</w:t>
      </w:r>
    </w:p>
    <w:p>
      <w:pPr>
        <w:pStyle w:val="ListParagraph"/>
        <w:numPr>
          <w:ilvl w:val="0"/>
          <w:numId w:val="10"/>
        </w:numPr>
        <w:tabs>
          <w:tab w:pos="1458" w:val="left" w:leader="none"/>
          <w:tab w:pos="1459" w:val="left" w:leader="none"/>
        </w:tabs>
        <w:spacing w:line="240" w:lineRule="auto" w:before="0" w:after="0"/>
        <w:ind w:left="1458" w:right="319" w:hanging="360"/>
        <w:jc w:val="left"/>
        <w:rPr>
          <w:rFonts w:ascii="Symbol" w:hAnsi="Symbol"/>
          <w:sz w:val="20"/>
        </w:rPr>
      </w:pPr>
      <w:r>
        <w:rPr>
          <w:sz w:val="24"/>
        </w:rPr>
        <w:t>activities engaged in as a public authority by the partner where it is a State, regional or local government authority or another body governed by public</w:t>
      </w:r>
      <w:r>
        <w:rPr>
          <w:spacing w:val="-3"/>
          <w:sz w:val="24"/>
        </w:rPr>
        <w:t> </w:t>
      </w:r>
      <w:r>
        <w:rPr>
          <w:sz w:val="24"/>
        </w:rPr>
        <w:t>law</w:t>
      </w:r>
      <w:r>
        <w:rPr>
          <w:sz w:val="20"/>
        </w:rPr>
        <w:t>.</w:t>
      </w:r>
    </w:p>
    <w:p>
      <w:pPr>
        <w:pStyle w:val="BodyText"/>
        <w:spacing w:before="8"/>
        <w:rPr>
          <w:sz w:val="20"/>
        </w:rPr>
      </w:pPr>
    </w:p>
    <w:p>
      <w:pPr>
        <w:pStyle w:val="Heading2"/>
        <w:spacing w:before="1"/>
        <w:ind w:right="653"/>
      </w:pPr>
      <w:r>
        <w:rPr/>
        <w:t>ARTICLE 11 – SPECIAL PROVISIONS ON BUDGET TRANSFERS INVOLVING USE OF PROVISIONS FOR CONTINGENCIES AND FOREIGN EXCHANGE LOSSES</w:t>
      </w:r>
    </w:p>
    <w:p>
      <w:pPr>
        <w:pStyle w:val="BodyText"/>
        <w:spacing w:before="2"/>
        <w:rPr>
          <w:b/>
          <w:sz w:val="29"/>
        </w:rPr>
      </w:pPr>
    </w:p>
    <w:p>
      <w:pPr>
        <w:pStyle w:val="BodyText"/>
        <w:ind w:left="738" w:right="316"/>
        <w:jc w:val="both"/>
      </w:pPr>
      <w:r>
        <w:rPr/>
        <w:t>As an exception to the first subparagraph of Article II.22 of the Framework agreement, any use of the provisions for contingencies and foreign exchange losses included in the estimated budget in Annex II must be communicated by the partner and approved by the Cedefop.</w:t>
      </w:r>
    </w:p>
    <w:p>
      <w:pPr>
        <w:spacing w:after="0"/>
        <w:jc w:val="both"/>
        <w:sectPr>
          <w:pgSz w:w="12240" w:h="15840"/>
          <w:pgMar w:header="726" w:footer="687" w:top="920" w:bottom="960" w:left="680" w:right="9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91"/>
        <w:ind w:left="738" w:right="0" w:firstLine="0"/>
        <w:jc w:val="left"/>
        <w:rPr>
          <w:sz w:val="22"/>
        </w:rPr>
      </w:pPr>
      <w:r>
        <w:rPr>
          <w:sz w:val="22"/>
        </w:rPr>
        <w:t>SIGNATURES</w:t>
      </w:r>
    </w:p>
    <w:p>
      <w:pPr>
        <w:pStyle w:val="BodyText"/>
        <w:rPr>
          <w:sz w:val="22"/>
        </w:rPr>
      </w:pPr>
    </w:p>
    <w:p>
      <w:pPr>
        <w:tabs>
          <w:tab w:pos="6551" w:val="left" w:leader="none"/>
        </w:tabs>
        <w:spacing w:before="1"/>
        <w:ind w:left="738" w:right="0" w:firstLine="0"/>
        <w:jc w:val="left"/>
        <w:rPr>
          <w:sz w:val="22"/>
        </w:rPr>
      </w:pPr>
      <w:r>
        <w:rPr>
          <w:sz w:val="22"/>
        </w:rPr>
        <w:t>For the</w:t>
      </w:r>
      <w:r>
        <w:rPr>
          <w:spacing w:val="-1"/>
          <w:sz w:val="22"/>
        </w:rPr>
        <w:t> </w:t>
      </w:r>
      <w:r>
        <w:rPr>
          <w:sz w:val="22"/>
        </w:rPr>
        <w:t>partner</w:t>
        <w:tab/>
        <w:t>For</w:t>
      </w:r>
      <w:r>
        <w:rPr>
          <w:spacing w:val="1"/>
          <w:sz w:val="22"/>
        </w:rPr>
        <w:t> </w:t>
      </w:r>
      <w:r>
        <w:rPr>
          <w:sz w:val="22"/>
        </w:rPr>
        <w:t>Cedefop</w:t>
      </w:r>
    </w:p>
    <w:p>
      <w:pPr>
        <w:pStyle w:val="BodyText"/>
        <w:rPr>
          <w:sz w:val="22"/>
        </w:rPr>
      </w:pPr>
    </w:p>
    <w:p>
      <w:pPr>
        <w:tabs>
          <w:tab w:pos="6551" w:val="left" w:leader="none"/>
        </w:tabs>
        <w:spacing w:before="0"/>
        <w:ind w:left="738" w:right="0" w:firstLine="0"/>
        <w:jc w:val="left"/>
        <w:rPr>
          <w:sz w:val="22"/>
        </w:rPr>
      </w:pPr>
      <w:r>
        <w:rPr>
          <w:sz w:val="22"/>
        </w:rPr>
        <w:t>Mr. Ivo</w:t>
      </w:r>
      <w:r>
        <w:rPr>
          <w:spacing w:val="-3"/>
          <w:sz w:val="22"/>
        </w:rPr>
        <w:t> </w:t>
      </w:r>
      <w:r>
        <w:rPr>
          <w:sz w:val="22"/>
        </w:rPr>
        <w:t>Jupa,</w:t>
      </w:r>
      <w:r>
        <w:rPr>
          <w:spacing w:val="-2"/>
          <w:sz w:val="22"/>
        </w:rPr>
        <w:t> </w:t>
      </w:r>
      <w:r>
        <w:rPr>
          <w:sz w:val="22"/>
        </w:rPr>
        <w:t>Director</w:t>
        <w:tab/>
        <w:t>Loukas Zacheilas, Head of</w:t>
      </w:r>
      <w:r>
        <w:rPr>
          <w:spacing w:val="-5"/>
          <w:sz w:val="22"/>
        </w:rPr>
        <w:t> </w:t>
      </w:r>
      <w:r>
        <w:rPr>
          <w:sz w:val="22"/>
        </w:rPr>
        <w:t>DVQ</w:t>
      </w:r>
    </w:p>
    <w:p>
      <w:pPr>
        <w:spacing w:after="0"/>
        <w:jc w:val="left"/>
        <w:rPr>
          <w:sz w:val="22"/>
        </w:rPr>
        <w:sectPr>
          <w:pgSz w:w="12240" w:h="15840"/>
          <w:pgMar w:header="726" w:footer="687" w:top="920" w:bottom="960" w:left="680" w:right="940"/>
        </w:sectPr>
      </w:pPr>
    </w:p>
    <w:p>
      <w:pPr>
        <w:spacing w:line="237" w:lineRule="auto" w:before="39"/>
        <w:ind w:left="718" w:right="0" w:firstLine="0"/>
        <w:jc w:val="left"/>
        <w:rPr>
          <w:rFonts w:ascii="Calibri"/>
          <w:sz w:val="48"/>
        </w:rPr>
      </w:pPr>
      <w:r>
        <w:rPr/>
        <w:pict>
          <v:shape style="position:absolute;margin-left:105.766739pt;margin-top:4.819216pt;width:57.65pt;height:57.25pt;mso-position-horizontal-relative:page;mso-position-vertical-relative:paragraph;z-index:-252182528" coordorigin="2115,96" coordsize="1153,1145" path="m2323,999l2223,1064,2159,1127,2125,1182,2115,1222,2123,1237,2129,1241,2207,1241,2210,1238,2138,1238,2148,1196,2185,1135,2246,1067,2323,999xm2608,96l2585,112,2573,147,2569,188,2568,216,2569,242,2572,270,2575,299,2580,330,2586,361,2592,392,2600,425,2608,457,2603,483,2588,528,2565,589,2535,662,2498,743,2457,829,2412,915,2365,998,2317,1075,2269,1141,2222,1193,2178,1226,2138,1238,2210,1238,2249,1210,2303,1152,2365,1067,2436,952,2447,949,2436,949,2495,843,2540,754,2574,679,2599,617,2617,565,2629,521,2671,521,2645,453,2653,393,2629,393,2616,342,2607,292,2602,245,2600,203,2600,185,2603,156,2611,124,2625,103,2653,103,2638,98,2608,96xm3239,946l3223,946,3210,958,3210,990,3223,1001,3256,1001,3262,996,3227,996,3216,986,3216,961,3227,952,3257,952,3251,948,3239,946xm3257,952l3253,952,3261,961,3261,986,3253,996,3262,996,3268,990,3268,974,3266,963,3260,954,3257,952xm3247,956l3228,956,3228,990,3234,990,3234,977,3249,977,3248,976,3245,974,3252,972,3234,972,3234,963,3251,963,3250,960,3247,956xm3249,977l3241,977,3243,980,3245,984,3246,990,3252,990,3250,984,3250,979,3249,977xm3251,963l3242,963,3245,964,3245,971,3241,972,3252,972,3252,967,3251,963xm2671,521l2629,521,2680,627,2732,705,2784,760,2831,798,2870,823,2800,836,2728,852,2655,872,2581,894,2507,920,2436,949,2447,949,2508,929,2585,908,2666,890,2749,875,2832,862,2914,852,3002,852,2983,844,3062,840,3244,840,3214,824,3170,815,2931,815,2904,799,2877,782,2851,765,2825,747,2767,687,2717,616,2677,537,2671,521xm3002,852l2914,852,2991,887,3067,913,3137,930,3195,936,3219,934,3238,929,3250,921,3252,917,3220,917,3173,912,3116,897,3051,874,3002,852xm3256,909l3248,912,3235,917,3252,917,3256,909xm3244,840l3062,840,3155,843,3231,859,3261,896,3264,888,3268,884,3268,876,3254,846,3244,840xm3072,807l3041,807,3006,809,2931,815,3170,815,3152,811,3072,807xm2665,193l2658,227,2651,272,2642,327,2629,393,2653,393,2654,386,2660,321,2662,257,2665,193xm2653,103l2625,103,2637,111,2650,124,2659,144,2665,172,2669,128,2659,106,2653,103xe" filled="true" fillcolor="#ffd8d8" stroked="false">
            <v:path arrowok="t"/>
            <v:fill type="solid"/>
            <w10:wrap type="none"/>
          </v:shape>
        </w:pict>
      </w:r>
      <w:r>
        <w:rPr>
          <w:rFonts w:ascii="Calibri"/>
          <w:w w:val="105"/>
          <w:sz w:val="48"/>
        </w:rPr>
        <w:t>Ivo Jupa</w:t>
      </w:r>
    </w:p>
    <w:p>
      <w:pPr>
        <w:spacing w:before="64"/>
        <w:ind w:left="738" w:right="0" w:firstLine="0"/>
        <w:jc w:val="left"/>
        <w:rPr>
          <w:sz w:val="22"/>
        </w:rPr>
      </w:pPr>
      <w:r>
        <w:rPr>
          <w:spacing w:val="-1"/>
          <w:sz w:val="22"/>
        </w:rPr>
        <w:t>[signature]</w:t>
      </w:r>
    </w:p>
    <w:p>
      <w:pPr>
        <w:spacing w:line="247" w:lineRule="auto" w:before="149"/>
        <w:ind w:left="300" w:right="10" w:firstLine="0"/>
        <w:jc w:val="left"/>
        <w:rPr>
          <w:rFonts w:ascii="Calibri" w:hAnsi="Calibri"/>
          <w:sz w:val="16"/>
        </w:rPr>
      </w:pPr>
      <w:r>
        <w:rPr/>
        <w:br w:type="column"/>
      </w:r>
      <w:r>
        <w:rPr>
          <w:rFonts w:ascii="Calibri" w:hAnsi="Calibri"/>
          <w:w w:val="110"/>
          <w:sz w:val="16"/>
        </w:rPr>
        <w:t>Digitálně podepsal Ivo Jupa Datum: 2022.12.22</w:t>
      </w:r>
    </w:p>
    <w:p>
      <w:pPr>
        <w:spacing w:line="191" w:lineRule="exact" w:before="0"/>
        <w:ind w:left="300" w:right="0" w:firstLine="0"/>
        <w:jc w:val="left"/>
        <w:rPr>
          <w:rFonts w:ascii="Calibri"/>
          <w:sz w:val="16"/>
        </w:rPr>
      </w:pPr>
      <w:r>
        <w:rPr>
          <w:rFonts w:ascii="Calibri"/>
          <w:w w:val="105"/>
          <w:sz w:val="16"/>
        </w:rPr>
        <w:t>10:10:26 +01'00'</w:t>
      </w:r>
    </w:p>
    <w:p>
      <w:pPr>
        <w:pStyle w:val="BodyText"/>
        <w:rPr>
          <w:rFonts w:ascii="Calibri"/>
          <w:sz w:val="19"/>
        </w:rPr>
      </w:pPr>
      <w:r>
        <w:rPr/>
        <w:br w:type="column"/>
      </w:r>
      <w:r>
        <w:rPr>
          <w:rFonts w:ascii="Calibri"/>
          <w:sz w:val="19"/>
        </w:rPr>
      </w:r>
    </w:p>
    <w:p>
      <w:pPr>
        <w:spacing w:before="0"/>
        <w:ind w:left="718" w:right="0" w:firstLine="0"/>
        <w:jc w:val="left"/>
        <w:rPr>
          <w:rFonts w:ascii="Lucida Sans"/>
          <w:sz w:val="15"/>
        </w:rPr>
      </w:pPr>
      <w:r>
        <w:rPr>
          <w:rFonts w:ascii="Lucida Sans"/>
          <w:sz w:val="15"/>
        </w:rPr>
        <w:t>Digitally signed by:</w:t>
      </w:r>
    </w:p>
    <w:p>
      <w:pPr>
        <w:spacing w:line="451" w:lineRule="auto" w:before="156"/>
        <w:ind w:left="718" w:right="334" w:firstLine="0"/>
        <w:jc w:val="left"/>
        <w:rPr>
          <w:rFonts w:ascii="Lucida Sans"/>
          <w:sz w:val="15"/>
        </w:rPr>
      </w:pPr>
      <w:r>
        <w:rPr>
          <w:rFonts w:ascii="Lucida Sans"/>
          <w:sz w:val="15"/>
        </w:rPr>
        <w:t>LOUKAS ZACHEILAS (EUROPEAN CENTRE FOR DEVELOPMENT</w:t>
      </w:r>
      <w:r>
        <w:rPr>
          <w:rFonts w:ascii="Lucida Sans"/>
          <w:spacing w:val="-31"/>
          <w:sz w:val="15"/>
        </w:rPr>
        <w:t> </w:t>
      </w:r>
      <w:r>
        <w:rPr>
          <w:rFonts w:ascii="Lucida Sans"/>
          <w:sz w:val="15"/>
        </w:rPr>
        <w:t>OF</w:t>
      </w:r>
      <w:r>
        <w:rPr>
          <w:rFonts w:ascii="Lucida Sans"/>
          <w:spacing w:val="-30"/>
          <w:sz w:val="15"/>
        </w:rPr>
        <w:t> </w:t>
      </w:r>
      <w:r>
        <w:rPr>
          <w:rFonts w:ascii="Lucida Sans"/>
          <w:sz w:val="15"/>
        </w:rPr>
        <w:t>VOCATIONAL</w:t>
      </w:r>
      <w:r>
        <w:rPr>
          <w:rFonts w:ascii="Lucida Sans"/>
          <w:spacing w:val="-30"/>
          <w:sz w:val="15"/>
        </w:rPr>
        <w:t> </w:t>
      </w:r>
      <w:r>
        <w:rPr>
          <w:rFonts w:ascii="Lucida Sans"/>
          <w:sz w:val="15"/>
        </w:rPr>
        <w:t>TRAINING</w:t>
      </w:r>
      <w:r>
        <w:rPr>
          <w:rFonts w:ascii="Lucida Sans"/>
          <w:spacing w:val="-30"/>
          <w:sz w:val="15"/>
        </w:rPr>
        <w:t> </w:t>
      </w:r>
      <w:r>
        <w:rPr>
          <w:rFonts w:ascii="Lucida Sans"/>
          <w:sz w:val="15"/>
        </w:rPr>
        <w:t>(CEDEFOP))</w:t>
      </w:r>
    </w:p>
    <w:p>
      <w:pPr>
        <w:spacing w:line="168" w:lineRule="auto" w:before="31"/>
        <w:ind w:left="718" w:right="0" w:firstLine="0"/>
        <w:jc w:val="left"/>
        <w:rPr>
          <w:rFonts w:ascii="Lucida Sans"/>
          <w:sz w:val="15"/>
        </w:rPr>
      </w:pPr>
      <w:r>
        <w:rPr>
          <w:rFonts w:ascii="Lucida Sans"/>
          <w:spacing w:val="-5"/>
          <w:w w:val="96"/>
          <w:sz w:val="15"/>
        </w:rPr>
        <w:t>D</w:t>
      </w:r>
      <w:r>
        <w:rPr>
          <w:spacing w:val="-69"/>
          <w:w w:val="100"/>
          <w:position w:val="-9"/>
          <w:sz w:val="22"/>
        </w:rPr>
        <w:t>[</w:t>
      </w:r>
      <w:r>
        <w:rPr>
          <w:rFonts w:ascii="Lucida Sans"/>
          <w:spacing w:val="-14"/>
          <w:w w:val="100"/>
          <w:sz w:val="15"/>
        </w:rPr>
        <w:t>a</w:t>
      </w:r>
      <w:r>
        <w:rPr>
          <w:spacing w:val="-73"/>
          <w:w w:val="100"/>
          <w:position w:val="-9"/>
          <w:sz w:val="22"/>
        </w:rPr>
        <w:t>s</w:t>
      </w:r>
      <w:r>
        <w:rPr>
          <w:rFonts w:ascii="Lucida Sans"/>
          <w:w w:val="95"/>
          <w:sz w:val="15"/>
        </w:rPr>
        <w:t>t</w:t>
      </w:r>
      <w:r>
        <w:rPr>
          <w:rFonts w:ascii="Lucida Sans"/>
          <w:spacing w:val="-65"/>
          <w:w w:val="100"/>
          <w:sz w:val="15"/>
        </w:rPr>
        <w:t>e</w:t>
      </w:r>
      <w:r>
        <w:rPr>
          <w:spacing w:val="1"/>
          <w:w w:val="100"/>
          <w:position w:val="-9"/>
          <w:sz w:val="22"/>
        </w:rPr>
        <w:t>i</w:t>
      </w:r>
      <w:r>
        <w:rPr>
          <w:spacing w:val="-109"/>
          <w:w w:val="100"/>
          <w:position w:val="-9"/>
          <w:sz w:val="22"/>
        </w:rPr>
        <w:t>g</w:t>
      </w:r>
      <w:r>
        <w:rPr>
          <w:rFonts w:ascii="Lucida Sans"/>
          <w:w w:val="83"/>
          <w:sz w:val="15"/>
        </w:rPr>
        <w:t>:</w:t>
      </w:r>
      <w:r>
        <w:rPr>
          <w:rFonts w:ascii="Lucida Sans"/>
          <w:spacing w:val="18"/>
          <w:sz w:val="15"/>
        </w:rPr>
        <w:t> </w:t>
      </w:r>
      <w:r>
        <w:rPr>
          <w:spacing w:val="-100"/>
          <w:w w:val="100"/>
          <w:position w:val="-9"/>
          <w:sz w:val="22"/>
        </w:rPr>
        <w:t>n</w:t>
      </w:r>
      <w:r>
        <w:rPr>
          <w:rFonts w:ascii="Lucida Sans"/>
          <w:w w:val="89"/>
          <w:sz w:val="15"/>
        </w:rPr>
        <w:t>2</w:t>
      </w:r>
      <w:r>
        <w:rPr>
          <w:rFonts w:ascii="Lucida Sans"/>
          <w:spacing w:val="-71"/>
          <w:w w:val="89"/>
          <w:sz w:val="15"/>
        </w:rPr>
        <w:t>0</w:t>
      </w:r>
      <w:r>
        <w:rPr>
          <w:spacing w:val="-28"/>
          <w:w w:val="100"/>
          <w:position w:val="-9"/>
          <w:sz w:val="22"/>
        </w:rPr>
        <w:t>a</w:t>
      </w:r>
      <w:r>
        <w:rPr>
          <w:rFonts w:ascii="Lucida Sans"/>
          <w:spacing w:val="-58"/>
          <w:w w:val="89"/>
          <w:sz w:val="15"/>
        </w:rPr>
        <w:t>2</w:t>
      </w:r>
      <w:r>
        <w:rPr>
          <w:spacing w:val="-4"/>
          <w:w w:val="100"/>
          <w:position w:val="-9"/>
          <w:sz w:val="22"/>
        </w:rPr>
        <w:t>t</w:t>
      </w:r>
      <w:r>
        <w:rPr>
          <w:rFonts w:ascii="Lucida Sans"/>
          <w:spacing w:val="-83"/>
          <w:w w:val="89"/>
          <w:sz w:val="15"/>
        </w:rPr>
        <w:t>2</w:t>
      </w:r>
      <w:r>
        <w:rPr>
          <w:spacing w:val="-28"/>
          <w:w w:val="100"/>
          <w:position w:val="-9"/>
          <w:sz w:val="22"/>
        </w:rPr>
        <w:t>u</w:t>
      </w:r>
      <w:r>
        <w:rPr>
          <w:rFonts w:ascii="Lucida Sans"/>
          <w:spacing w:val="-21"/>
          <w:w w:val="98"/>
          <w:sz w:val="15"/>
        </w:rPr>
        <w:t>-</w:t>
      </w:r>
      <w:r>
        <w:rPr>
          <w:spacing w:val="-54"/>
          <w:w w:val="100"/>
          <w:position w:val="-9"/>
          <w:sz w:val="22"/>
        </w:rPr>
        <w:t>r</w:t>
      </w:r>
      <w:r>
        <w:rPr>
          <w:rFonts w:ascii="Lucida Sans"/>
          <w:spacing w:val="-31"/>
          <w:w w:val="89"/>
          <w:sz w:val="15"/>
        </w:rPr>
        <w:t>1</w:t>
      </w:r>
      <w:r>
        <w:rPr>
          <w:spacing w:val="-68"/>
          <w:w w:val="100"/>
          <w:position w:val="-9"/>
          <w:sz w:val="22"/>
        </w:rPr>
        <w:t>e</w:t>
      </w:r>
      <w:r>
        <w:rPr>
          <w:rFonts w:ascii="Lucida Sans"/>
          <w:spacing w:val="-20"/>
          <w:w w:val="89"/>
          <w:sz w:val="15"/>
        </w:rPr>
        <w:t>2</w:t>
      </w:r>
      <w:r>
        <w:rPr>
          <w:spacing w:val="-54"/>
          <w:w w:val="100"/>
          <w:position w:val="-9"/>
          <w:sz w:val="22"/>
        </w:rPr>
        <w:t>]</w:t>
      </w:r>
      <w:r>
        <w:rPr>
          <w:rFonts w:ascii="Lucida Sans"/>
          <w:w w:val="91"/>
          <w:sz w:val="15"/>
        </w:rPr>
        <w:t>-21</w:t>
      </w:r>
      <w:r>
        <w:rPr>
          <w:rFonts w:ascii="Lucida Sans"/>
          <w:spacing w:val="-9"/>
          <w:sz w:val="15"/>
        </w:rPr>
        <w:t> </w:t>
      </w:r>
      <w:r>
        <w:rPr>
          <w:rFonts w:ascii="Lucida Sans"/>
          <w:w w:val="88"/>
          <w:sz w:val="15"/>
        </w:rPr>
        <w:t>12:48:10</w:t>
      </w:r>
      <w:r>
        <w:rPr>
          <w:rFonts w:ascii="Lucida Sans"/>
          <w:spacing w:val="-9"/>
          <w:sz w:val="15"/>
        </w:rPr>
        <w:t> </w:t>
      </w:r>
      <w:r>
        <w:rPr>
          <w:rFonts w:ascii="Lucida Sans"/>
          <w:w w:val="94"/>
          <w:sz w:val="15"/>
        </w:rPr>
        <w:t>UTC</w:t>
      </w:r>
    </w:p>
    <w:p>
      <w:pPr>
        <w:spacing w:after="0" w:line="168" w:lineRule="auto"/>
        <w:jc w:val="left"/>
        <w:rPr>
          <w:rFonts w:ascii="Lucida Sans"/>
          <w:sz w:val="15"/>
        </w:rPr>
        <w:sectPr>
          <w:type w:val="continuous"/>
          <w:pgSz w:w="12240" w:h="15840"/>
          <w:pgMar w:top="920" w:bottom="880" w:left="680" w:right="940"/>
          <w:cols w:num="3" w:equalWidth="0">
            <w:col w:w="1693" w:space="40"/>
            <w:col w:w="1597" w:space="2398"/>
            <w:col w:w="4892"/>
          </w:cols>
        </w:sectPr>
      </w:pPr>
    </w:p>
    <w:p>
      <w:pPr>
        <w:pStyle w:val="BodyText"/>
        <w:spacing w:before="9"/>
        <w:rPr>
          <w:rFonts w:ascii="Lucida Sans"/>
          <w:sz w:val="13"/>
        </w:rPr>
      </w:pPr>
    </w:p>
    <w:p>
      <w:pPr>
        <w:tabs>
          <w:tab w:pos="6498" w:val="left" w:leader="none"/>
        </w:tabs>
        <w:spacing w:before="92"/>
        <w:ind w:left="738" w:right="0" w:firstLine="0"/>
        <w:jc w:val="left"/>
        <w:rPr>
          <w:sz w:val="22"/>
        </w:rPr>
      </w:pPr>
      <w:r>
        <w:rPr>
          <w:sz w:val="22"/>
        </w:rPr>
        <w:t>Done at,</w:t>
      </w:r>
      <w:r>
        <w:rPr>
          <w:spacing w:val="-3"/>
          <w:sz w:val="22"/>
        </w:rPr>
        <w:t> </w:t>
      </w:r>
      <w:r>
        <w:rPr>
          <w:sz w:val="22"/>
        </w:rPr>
        <w:t>Prague,</w:t>
      </w:r>
      <w:r>
        <w:rPr>
          <w:spacing w:val="-3"/>
          <w:sz w:val="22"/>
        </w:rPr>
        <w:t> </w:t>
      </w:r>
      <w:r>
        <w:rPr>
          <w:sz w:val="22"/>
        </w:rPr>
        <w:t>[date]</w:t>
        <w:tab/>
        <w:t>Done at Thessaloniki,</w:t>
      </w:r>
      <w:r>
        <w:rPr>
          <w:spacing w:val="-2"/>
          <w:sz w:val="22"/>
        </w:rPr>
        <w:t> </w:t>
      </w:r>
      <w:r>
        <w:rPr>
          <w:sz w:val="22"/>
        </w:rPr>
        <w:t>[date]</w:t>
      </w:r>
    </w:p>
    <w:p>
      <w:pPr>
        <w:pStyle w:val="BodyText"/>
      </w:pPr>
    </w:p>
    <w:p>
      <w:pPr>
        <w:pStyle w:val="BodyText"/>
      </w:pPr>
    </w:p>
    <w:p>
      <w:pPr>
        <w:spacing w:before="207"/>
        <w:ind w:left="738" w:right="0" w:firstLine="0"/>
        <w:jc w:val="left"/>
        <w:rPr>
          <w:sz w:val="22"/>
        </w:rPr>
      </w:pPr>
      <w:r>
        <w:rPr>
          <w:sz w:val="22"/>
        </w:rPr>
        <w:t>In duplicate in English</w:t>
      </w:r>
    </w:p>
    <w:p>
      <w:pPr>
        <w:spacing w:after="0"/>
        <w:jc w:val="left"/>
        <w:rPr>
          <w:sz w:val="22"/>
        </w:rPr>
        <w:sectPr>
          <w:type w:val="continuous"/>
          <w:pgSz w:w="12240" w:h="15840"/>
          <w:pgMar w:top="920" w:bottom="880" w:left="680" w:right="940"/>
        </w:sectPr>
      </w:pPr>
    </w:p>
    <w:p>
      <w:pPr>
        <w:pStyle w:val="BodyText"/>
        <w:rPr>
          <w:sz w:val="20"/>
        </w:rPr>
      </w:pPr>
    </w:p>
    <w:p>
      <w:pPr>
        <w:pStyle w:val="BodyText"/>
        <w:rPr>
          <w:sz w:val="20"/>
        </w:rPr>
      </w:pPr>
    </w:p>
    <w:p>
      <w:pPr>
        <w:pStyle w:val="BodyText"/>
        <w:spacing w:before="9"/>
        <w:rPr>
          <w:sz w:val="16"/>
        </w:rPr>
      </w:pPr>
    </w:p>
    <w:p>
      <w:pPr>
        <w:pStyle w:val="Heading2"/>
        <w:spacing w:line="451" w:lineRule="auto" w:before="90"/>
        <w:ind w:left="4261" w:right="3826" w:firstLine="619"/>
      </w:pPr>
      <w:r>
        <w:rPr/>
        <w:t>Annex I Description of the action</w:t>
      </w:r>
    </w:p>
    <w:p>
      <w:pPr>
        <w:spacing w:line="273" w:lineRule="exact" w:before="0"/>
        <w:ind w:left="58" w:right="0" w:firstLine="0"/>
        <w:jc w:val="center"/>
        <w:rPr>
          <w:b/>
          <w:sz w:val="24"/>
        </w:rPr>
      </w:pPr>
      <w:r>
        <w:rPr>
          <w:b/>
          <w:sz w:val="24"/>
        </w:rPr>
        <w:t>GP/DVQ/ReferNet-SGA/001/22</w:t>
      </w:r>
    </w:p>
    <w:p>
      <w:pPr>
        <w:pStyle w:val="BodyText"/>
        <w:spacing w:before="1"/>
        <w:rPr>
          <w:b/>
          <w:sz w:val="21"/>
        </w:rPr>
      </w:pPr>
    </w:p>
    <w:p>
      <w:pPr>
        <w:spacing w:before="0"/>
        <w:ind w:left="417" w:right="0" w:firstLine="0"/>
        <w:jc w:val="center"/>
        <w:rPr>
          <w:b/>
          <w:sz w:val="24"/>
        </w:rPr>
      </w:pPr>
      <w:r>
        <w:rPr>
          <w:b/>
          <w:sz w:val="24"/>
        </w:rPr>
        <w:t>as per Annex I to the Call for proposals dispatched via email on 24/10/2022</w:t>
      </w:r>
    </w:p>
    <w:p>
      <w:pPr>
        <w:spacing w:after="0"/>
        <w:jc w:val="center"/>
        <w:rPr>
          <w:sz w:val="24"/>
        </w:rPr>
        <w:sectPr>
          <w:pgSz w:w="12240" w:h="15840"/>
          <w:pgMar w:header="726" w:footer="687" w:top="920" w:bottom="960" w:left="680" w:right="9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2"/>
        </w:rPr>
      </w:pPr>
    </w:p>
    <w:p>
      <w:pPr>
        <w:tabs>
          <w:tab w:pos="1693" w:val="left" w:leader="none"/>
        </w:tabs>
        <w:spacing w:before="0"/>
        <w:ind w:left="416" w:right="0" w:firstLine="0"/>
        <w:jc w:val="center"/>
        <w:rPr>
          <w:b/>
          <w:sz w:val="24"/>
        </w:rPr>
      </w:pPr>
      <w:r>
        <w:rPr>
          <w:b/>
          <w:sz w:val="24"/>
        </w:rPr>
        <w:t>Annex</w:t>
      </w:r>
      <w:r>
        <w:rPr>
          <w:b/>
          <w:spacing w:val="-1"/>
          <w:sz w:val="24"/>
        </w:rPr>
        <w:t> </w:t>
      </w:r>
      <w:r>
        <w:rPr>
          <w:b/>
          <w:sz w:val="24"/>
        </w:rPr>
        <w:t>II</w:t>
        <w:tab/>
        <w:t>Estimated budget</w:t>
      </w:r>
    </w:p>
    <w:p>
      <w:pPr>
        <w:spacing w:after="0"/>
        <w:jc w:val="center"/>
        <w:rPr>
          <w:sz w:val="24"/>
        </w:rPr>
        <w:sectPr>
          <w:pgSz w:w="12240" w:h="15840"/>
          <w:pgMar w:header="726" w:footer="687" w:top="920" w:bottom="960" w:left="680" w:right="940"/>
        </w:sectPr>
      </w:pPr>
    </w:p>
    <w:p>
      <w:pPr>
        <w:spacing w:before="84"/>
        <w:ind w:left="0" w:right="314" w:firstLine="0"/>
        <w:jc w:val="right"/>
        <w:rPr>
          <w:rFonts w:ascii="Arial"/>
          <w:i/>
          <w:sz w:val="16"/>
        </w:rPr>
      </w:pPr>
      <w:bookmarkStart w:name="Application form SGA 2023_NPI_CZ 8" w:id="2"/>
      <w:bookmarkEnd w:id="2"/>
      <w:r>
        <w:rPr/>
      </w:r>
      <w:r>
        <w:rPr>
          <w:rFonts w:ascii="Arial"/>
          <w:i/>
          <w:sz w:val="16"/>
        </w:rPr>
        <w:t>GP/DVQ/ReferNet-SGA/001/22</w:t>
      </w:r>
    </w:p>
    <w:p>
      <w:pPr>
        <w:pStyle w:val="BodyText"/>
        <w:spacing w:before="6"/>
        <w:rPr>
          <w:rFonts w:ascii="Arial"/>
          <w:i/>
          <w:sz w:val="20"/>
        </w:rPr>
      </w:pPr>
      <w:r>
        <w:rPr/>
        <w:pict>
          <v:group style="position:absolute;margin-left:46.919998pt;margin-top:13.800781pt;width:513pt;height:1pt;mso-position-horizontal-relative:page;mso-position-vertical-relative:paragraph;z-index:-251654144;mso-wrap-distance-left:0;mso-wrap-distance-right:0" coordorigin="938,276" coordsize="10260,20">
            <v:line style="position:absolute" from="1044,290" to="11198,290" stroked="true" strokeweight=".48pt" strokecolor="#000000">
              <v:stroke dashstyle="solid"/>
            </v:line>
            <v:line style="position:absolute" from="938,281" to="10982,281" stroked="true" strokeweight=".48pt" strokecolor="#000000">
              <v:stroke dashstyle="solid"/>
            </v:line>
            <w10:wrap type="topAndBottom"/>
          </v:group>
        </w:pict>
      </w:r>
    </w:p>
    <w:p>
      <w:pPr>
        <w:pStyle w:val="BodyText"/>
        <w:rPr>
          <w:rFonts w:ascii="Arial"/>
          <w:i/>
          <w:sz w:val="20"/>
        </w:rPr>
      </w:pPr>
    </w:p>
    <w:p>
      <w:pPr>
        <w:pStyle w:val="BodyText"/>
        <w:spacing w:before="6"/>
        <w:rPr>
          <w:rFonts w:ascii="Arial"/>
          <w:i/>
          <w:sz w:val="17"/>
        </w:rPr>
      </w:pPr>
    </w:p>
    <w:p>
      <w:pPr>
        <w:spacing w:before="93"/>
        <w:ind w:left="472" w:right="0" w:firstLine="0"/>
        <w:jc w:val="left"/>
        <w:rPr>
          <w:rFonts w:ascii="Arial"/>
          <w:b/>
          <w:sz w:val="22"/>
        </w:rPr>
      </w:pPr>
      <w:r>
        <w:rPr>
          <w:rFonts w:ascii="Arial"/>
          <w:b/>
          <w:sz w:val="22"/>
          <w:u w:val="thick"/>
        </w:rPr>
        <w:t>Breakdown of estimated costs per activity:</w:t>
      </w:r>
    </w:p>
    <w:p>
      <w:pPr>
        <w:pStyle w:val="BodyText"/>
        <w:spacing w:before="8"/>
        <w:rPr>
          <w:rFonts w:ascii="Arial"/>
          <w:b/>
          <w:sz w:val="8"/>
        </w:rPr>
      </w:pPr>
    </w:p>
    <w:tbl>
      <w:tblPr>
        <w:tblW w:w="0" w:type="auto"/>
        <w:jc w:val="left"/>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53"/>
        <w:gridCol w:w="2700"/>
      </w:tblGrid>
      <w:tr>
        <w:trPr>
          <w:trHeight w:val="450" w:hRule="atLeast"/>
        </w:trPr>
        <w:tc>
          <w:tcPr>
            <w:tcW w:w="7453" w:type="dxa"/>
            <w:tcBorders>
              <w:left w:val="single" w:sz="4" w:space="0" w:color="000000"/>
              <w:bottom w:val="dashSmallGap" w:sz="4" w:space="0" w:color="000000"/>
              <w:right w:val="single" w:sz="4" w:space="0" w:color="000000"/>
            </w:tcBorders>
            <w:shd w:val="clear" w:color="auto" w:fill="C0C0C0"/>
          </w:tcPr>
          <w:p>
            <w:pPr>
              <w:pStyle w:val="TableParagraph"/>
              <w:spacing w:before="98"/>
              <w:ind w:left="107"/>
              <w:rPr>
                <w:sz w:val="22"/>
              </w:rPr>
            </w:pPr>
            <w:r>
              <w:rPr>
                <w:sz w:val="22"/>
              </w:rPr>
              <w:t>Estimated eligible costs for deliverable 1a: VET policy reporting</w:t>
            </w:r>
          </w:p>
        </w:tc>
        <w:tc>
          <w:tcPr>
            <w:tcW w:w="2700" w:type="dxa"/>
            <w:tcBorders>
              <w:left w:val="single" w:sz="4" w:space="0" w:color="000000"/>
              <w:bottom w:val="single" w:sz="4" w:space="0" w:color="000000"/>
              <w:right w:val="nil"/>
            </w:tcBorders>
          </w:tcPr>
          <w:p>
            <w:pPr>
              <w:pStyle w:val="TableParagraph"/>
              <w:spacing w:before="98"/>
              <w:ind w:left="919" w:right="1078"/>
              <w:jc w:val="center"/>
              <w:rPr>
                <w:sz w:val="22"/>
              </w:rPr>
            </w:pPr>
            <w:r>
              <w:rPr>
                <w:sz w:val="22"/>
              </w:rPr>
              <w:t>12000</w:t>
            </w:r>
          </w:p>
        </w:tc>
      </w:tr>
      <w:tr>
        <w:trPr>
          <w:trHeight w:val="705" w:hRule="atLeast"/>
        </w:trPr>
        <w:tc>
          <w:tcPr>
            <w:tcW w:w="7453" w:type="dxa"/>
            <w:tcBorders>
              <w:top w:val="dashSmallGap" w:sz="4" w:space="0" w:color="000000"/>
              <w:left w:val="single" w:sz="4" w:space="0" w:color="000000"/>
              <w:bottom w:val="dashSmallGap" w:sz="4" w:space="0" w:color="000000"/>
              <w:right w:val="single" w:sz="4" w:space="0" w:color="000000"/>
            </w:tcBorders>
            <w:shd w:val="clear" w:color="auto" w:fill="C0C0C0"/>
          </w:tcPr>
          <w:p>
            <w:pPr>
              <w:pStyle w:val="TableParagraph"/>
              <w:ind w:left="107" w:right="1446"/>
              <w:rPr>
                <w:sz w:val="22"/>
              </w:rPr>
            </w:pPr>
            <w:r>
              <w:rPr>
                <w:sz w:val="22"/>
              </w:rPr>
              <w:t>Estimated eligible costs for deliverable 1b: Timeline of policy developments visualisation tool</w:t>
            </w:r>
          </w:p>
        </w:tc>
        <w:tc>
          <w:tcPr>
            <w:tcW w:w="2700" w:type="dxa"/>
            <w:tcBorders>
              <w:top w:val="single" w:sz="4" w:space="0" w:color="000000"/>
              <w:left w:val="single" w:sz="4" w:space="0" w:color="000000"/>
              <w:bottom w:val="single" w:sz="4" w:space="0" w:color="000000"/>
              <w:right w:val="nil"/>
            </w:tcBorders>
          </w:tcPr>
          <w:p>
            <w:pPr>
              <w:pStyle w:val="TableParagraph"/>
              <w:spacing w:before="9"/>
              <w:rPr>
                <w:b/>
                <w:sz w:val="19"/>
              </w:rPr>
            </w:pPr>
          </w:p>
          <w:p>
            <w:pPr>
              <w:pStyle w:val="TableParagraph"/>
              <w:spacing w:before="0"/>
              <w:ind w:left="942" w:right="933"/>
              <w:jc w:val="center"/>
              <w:rPr>
                <w:sz w:val="22"/>
              </w:rPr>
            </w:pPr>
            <w:r>
              <w:rPr>
                <w:sz w:val="22"/>
              </w:rPr>
              <w:t>4000</w:t>
            </w:r>
          </w:p>
        </w:tc>
      </w:tr>
      <w:tr>
        <w:trPr>
          <w:trHeight w:val="453" w:hRule="atLeast"/>
        </w:trPr>
        <w:tc>
          <w:tcPr>
            <w:tcW w:w="7453" w:type="dxa"/>
            <w:tcBorders>
              <w:top w:val="dashSmallGap" w:sz="4" w:space="0" w:color="000000"/>
              <w:left w:val="single" w:sz="4" w:space="0" w:color="000000"/>
              <w:bottom w:val="dashSmallGap" w:sz="4" w:space="0" w:color="000000"/>
              <w:right w:val="single" w:sz="4" w:space="0" w:color="000000"/>
            </w:tcBorders>
            <w:shd w:val="clear" w:color="auto" w:fill="C0C0C0"/>
          </w:tcPr>
          <w:p>
            <w:pPr>
              <w:pStyle w:val="TableParagraph"/>
              <w:ind w:left="107"/>
              <w:rPr>
                <w:sz w:val="22"/>
              </w:rPr>
            </w:pPr>
            <w:r>
              <w:rPr>
                <w:sz w:val="22"/>
              </w:rPr>
              <w:t>Estimated eligible costs for deliverable 1c: National news on VET</w:t>
            </w:r>
          </w:p>
        </w:tc>
        <w:tc>
          <w:tcPr>
            <w:tcW w:w="2700" w:type="dxa"/>
            <w:tcBorders>
              <w:top w:val="single" w:sz="4" w:space="0" w:color="000000"/>
              <w:left w:val="single" w:sz="4" w:space="0" w:color="000000"/>
              <w:bottom w:val="single" w:sz="4" w:space="0" w:color="000000"/>
              <w:right w:val="nil"/>
            </w:tcBorders>
          </w:tcPr>
          <w:p>
            <w:pPr>
              <w:pStyle w:val="TableParagraph"/>
              <w:ind w:left="942" w:right="933"/>
              <w:jc w:val="center"/>
              <w:rPr>
                <w:sz w:val="22"/>
              </w:rPr>
            </w:pPr>
            <w:r>
              <w:rPr>
                <w:sz w:val="22"/>
              </w:rPr>
              <w:t>3250</w:t>
            </w:r>
          </w:p>
        </w:tc>
      </w:tr>
      <w:tr>
        <w:trPr>
          <w:trHeight w:val="705" w:hRule="atLeast"/>
        </w:trPr>
        <w:tc>
          <w:tcPr>
            <w:tcW w:w="7453" w:type="dxa"/>
            <w:tcBorders>
              <w:top w:val="dashSmallGap" w:sz="4" w:space="0" w:color="000000"/>
              <w:left w:val="single" w:sz="4" w:space="0" w:color="000000"/>
              <w:bottom w:val="dashSmallGap" w:sz="4" w:space="0" w:color="000000"/>
              <w:right w:val="single" w:sz="4" w:space="0" w:color="000000"/>
            </w:tcBorders>
            <w:shd w:val="clear" w:color="auto" w:fill="C0C0C0"/>
          </w:tcPr>
          <w:p>
            <w:pPr>
              <w:pStyle w:val="TableParagraph"/>
              <w:ind w:left="107" w:right="565"/>
              <w:rPr>
                <w:sz w:val="22"/>
              </w:rPr>
            </w:pPr>
            <w:r>
              <w:rPr>
                <w:sz w:val="22"/>
              </w:rPr>
              <w:t>Estimated eligible costs for deliverable 2a: VET in Europe database – updating information about VET systems</w:t>
            </w:r>
          </w:p>
        </w:tc>
        <w:tc>
          <w:tcPr>
            <w:tcW w:w="2700" w:type="dxa"/>
            <w:tcBorders>
              <w:top w:val="single" w:sz="4" w:space="0" w:color="000000"/>
              <w:left w:val="single" w:sz="4" w:space="0" w:color="000000"/>
              <w:bottom w:val="single" w:sz="4" w:space="0" w:color="000000"/>
              <w:right w:val="nil"/>
            </w:tcBorders>
          </w:tcPr>
          <w:p>
            <w:pPr>
              <w:pStyle w:val="TableParagraph"/>
              <w:spacing w:before="9"/>
              <w:rPr>
                <w:b/>
                <w:sz w:val="19"/>
              </w:rPr>
            </w:pPr>
          </w:p>
          <w:p>
            <w:pPr>
              <w:pStyle w:val="TableParagraph"/>
              <w:spacing w:before="0"/>
              <w:ind w:right="1036"/>
              <w:jc w:val="right"/>
              <w:rPr>
                <w:sz w:val="22"/>
              </w:rPr>
            </w:pPr>
            <w:r>
              <w:rPr>
                <w:sz w:val="22"/>
              </w:rPr>
              <w:t>10000</w:t>
            </w:r>
          </w:p>
        </w:tc>
      </w:tr>
      <w:tr>
        <w:trPr>
          <w:trHeight w:val="959" w:hRule="atLeast"/>
        </w:trPr>
        <w:tc>
          <w:tcPr>
            <w:tcW w:w="7453" w:type="dxa"/>
            <w:tcBorders>
              <w:top w:val="dashSmallGap" w:sz="4" w:space="0" w:color="000000"/>
              <w:left w:val="single" w:sz="4" w:space="0" w:color="000000"/>
              <w:bottom w:val="dashSmallGap" w:sz="4" w:space="0" w:color="000000"/>
              <w:right w:val="single" w:sz="4" w:space="0" w:color="000000"/>
            </w:tcBorders>
            <w:shd w:val="clear" w:color="auto" w:fill="C0C0C0"/>
          </w:tcPr>
          <w:p>
            <w:pPr>
              <w:pStyle w:val="TableParagraph"/>
              <w:ind w:left="107" w:right="242"/>
              <w:rPr>
                <w:sz w:val="22"/>
              </w:rPr>
            </w:pPr>
            <w:r>
              <w:rPr>
                <w:sz w:val="22"/>
              </w:rPr>
              <w:t>Estimated eligible costs for deliverable 2b: VET in [Presidency country] − Short description (hard-copy publication based on the VET in Europe country report]), if applicable (ES and BE)</w:t>
            </w:r>
          </w:p>
        </w:tc>
        <w:tc>
          <w:tcPr>
            <w:tcW w:w="2700" w:type="dxa"/>
            <w:tcBorders>
              <w:top w:val="single" w:sz="4" w:space="0" w:color="000000"/>
              <w:left w:val="single" w:sz="4" w:space="0" w:color="000000"/>
              <w:bottom w:val="single" w:sz="4" w:space="0" w:color="000000"/>
              <w:right w:val="nil"/>
            </w:tcBorders>
          </w:tcPr>
          <w:p>
            <w:pPr>
              <w:pStyle w:val="TableParagraph"/>
              <w:spacing w:before="10"/>
              <w:rPr>
                <w:b/>
                <w:sz w:val="30"/>
              </w:rPr>
            </w:pPr>
          </w:p>
          <w:p>
            <w:pPr>
              <w:pStyle w:val="TableParagraph"/>
              <w:spacing w:before="0"/>
              <w:ind w:left="942" w:right="935"/>
              <w:jc w:val="center"/>
              <w:rPr>
                <w:sz w:val="22"/>
              </w:rPr>
            </w:pPr>
            <w:r>
              <w:rPr>
                <w:sz w:val="22"/>
              </w:rPr>
              <w:t>N/A</w:t>
            </w:r>
          </w:p>
        </w:tc>
      </w:tr>
      <w:tr>
        <w:trPr>
          <w:trHeight w:val="705" w:hRule="atLeast"/>
        </w:trPr>
        <w:tc>
          <w:tcPr>
            <w:tcW w:w="7453" w:type="dxa"/>
            <w:tcBorders>
              <w:top w:val="dashSmallGap" w:sz="4" w:space="0" w:color="000000"/>
              <w:left w:val="single" w:sz="4" w:space="0" w:color="000000"/>
              <w:bottom w:val="single" w:sz="4" w:space="0" w:color="000000"/>
              <w:right w:val="single" w:sz="4" w:space="0" w:color="000000"/>
            </w:tcBorders>
            <w:shd w:val="clear" w:color="auto" w:fill="C0C0C0"/>
          </w:tcPr>
          <w:p>
            <w:pPr>
              <w:pStyle w:val="TableParagraph"/>
              <w:spacing w:before="101"/>
              <w:ind w:left="107" w:right="1275"/>
              <w:rPr>
                <w:sz w:val="22"/>
              </w:rPr>
            </w:pPr>
            <w:r>
              <w:rPr>
                <w:sz w:val="22"/>
              </w:rPr>
              <w:t>Estimated eligible costs for deliverable 2c: Spotlight on VET in [Presidency country], if applicable (ES and BE)</w:t>
            </w:r>
          </w:p>
        </w:tc>
        <w:tc>
          <w:tcPr>
            <w:tcW w:w="2700" w:type="dxa"/>
            <w:tcBorders>
              <w:top w:val="single" w:sz="4" w:space="0" w:color="000000"/>
              <w:left w:val="single" w:sz="4" w:space="0" w:color="000000"/>
              <w:bottom w:val="single" w:sz="4" w:space="0" w:color="000000"/>
              <w:right w:val="nil"/>
            </w:tcBorders>
          </w:tcPr>
          <w:p>
            <w:pPr>
              <w:pStyle w:val="TableParagraph"/>
              <w:spacing w:before="9"/>
              <w:rPr>
                <w:b/>
                <w:sz w:val="19"/>
              </w:rPr>
            </w:pPr>
          </w:p>
          <w:p>
            <w:pPr>
              <w:pStyle w:val="TableParagraph"/>
              <w:spacing w:before="1"/>
              <w:ind w:left="942" w:right="935"/>
              <w:jc w:val="center"/>
              <w:rPr>
                <w:sz w:val="22"/>
              </w:rPr>
            </w:pPr>
            <w:r>
              <w:rPr>
                <w:sz w:val="22"/>
              </w:rPr>
              <w:t>N/A</w:t>
            </w:r>
          </w:p>
        </w:tc>
      </w:tr>
      <w:tr>
        <w:trPr>
          <w:trHeight w:val="959" w:hRule="atLeast"/>
        </w:trPr>
        <w:tc>
          <w:tcPr>
            <w:tcW w:w="7453" w:type="dxa"/>
            <w:tcBorders>
              <w:top w:val="single" w:sz="4" w:space="0" w:color="000000"/>
              <w:left w:val="single" w:sz="4" w:space="0" w:color="000000"/>
              <w:bottom w:val="dashSmallGap" w:sz="4" w:space="0" w:color="000000"/>
              <w:right w:val="single" w:sz="4" w:space="0" w:color="000000"/>
            </w:tcBorders>
            <w:shd w:val="clear" w:color="auto" w:fill="C0C0C0"/>
          </w:tcPr>
          <w:p>
            <w:pPr>
              <w:pStyle w:val="TableParagraph"/>
              <w:ind w:left="107" w:right="554"/>
              <w:jc w:val="both"/>
              <w:rPr>
                <w:sz w:val="22"/>
              </w:rPr>
            </w:pPr>
            <w:r>
              <w:rPr>
                <w:sz w:val="22"/>
              </w:rPr>
              <w:t>Estimated eligible costs for deliverable 3a: Ad hoc thematic support – Helping to develop monitoring of qualifications in Cedefop’s online job advertisement (OJA) project</w:t>
            </w:r>
          </w:p>
        </w:tc>
        <w:tc>
          <w:tcPr>
            <w:tcW w:w="2700" w:type="dxa"/>
            <w:tcBorders>
              <w:top w:val="single" w:sz="4" w:space="0" w:color="000000"/>
              <w:left w:val="single" w:sz="4" w:space="0" w:color="000000"/>
              <w:bottom w:val="single" w:sz="4" w:space="0" w:color="000000"/>
              <w:right w:val="nil"/>
            </w:tcBorders>
          </w:tcPr>
          <w:p>
            <w:pPr>
              <w:pStyle w:val="TableParagraph"/>
              <w:spacing w:before="10"/>
              <w:rPr>
                <w:b/>
                <w:sz w:val="30"/>
              </w:rPr>
            </w:pPr>
          </w:p>
          <w:p>
            <w:pPr>
              <w:pStyle w:val="TableParagraph"/>
              <w:spacing w:before="0"/>
              <w:ind w:right="1009"/>
              <w:jc w:val="right"/>
              <w:rPr>
                <w:sz w:val="22"/>
              </w:rPr>
            </w:pPr>
            <w:r>
              <w:rPr>
                <w:sz w:val="22"/>
              </w:rPr>
              <w:t>12000</w:t>
            </w:r>
          </w:p>
        </w:tc>
      </w:tr>
      <w:tr>
        <w:trPr>
          <w:trHeight w:val="705" w:hRule="atLeast"/>
        </w:trPr>
        <w:tc>
          <w:tcPr>
            <w:tcW w:w="7453" w:type="dxa"/>
            <w:tcBorders>
              <w:top w:val="dashSmallGap" w:sz="4" w:space="0" w:color="000000"/>
              <w:left w:val="single" w:sz="4" w:space="0" w:color="000000"/>
              <w:bottom w:val="single" w:sz="4" w:space="0" w:color="000000"/>
              <w:right w:val="single" w:sz="4" w:space="0" w:color="000000"/>
            </w:tcBorders>
            <w:shd w:val="clear" w:color="auto" w:fill="C0C0C0"/>
          </w:tcPr>
          <w:p>
            <w:pPr>
              <w:pStyle w:val="TableParagraph"/>
              <w:ind w:left="107" w:right="590"/>
              <w:rPr>
                <w:sz w:val="22"/>
              </w:rPr>
            </w:pPr>
            <w:r>
              <w:rPr>
                <w:sz w:val="22"/>
              </w:rPr>
              <w:t>Estimated eligible costs for deliverable 3b: Ad hoc thematic support – Article or other request</w:t>
            </w:r>
          </w:p>
        </w:tc>
        <w:tc>
          <w:tcPr>
            <w:tcW w:w="2700" w:type="dxa"/>
            <w:tcBorders>
              <w:top w:val="single" w:sz="4" w:space="0" w:color="000000"/>
              <w:left w:val="single" w:sz="4" w:space="0" w:color="000000"/>
              <w:bottom w:val="single" w:sz="4" w:space="0" w:color="000000"/>
              <w:right w:val="nil"/>
            </w:tcBorders>
          </w:tcPr>
          <w:p>
            <w:pPr>
              <w:pStyle w:val="TableParagraph"/>
              <w:ind w:right="1036"/>
              <w:jc w:val="right"/>
              <w:rPr>
                <w:sz w:val="22"/>
              </w:rPr>
            </w:pPr>
            <w:r>
              <w:rPr>
                <w:sz w:val="22"/>
              </w:rPr>
              <w:t>11000</w:t>
            </w:r>
          </w:p>
        </w:tc>
      </w:tr>
      <w:tr>
        <w:trPr>
          <w:trHeight w:val="959" w:hRule="atLeast"/>
        </w:trPr>
        <w:tc>
          <w:tcPr>
            <w:tcW w:w="7453" w:type="dxa"/>
            <w:tcBorders>
              <w:top w:val="single" w:sz="4" w:space="0" w:color="000000"/>
              <w:left w:val="single" w:sz="4" w:space="0" w:color="000000"/>
              <w:bottom w:val="dashSmallGap" w:sz="4" w:space="0" w:color="000000"/>
              <w:right w:val="single" w:sz="4" w:space="0" w:color="000000"/>
            </w:tcBorders>
            <w:shd w:val="clear" w:color="auto" w:fill="C0C0C0"/>
          </w:tcPr>
          <w:p>
            <w:pPr>
              <w:pStyle w:val="TableParagraph"/>
              <w:ind w:left="107" w:right="557"/>
              <w:jc w:val="both"/>
              <w:rPr>
                <w:sz w:val="22"/>
              </w:rPr>
            </w:pPr>
            <w:r>
              <w:rPr>
                <w:sz w:val="22"/>
              </w:rPr>
              <w:t>Estimated eligible costs for deliverable 4a: Visibility actions, including maintenance and update of a national ReferNet website, social media activities and participation in events</w:t>
            </w:r>
          </w:p>
        </w:tc>
        <w:tc>
          <w:tcPr>
            <w:tcW w:w="2700" w:type="dxa"/>
            <w:tcBorders>
              <w:top w:val="single" w:sz="4" w:space="0" w:color="000000"/>
              <w:left w:val="single" w:sz="4" w:space="0" w:color="000000"/>
              <w:bottom w:val="single" w:sz="4" w:space="0" w:color="000000"/>
              <w:right w:val="nil"/>
            </w:tcBorders>
          </w:tcPr>
          <w:p>
            <w:pPr>
              <w:pStyle w:val="TableParagraph"/>
              <w:ind w:right="1036"/>
              <w:jc w:val="right"/>
              <w:rPr>
                <w:sz w:val="22"/>
              </w:rPr>
            </w:pPr>
            <w:r>
              <w:rPr>
                <w:sz w:val="22"/>
              </w:rPr>
              <w:t>15000</w:t>
            </w:r>
          </w:p>
        </w:tc>
      </w:tr>
      <w:tr>
        <w:trPr>
          <w:trHeight w:val="453" w:hRule="atLeast"/>
        </w:trPr>
        <w:tc>
          <w:tcPr>
            <w:tcW w:w="7453" w:type="dxa"/>
            <w:tcBorders>
              <w:top w:val="dashSmallGap" w:sz="4" w:space="0" w:color="000000"/>
              <w:left w:val="single" w:sz="4" w:space="0" w:color="000000"/>
              <w:bottom w:val="single" w:sz="4" w:space="0" w:color="000000"/>
              <w:right w:val="single" w:sz="4" w:space="0" w:color="000000"/>
            </w:tcBorders>
            <w:shd w:val="clear" w:color="auto" w:fill="C0C0C0"/>
          </w:tcPr>
          <w:p>
            <w:pPr>
              <w:pStyle w:val="TableParagraph"/>
              <w:ind w:left="107"/>
              <w:rPr>
                <w:b/>
                <w:sz w:val="22"/>
              </w:rPr>
            </w:pPr>
            <w:r>
              <w:rPr>
                <w:b/>
                <w:sz w:val="22"/>
              </w:rPr>
              <w:t>Estimated total cost for all above activities (sum of 1 to 4a)</w:t>
            </w:r>
          </w:p>
        </w:tc>
        <w:tc>
          <w:tcPr>
            <w:tcW w:w="2700" w:type="dxa"/>
            <w:tcBorders>
              <w:top w:val="single" w:sz="4" w:space="0" w:color="000000"/>
              <w:left w:val="single" w:sz="4" w:space="0" w:color="000000"/>
              <w:bottom w:val="single" w:sz="4" w:space="0" w:color="000000"/>
              <w:right w:val="nil"/>
            </w:tcBorders>
          </w:tcPr>
          <w:p>
            <w:pPr>
              <w:pStyle w:val="TableParagraph"/>
              <w:ind w:right="1009"/>
              <w:jc w:val="right"/>
              <w:rPr>
                <w:b/>
                <w:sz w:val="22"/>
              </w:rPr>
            </w:pPr>
            <w:r>
              <w:rPr>
                <w:b/>
                <w:sz w:val="22"/>
              </w:rPr>
              <w:t>67 250</w:t>
            </w:r>
          </w:p>
        </w:tc>
      </w:tr>
      <w:tr>
        <w:trPr>
          <w:trHeight w:val="458" w:hRule="atLeast"/>
        </w:trPr>
        <w:tc>
          <w:tcPr>
            <w:tcW w:w="7453"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ind w:left="107"/>
              <w:rPr>
                <w:sz w:val="22"/>
              </w:rPr>
            </w:pPr>
            <w:r>
              <w:rPr>
                <w:sz w:val="22"/>
              </w:rPr>
              <w:t>Amount of grant requested (EUR)</w:t>
            </w:r>
          </w:p>
        </w:tc>
        <w:tc>
          <w:tcPr>
            <w:tcW w:w="2700" w:type="dxa"/>
            <w:tcBorders>
              <w:top w:val="single" w:sz="4" w:space="0" w:color="000000"/>
              <w:left w:val="single" w:sz="4" w:space="0" w:color="000000"/>
              <w:bottom w:val="single" w:sz="4" w:space="0" w:color="000000"/>
              <w:right w:val="nil"/>
            </w:tcBorders>
          </w:tcPr>
          <w:p>
            <w:pPr>
              <w:pStyle w:val="TableParagraph"/>
              <w:ind w:right="1009"/>
              <w:jc w:val="right"/>
              <w:rPr>
                <w:b/>
                <w:sz w:val="22"/>
              </w:rPr>
            </w:pPr>
            <w:r>
              <w:rPr>
                <w:b/>
                <w:sz w:val="22"/>
              </w:rPr>
              <w:t>33 625</w:t>
            </w:r>
          </w:p>
        </w:tc>
      </w:tr>
    </w:tbl>
    <w:p>
      <w:pPr>
        <w:pStyle w:val="BodyText"/>
        <w:spacing w:line="20" w:lineRule="exact"/>
        <w:ind w:left="239"/>
        <w:rPr>
          <w:rFonts w:ascii="Arial"/>
          <w:sz w:val="2"/>
        </w:rPr>
      </w:pPr>
      <w:r>
        <w:rPr>
          <w:rFonts w:ascii="Arial"/>
          <w:sz w:val="2"/>
        </w:rPr>
        <w:pict>
          <v:group style="width:502.9pt;height:.5pt;mso-position-horizontal-relative:char;mso-position-vertical-relative:line" coordorigin="0,0" coordsize="10058,10">
            <v:line style="position:absolute" from="0,5" to="10058,5" stroked="true" strokeweight=".47998pt" strokecolor="#000000">
              <v:stroke dashstyle="solid"/>
            </v:line>
          </v:group>
        </w:pict>
      </w:r>
      <w:r>
        <w:rPr>
          <w:rFonts w:ascii="Arial"/>
          <w:sz w:val="2"/>
        </w:rPr>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65"/>
        <w:ind w:right="317"/>
        <w:jc w:val="right"/>
      </w:pPr>
      <w:r>
        <w:rPr/>
        <w:t>8</w:t>
      </w:r>
    </w:p>
    <w:sectPr>
      <w:headerReference w:type="default" r:id="rId12"/>
      <w:footerReference w:type="default" r:id="rId13"/>
      <w:pgSz w:w="12240" w:h="15840"/>
      <w:pgMar w:header="0" w:footer="0" w:top="200" w:bottom="0" w:left="6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ymbol">
    <w:altName w:val="Symbol"/>
    <w:charset w:val="2"/>
    <w:family w:val="roman"/>
    <w:pitch w:val="variable"/>
  </w:font>
  <w:font w:name="Calibri">
    <w:altName w:val="Calibri"/>
    <w:charset w:val="EE"/>
    <w:family w:val="swiss"/>
    <w:pitch w:val="variable"/>
  </w:font>
  <w:font w:name="Lucida Sans">
    <w:altName w:val="Lucida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19989pt;margin-top:742.081604pt;width:14.9pt;height:15.55pt;mso-position-horizontal-relative:page;mso-position-vertical-relative:page;z-index:-252183552" type="#_x0000_t202" filled="false" stroked="false">
          <v:textbox inset="0,0,0,0">
            <w:txbxContent>
              <w:p>
                <w:pPr>
                  <w:spacing w:before="15"/>
                  <w:ind w:left="60" w:right="0" w:firstLine="0"/>
                  <w:jc w:val="left"/>
                  <w:rPr>
                    <w:rFonts w:ascii="Arial"/>
                    <w:sz w:val="16"/>
                  </w:rPr>
                </w:pPr>
                <w:r>
                  <w:rPr/>
                  <w:fldChar w:fldCharType="begin"/>
                </w:r>
                <w:r>
                  <w:rPr>
                    <w:rFonts w:ascii="Arial"/>
                    <w:sz w:val="16"/>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919998pt;margin-top:36.290001pt;width:183.35pt;height:11pt;mso-position-horizontal-relative:page;mso-position-vertical-relative:page;z-index:-252185600" type="#_x0000_t202" filled="false" stroked="false">
          <v:textbox inset="0,0,0,0">
            <w:txbxContent>
              <w:p>
                <w:pPr>
                  <w:spacing w:line="203" w:lineRule="exact" w:before="0"/>
                  <w:ind w:left="20" w:right="0" w:firstLine="0"/>
                  <w:jc w:val="left"/>
                  <w:rPr>
                    <w:rFonts w:ascii="Calibri"/>
                    <w:i/>
                    <w:sz w:val="18"/>
                  </w:rPr>
                </w:pPr>
                <w:r>
                  <w:rPr>
                    <w:rFonts w:ascii="Calibri"/>
                    <w:i/>
                    <w:sz w:val="18"/>
                  </w:rPr>
                  <w:t>No 2023-CED.915/GP/DVQ/ReferNet-SGA/001/22</w:t>
                </w:r>
              </w:p>
            </w:txbxContent>
          </v:textbox>
          <w10:wrap type="none"/>
        </v:shape>
      </w:pict>
    </w:r>
    <w:r>
      <w:rPr/>
      <w:pict>
        <v:shape style="position:absolute;margin-left:334.999695pt;margin-top:36.290001pt;width:168.35pt;height:11pt;mso-position-horizontal-relative:page;mso-position-vertical-relative:page;z-index:-252184576" type="#_x0000_t202" filled="false" stroked="false">
          <v:textbox inset="0,0,0,0">
            <w:txbxContent>
              <w:p>
                <w:pPr>
                  <w:spacing w:line="203" w:lineRule="exact" w:before="0"/>
                  <w:ind w:left="20" w:right="0" w:firstLine="0"/>
                  <w:jc w:val="left"/>
                  <w:rPr>
                    <w:rFonts w:ascii="Calibri"/>
                    <w:i/>
                    <w:sz w:val="18"/>
                  </w:rPr>
                </w:pPr>
                <w:r>
                  <w:rPr>
                    <w:rFonts w:ascii="Calibri"/>
                    <w:i/>
                    <w:sz w:val="18"/>
                  </w:rPr>
                  <w:t>Model specific grant agreement: August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458" w:hanging="360"/>
      </w:pPr>
      <w:rPr>
        <w:rFonts w:hint="default"/>
        <w:w w:val="100"/>
      </w:rPr>
    </w:lvl>
    <w:lvl w:ilvl="1">
      <w:start w:val="0"/>
      <w:numFmt w:val="bullet"/>
      <w:lvlText w:val="•"/>
      <w:lvlJc w:val="left"/>
      <w:pPr>
        <w:ind w:left="2376" w:hanging="360"/>
      </w:pPr>
      <w:rPr>
        <w:rFonts w:hint="default"/>
      </w:rPr>
    </w:lvl>
    <w:lvl w:ilvl="2">
      <w:start w:val="0"/>
      <w:numFmt w:val="bullet"/>
      <w:lvlText w:val="•"/>
      <w:lvlJc w:val="left"/>
      <w:pPr>
        <w:ind w:left="3292" w:hanging="360"/>
      </w:pPr>
      <w:rPr>
        <w:rFonts w:hint="default"/>
      </w:rPr>
    </w:lvl>
    <w:lvl w:ilvl="3">
      <w:start w:val="0"/>
      <w:numFmt w:val="bullet"/>
      <w:lvlText w:val="•"/>
      <w:lvlJc w:val="left"/>
      <w:pPr>
        <w:ind w:left="4208" w:hanging="360"/>
      </w:pPr>
      <w:rPr>
        <w:rFonts w:hint="default"/>
      </w:rPr>
    </w:lvl>
    <w:lvl w:ilvl="4">
      <w:start w:val="0"/>
      <w:numFmt w:val="bullet"/>
      <w:lvlText w:val="•"/>
      <w:lvlJc w:val="left"/>
      <w:pPr>
        <w:ind w:left="5124" w:hanging="360"/>
      </w:pPr>
      <w:rPr>
        <w:rFonts w:hint="default"/>
      </w:rPr>
    </w:lvl>
    <w:lvl w:ilvl="5">
      <w:start w:val="0"/>
      <w:numFmt w:val="bullet"/>
      <w:lvlText w:val="•"/>
      <w:lvlJc w:val="left"/>
      <w:pPr>
        <w:ind w:left="6040" w:hanging="360"/>
      </w:pPr>
      <w:rPr>
        <w:rFonts w:hint="default"/>
      </w:rPr>
    </w:lvl>
    <w:lvl w:ilvl="6">
      <w:start w:val="0"/>
      <w:numFmt w:val="bullet"/>
      <w:lvlText w:val="•"/>
      <w:lvlJc w:val="left"/>
      <w:pPr>
        <w:ind w:left="6956" w:hanging="360"/>
      </w:pPr>
      <w:rPr>
        <w:rFonts w:hint="default"/>
      </w:rPr>
    </w:lvl>
    <w:lvl w:ilvl="7">
      <w:start w:val="0"/>
      <w:numFmt w:val="bullet"/>
      <w:lvlText w:val="•"/>
      <w:lvlJc w:val="left"/>
      <w:pPr>
        <w:ind w:left="7872" w:hanging="360"/>
      </w:pPr>
      <w:rPr>
        <w:rFonts w:hint="default"/>
      </w:rPr>
    </w:lvl>
    <w:lvl w:ilvl="8">
      <w:start w:val="0"/>
      <w:numFmt w:val="bullet"/>
      <w:lvlText w:val="•"/>
      <w:lvlJc w:val="left"/>
      <w:pPr>
        <w:ind w:left="8788" w:hanging="360"/>
      </w:pPr>
      <w:rPr>
        <w:rFonts w:hint="default"/>
      </w:rPr>
    </w:lvl>
  </w:abstractNum>
  <w:abstractNum w:abstractNumId="8">
    <w:multiLevelType w:val="hybridMultilevel"/>
    <w:lvl w:ilvl="0">
      <w:start w:val="1"/>
      <w:numFmt w:val="lowerLetter"/>
      <w:lvlText w:val="(%1)"/>
      <w:lvlJc w:val="left"/>
      <w:pPr>
        <w:ind w:left="1458" w:hanging="360"/>
        <w:jc w:val="left"/>
      </w:pPr>
      <w:rPr>
        <w:rFonts w:hint="default" w:ascii="Times New Roman" w:hAnsi="Times New Roman" w:eastAsia="Times New Roman" w:cs="Times New Roman"/>
        <w:spacing w:val="-25"/>
        <w:w w:val="99"/>
        <w:sz w:val="24"/>
        <w:szCs w:val="24"/>
      </w:rPr>
    </w:lvl>
    <w:lvl w:ilvl="1">
      <w:start w:val="0"/>
      <w:numFmt w:val="bullet"/>
      <w:lvlText w:val="•"/>
      <w:lvlJc w:val="left"/>
      <w:pPr>
        <w:ind w:left="2376" w:hanging="360"/>
      </w:pPr>
      <w:rPr>
        <w:rFonts w:hint="default"/>
      </w:rPr>
    </w:lvl>
    <w:lvl w:ilvl="2">
      <w:start w:val="0"/>
      <w:numFmt w:val="bullet"/>
      <w:lvlText w:val="•"/>
      <w:lvlJc w:val="left"/>
      <w:pPr>
        <w:ind w:left="3292" w:hanging="360"/>
      </w:pPr>
      <w:rPr>
        <w:rFonts w:hint="default"/>
      </w:rPr>
    </w:lvl>
    <w:lvl w:ilvl="3">
      <w:start w:val="0"/>
      <w:numFmt w:val="bullet"/>
      <w:lvlText w:val="•"/>
      <w:lvlJc w:val="left"/>
      <w:pPr>
        <w:ind w:left="4208" w:hanging="360"/>
      </w:pPr>
      <w:rPr>
        <w:rFonts w:hint="default"/>
      </w:rPr>
    </w:lvl>
    <w:lvl w:ilvl="4">
      <w:start w:val="0"/>
      <w:numFmt w:val="bullet"/>
      <w:lvlText w:val="•"/>
      <w:lvlJc w:val="left"/>
      <w:pPr>
        <w:ind w:left="5124" w:hanging="360"/>
      </w:pPr>
      <w:rPr>
        <w:rFonts w:hint="default"/>
      </w:rPr>
    </w:lvl>
    <w:lvl w:ilvl="5">
      <w:start w:val="0"/>
      <w:numFmt w:val="bullet"/>
      <w:lvlText w:val="•"/>
      <w:lvlJc w:val="left"/>
      <w:pPr>
        <w:ind w:left="6040" w:hanging="360"/>
      </w:pPr>
      <w:rPr>
        <w:rFonts w:hint="default"/>
      </w:rPr>
    </w:lvl>
    <w:lvl w:ilvl="6">
      <w:start w:val="0"/>
      <w:numFmt w:val="bullet"/>
      <w:lvlText w:val="•"/>
      <w:lvlJc w:val="left"/>
      <w:pPr>
        <w:ind w:left="6956" w:hanging="360"/>
      </w:pPr>
      <w:rPr>
        <w:rFonts w:hint="default"/>
      </w:rPr>
    </w:lvl>
    <w:lvl w:ilvl="7">
      <w:start w:val="0"/>
      <w:numFmt w:val="bullet"/>
      <w:lvlText w:val="•"/>
      <w:lvlJc w:val="left"/>
      <w:pPr>
        <w:ind w:left="7872" w:hanging="360"/>
      </w:pPr>
      <w:rPr>
        <w:rFonts w:hint="default"/>
      </w:rPr>
    </w:lvl>
    <w:lvl w:ilvl="8">
      <w:start w:val="0"/>
      <w:numFmt w:val="bullet"/>
      <w:lvlText w:val="•"/>
      <w:lvlJc w:val="left"/>
      <w:pPr>
        <w:ind w:left="8788" w:hanging="360"/>
      </w:pPr>
      <w:rPr>
        <w:rFonts w:hint="default"/>
      </w:rPr>
    </w:lvl>
  </w:abstractNum>
  <w:abstractNum w:abstractNumId="7">
    <w:multiLevelType w:val="hybridMultilevel"/>
    <w:lvl w:ilvl="0">
      <w:start w:val="1"/>
      <w:numFmt w:val="lowerLetter"/>
      <w:lvlText w:val="(%1)"/>
      <w:lvlJc w:val="left"/>
      <w:pPr>
        <w:ind w:left="1458" w:hanging="720"/>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871" w:hanging="425"/>
      </w:pPr>
      <w:rPr>
        <w:rFonts w:hint="default" w:ascii="Symbol" w:hAnsi="Symbol" w:eastAsia="Symbol" w:cs="Symbol"/>
        <w:w w:val="100"/>
        <w:sz w:val="24"/>
        <w:szCs w:val="24"/>
      </w:rPr>
    </w:lvl>
    <w:lvl w:ilvl="2">
      <w:start w:val="0"/>
      <w:numFmt w:val="bullet"/>
      <w:lvlText w:val="•"/>
      <w:lvlJc w:val="left"/>
      <w:pPr>
        <w:ind w:left="2851" w:hanging="425"/>
      </w:pPr>
      <w:rPr>
        <w:rFonts w:hint="default"/>
      </w:rPr>
    </w:lvl>
    <w:lvl w:ilvl="3">
      <w:start w:val="0"/>
      <w:numFmt w:val="bullet"/>
      <w:lvlText w:val="•"/>
      <w:lvlJc w:val="left"/>
      <w:pPr>
        <w:ind w:left="3822" w:hanging="425"/>
      </w:pPr>
      <w:rPr>
        <w:rFonts w:hint="default"/>
      </w:rPr>
    </w:lvl>
    <w:lvl w:ilvl="4">
      <w:start w:val="0"/>
      <w:numFmt w:val="bullet"/>
      <w:lvlText w:val="•"/>
      <w:lvlJc w:val="left"/>
      <w:pPr>
        <w:ind w:left="4793" w:hanging="425"/>
      </w:pPr>
      <w:rPr>
        <w:rFonts w:hint="default"/>
      </w:rPr>
    </w:lvl>
    <w:lvl w:ilvl="5">
      <w:start w:val="0"/>
      <w:numFmt w:val="bullet"/>
      <w:lvlText w:val="•"/>
      <w:lvlJc w:val="left"/>
      <w:pPr>
        <w:ind w:left="5764" w:hanging="425"/>
      </w:pPr>
      <w:rPr>
        <w:rFonts w:hint="default"/>
      </w:rPr>
    </w:lvl>
    <w:lvl w:ilvl="6">
      <w:start w:val="0"/>
      <w:numFmt w:val="bullet"/>
      <w:lvlText w:val="•"/>
      <w:lvlJc w:val="left"/>
      <w:pPr>
        <w:ind w:left="6735" w:hanging="425"/>
      </w:pPr>
      <w:rPr>
        <w:rFonts w:hint="default"/>
      </w:rPr>
    </w:lvl>
    <w:lvl w:ilvl="7">
      <w:start w:val="0"/>
      <w:numFmt w:val="bullet"/>
      <w:lvlText w:val="•"/>
      <w:lvlJc w:val="left"/>
      <w:pPr>
        <w:ind w:left="7706" w:hanging="425"/>
      </w:pPr>
      <w:rPr>
        <w:rFonts w:hint="default"/>
      </w:rPr>
    </w:lvl>
    <w:lvl w:ilvl="8">
      <w:start w:val="0"/>
      <w:numFmt w:val="bullet"/>
      <w:lvlText w:val="•"/>
      <w:lvlJc w:val="left"/>
      <w:pPr>
        <w:ind w:left="8677" w:hanging="425"/>
      </w:pPr>
      <w:rPr>
        <w:rFonts w:hint="default"/>
      </w:rPr>
    </w:lvl>
  </w:abstractNum>
  <w:abstractNum w:abstractNumId="6">
    <w:multiLevelType w:val="hybridMultilevel"/>
    <w:lvl w:ilvl="0">
      <w:start w:val="7"/>
      <w:numFmt w:val="decimal"/>
      <w:lvlText w:val="%1"/>
      <w:lvlJc w:val="left"/>
      <w:pPr>
        <w:ind w:left="1158" w:hanging="420"/>
        <w:jc w:val="left"/>
      </w:pPr>
      <w:rPr>
        <w:rFonts w:hint="default"/>
      </w:rPr>
    </w:lvl>
    <w:lvl w:ilvl="1">
      <w:start w:val="1"/>
      <w:numFmt w:val="decimal"/>
      <w:lvlText w:val="%1.%2"/>
      <w:lvlJc w:val="left"/>
      <w:pPr>
        <w:ind w:left="1158" w:hanging="420"/>
        <w:jc w:val="left"/>
      </w:pPr>
      <w:rPr>
        <w:rFonts w:hint="default" w:ascii="Times New Roman" w:hAnsi="Times New Roman" w:eastAsia="Times New Roman" w:cs="Times New Roman"/>
        <w:b/>
        <w:bCs/>
        <w:spacing w:val="-1"/>
        <w:w w:val="100"/>
        <w:sz w:val="28"/>
        <w:szCs w:val="28"/>
      </w:rPr>
    </w:lvl>
    <w:lvl w:ilvl="2">
      <w:start w:val="0"/>
      <w:numFmt w:val="bullet"/>
      <w:lvlText w:val="•"/>
      <w:lvlJc w:val="left"/>
      <w:pPr>
        <w:ind w:left="3052" w:hanging="420"/>
      </w:pPr>
      <w:rPr>
        <w:rFonts w:hint="default"/>
      </w:rPr>
    </w:lvl>
    <w:lvl w:ilvl="3">
      <w:start w:val="0"/>
      <w:numFmt w:val="bullet"/>
      <w:lvlText w:val="•"/>
      <w:lvlJc w:val="left"/>
      <w:pPr>
        <w:ind w:left="3998" w:hanging="420"/>
      </w:pPr>
      <w:rPr>
        <w:rFonts w:hint="default"/>
      </w:rPr>
    </w:lvl>
    <w:lvl w:ilvl="4">
      <w:start w:val="0"/>
      <w:numFmt w:val="bullet"/>
      <w:lvlText w:val="•"/>
      <w:lvlJc w:val="left"/>
      <w:pPr>
        <w:ind w:left="4944" w:hanging="420"/>
      </w:pPr>
      <w:rPr>
        <w:rFonts w:hint="default"/>
      </w:rPr>
    </w:lvl>
    <w:lvl w:ilvl="5">
      <w:start w:val="0"/>
      <w:numFmt w:val="bullet"/>
      <w:lvlText w:val="•"/>
      <w:lvlJc w:val="left"/>
      <w:pPr>
        <w:ind w:left="5890" w:hanging="420"/>
      </w:pPr>
      <w:rPr>
        <w:rFonts w:hint="default"/>
      </w:rPr>
    </w:lvl>
    <w:lvl w:ilvl="6">
      <w:start w:val="0"/>
      <w:numFmt w:val="bullet"/>
      <w:lvlText w:val="•"/>
      <w:lvlJc w:val="left"/>
      <w:pPr>
        <w:ind w:left="6836" w:hanging="420"/>
      </w:pPr>
      <w:rPr>
        <w:rFonts w:hint="default"/>
      </w:rPr>
    </w:lvl>
    <w:lvl w:ilvl="7">
      <w:start w:val="0"/>
      <w:numFmt w:val="bullet"/>
      <w:lvlText w:val="•"/>
      <w:lvlJc w:val="left"/>
      <w:pPr>
        <w:ind w:left="7782" w:hanging="420"/>
      </w:pPr>
      <w:rPr>
        <w:rFonts w:hint="default"/>
      </w:rPr>
    </w:lvl>
    <w:lvl w:ilvl="8">
      <w:start w:val="0"/>
      <w:numFmt w:val="bullet"/>
      <w:lvlText w:val="•"/>
      <w:lvlJc w:val="left"/>
      <w:pPr>
        <w:ind w:left="8728" w:hanging="420"/>
      </w:pPr>
      <w:rPr>
        <w:rFonts w:hint="default"/>
      </w:rPr>
    </w:lvl>
  </w:abstractNum>
  <w:abstractNum w:abstractNumId="5">
    <w:multiLevelType w:val="hybridMultilevel"/>
    <w:lvl w:ilvl="0">
      <w:start w:val="5"/>
      <w:numFmt w:val="decimal"/>
      <w:lvlText w:val="%1"/>
      <w:lvlJc w:val="left"/>
      <w:pPr>
        <w:ind w:left="1158" w:hanging="421"/>
        <w:jc w:val="left"/>
      </w:pPr>
      <w:rPr>
        <w:rFonts w:hint="default"/>
      </w:rPr>
    </w:lvl>
    <w:lvl w:ilvl="1">
      <w:start w:val="7"/>
      <w:numFmt w:val="decimal"/>
      <w:lvlText w:val="%1.%2"/>
      <w:lvlJc w:val="left"/>
      <w:pPr>
        <w:ind w:left="1158" w:hanging="421"/>
        <w:jc w:val="left"/>
      </w:pPr>
      <w:rPr>
        <w:rFonts w:hint="default" w:ascii="Times New Roman" w:hAnsi="Times New Roman" w:eastAsia="Times New Roman" w:cs="Times New Roman"/>
        <w:b/>
        <w:bCs/>
        <w:spacing w:val="-1"/>
        <w:w w:val="100"/>
        <w:sz w:val="28"/>
        <w:szCs w:val="28"/>
      </w:rPr>
    </w:lvl>
    <w:lvl w:ilvl="2">
      <w:start w:val="1"/>
      <w:numFmt w:val="lowerLetter"/>
      <w:lvlText w:val="(%3)"/>
      <w:lvlJc w:val="left"/>
      <w:pPr>
        <w:ind w:left="1458" w:hanging="360"/>
        <w:jc w:val="left"/>
      </w:pPr>
      <w:rPr>
        <w:rFonts w:hint="default" w:ascii="Times New Roman" w:hAnsi="Times New Roman" w:eastAsia="Times New Roman" w:cs="Times New Roman"/>
        <w:spacing w:val="-25"/>
        <w:w w:val="99"/>
        <w:sz w:val="24"/>
        <w:szCs w:val="24"/>
      </w:rPr>
    </w:lvl>
    <w:lvl w:ilvl="3">
      <w:start w:val="0"/>
      <w:numFmt w:val="bullet"/>
      <w:lvlText w:val="•"/>
      <w:lvlJc w:val="left"/>
      <w:pPr>
        <w:ind w:left="3495" w:hanging="360"/>
      </w:pPr>
      <w:rPr>
        <w:rFonts w:hint="default"/>
      </w:rPr>
    </w:lvl>
    <w:lvl w:ilvl="4">
      <w:start w:val="0"/>
      <w:numFmt w:val="bullet"/>
      <w:lvlText w:val="•"/>
      <w:lvlJc w:val="left"/>
      <w:pPr>
        <w:ind w:left="4513" w:hanging="360"/>
      </w:pPr>
      <w:rPr>
        <w:rFonts w:hint="default"/>
      </w:rPr>
    </w:lvl>
    <w:lvl w:ilvl="5">
      <w:start w:val="0"/>
      <w:numFmt w:val="bullet"/>
      <w:lvlText w:val="•"/>
      <w:lvlJc w:val="left"/>
      <w:pPr>
        <w:ind w:left="5531" w:hanging="360"/>
      </w:pPr>
      <w:rPr>
        <w:rFonts w:hint="default"/>
      </w:rPr>
    </w:lvl>
    <w:lvl w:ilvl="6">
      <w:start w:val="0"/>
      <w:numFmt w:val="bullet"/>
      <w:lvlText w:val="•"/>
      <w:lvlJc w:val="left"/>
      <w:pPr>
        <w:ind w:left="6548" w:hanging="360"/>
      </w:pPr>
      <w:rPr>
        <w:rFonts w:hint="default"/>
      </w:rPr>
    </w:lvl>
    <w:lvl w:ilvl="7">
      <w:start w:val="0"/>
      <w:numFmt w:val="bullet"/>
      <w:lvlText w:val="•"/>
      <w:lvlJc w:val="left"/>
      <w:pPr>
        <w:ind w:left="7566" w:hanging="360"/>
      </w:pPr>
      <w:rPr>
        <w:rFonts w:hint="default"/>
      </w:rPr>
    </w:lvl>
    <w:lvl w:ilvl="8">
      <w:start w:val="0"/>
      <w:numFmt w:val="bullet"/>
      <w:lvlText w:val="•"/>
      <w:lvlJc w:val="left"/>
      <w:pPr>
        <w:ind w:left="8584" w:hanging="360"/>
      </w:pPr>
      <w:rPr>
        <w:rFonts w:hint="default"/>
      </w:rPr>
    </w:lvl>
  </w:abstractNum>
  <w:abstractNum w:abstractNumId="4">
    <w:multiLevelType w:val="hybridMultilevel"/>
    <w:lvl w:ilvl="0">
      <w:start w:val="0"/>
      <w:numFmt w:val="bullet"/>
      <w:lvlText w:val="-"/>
      <w:lvlJc w:val="left"/>
      <w:pPr>
        <w:ind w:left="976" w:hanging="238"/>
      </w:pPr>
      <w:rPr>
        <w:rFonts w:hint="default" w:ascii="Times New Roman" w:hAnsi="Times New Roman" w:eastAsia="Times New Roman" w:cs="Times New Roman"/>
        <w:spacing w:val="-23"/>
        <w:w w:val="99"/>
        <w:sz w:val="24"/>
        <w:szCs w:val="24"/>
      </w:rPr>
    </w:lvl>
    <w:lvl w:ilvl="1">
      <w:start w:val="0"/>
      <w:numFmt w:val="bullet"/>
      <w:lvlText w:val="•"/>
      <w:lvlJc w:val="left"/>
      <w:pPr>
        <w:ind w:left="1944" w:hanging="238"/>
      </w:pPr>
      <w:rPr>
        <w:rFonts w:hint="default"/>
      </w:rPr>
    </w:lvl>
    <w:lvl w:ilvl="2">
      <w:start w:val="0"/>
      <w:numFmt w:val="bullet"/>
      <w:lvlText w:val="•"/>
      <w:lvlJc w:val="left"/>
      <w:pPr>
        <w:ind w:left="2908" w:hanging="238"/>
      </w:pPr>
      <w:rPr>
        <w:rFonts w:hint="default"/>
      </w:rPr>
    </w:lvl>
    <w:lvl w:ilvl="3">
      <w:start w:val="0"/>
      <w:numFmt w:val="bullet"/>
      <w:lvlText w:val="•"/>
      <w:lvlJc w:val="left"/>
      <w:pPr>
        <w:ind w:left="3872" w:hanging="238"/>
      </w:pPr>
      <w:rPr>
        <w:rFonts w:hint="default"/>
      </w:rPr>
    </w:lvl>
    <w:lvl w:ilvl="4">
      <w:start w:val="0"/>
      <w:numFmt w:val="bullet"/>
      <w:lvlText w:val="•"/>
      <w:lvlJc w:val="left"/>
      <w:pPr>
        <w:ind w:left="4836" w:hanging="238"/>
      </w:pPr>
      <w:rPr>
        <w:rFonts w:hint="default"/>
      </w:rPr>
    </w:lvl>
    <w:lvl w:ilvl="5">
      <w:start w:val="0"/>
      <w:numFmt w:val="bullet"/>
      <w:lvlText w:val="•"/>
      <w:lvlJc w:val="left"/>
      <w:pPr>
        <w:ind w:left="5800" w:hanging="238"/>
      </w:pPr>
      <w:rPr>
        <w:rFonts w:hint="default"/>
      </w:rPr>
    </w:lvl>
    <w:lvl w:ilvl="6">
      <w:start w:val="0"/>
      <w:numFmt w:val="bullet"/>
      <w:lvlText w:val="•"/>
      <w:lvlJc w:val="left"/>
      <w:pPr>
        <w:ind w:left="6764" w:hanging="238"/>
      </w:pPr>
      <w:rPr>
        <w:rFonts w:hint="default"/>
      </w:rPr>
    </w:lvl>
    <w:lvl w:ilvl="7">
      <w:start w:val="0"/>
      <w:numFmt w:val="bullet"/>
      <w:lvlText w:val="•"/>
      <w:lvlJc w:val="left"/>
      <w:pPr>
        <w:ind w:left="7728" w:hanging="238"/>
      </w:pPr>
      <w:rPr>
        <w:rFonts w:hint="default"/>
      </w:rPr>
    </w:lvl>
    <w:lvl w:ilvl="8">
      <w:start w:val="0"/>
      <w:numFmt w:val="bullet"/>
      <w:lvlText w:val="•"/>
      <w:lvlJc w:val="left"/>
      <w:pPr>
        <w:ind w:left="8692" w:hanging="238"/>
      </w:pPr>
      <w:rPr>
        <w:rFonts w:hint="default"/>
      </w:rPr>
    </w:lvl>
  </w:abstractNum>
  <w:abstractNum w:abstractNumId="3">
    <w:multiLevelType w:val="hybridMultilevel"/>
    <w:lvl w:ilvl="0">
      <w:start w:val="5"/>
      <w:numFmt w:val="decimal"/>
      <w:lvlText w:val="%1"/>
      <w:lvlJc w:val="left"/>
      <w:pPr>
        <w:ind w:left="1158" w:hanging="420"/>
        <w:jc w:val="left"/>
      </w:pPr>
      <w:rPr>
        <w:rFonts w:hint="default"/>
      </w:rPr>
    </w:lvl>
    <w:lvl w:ilvl="1">
      <w:start w:val="1"/>
      <w:numFmt w:val="decimal"/>
      <w:lvlText w:val="%1.%2"/>
      <w:lvlJc w:val="left"/>
      <w:pPr>
        <w:ind w:left="1158" w:hanging="420"/>
        <w:jc w:val="left"/>
      </w:pPr>
      <w:rPr>
        <w:rFonts w:hint="default" w:ascii="Times New Roman" w:hAnsi="Times New Roman" w:eastAsia="Times New Roman" w:cs="Times New Roman"/>
        <w:b/>
        <w:bCs/>
        <w:spacing w:val="-1"/>
        <w:w w:val="100"/>
        <w:sz w:val="28"/>
        <w:szCs w:val="28"/>
      </w:rPr>
    </w:lvl>
    <w:lvl w:ilvl="2">
      <w:start w:val="1"/>
      <w:numFmt w:val="lowerLetter"/>
      <w:lvlText w:val="(%3)"/>
      <w:lvlJc w:val="left"/>
      <w:pPr>
        <w:ind w:left="1458" w:hanging="360"/>
        <w:jc w:val="left"/>
      </w:pPr>
      <w:rPr>
        <w:rFonts w:hint="default" w:ascii="Times New Roman" w:hAnsi="Times New Roman" w:eastAsia="Times New Roman" w:cs="Times New Roman"/>
        <w:spacing w:val="-25"/>
        <w:w w:val="99"/>
        <w:sz w:val="24"/>
        <w:szCs w:val="24"/>
      </w:rPr>
    </w:lvl>
    <w:lvl w:ilvl="3">
      <w:start w:val="0"/>
      <w:numFmt w:val="bullet"/>
      <w:lvlText w:val="•"/>
      <w:lvlJc w:val="left"/>
      <w:pPr>
        <w:ind w:left="3495" w:hanging="360"/>
      </w:pPr>
      <w:rPr>
        <w:rFonts w:hint="default"/>
      </w:rPr>
    </w:lvl>
    <w:lvl w:ilvl="4">
      <w:start w:val="0"/>
      <w:numFmt w:val="bullet"/>
      <w:lvlText w:val="•"/>
      <w:lvlJc w:val="left"/>
      <w:pPr>
        <w:ind w:left="4513" w:hanging="360"/>
      </w:pPr>
      <w:rPr>
        <w:rFonts w:hint="default"/>
      </w:rPr>
    </w:lvl>
    <w:lvl w:ilvl="5">
      <w:start w:val="0"/>
      <w:numFmt w:val="bullet"/>
      <w:lvlText w:val="•"/>
      <w:lvlJc w:val="left"/>
      <w:pPr>
        <w:ind w:left="5531" w:hanging="360"/>
      </w:pPr>
      <w:rPr>
        <w:rFonts w:hint="default"/>
      </w:rPr>
    </w:lvl>
    <w:lvl w:ilvl="6">
      <w:start w:val="0"/>
      <w:numFmt w:val="bullet"/>
      <w:lvlText w:val="•"/>
      <w:lvlJc w:val="left"/>
      <w:pPr>
        <w:ind w:left="6548" w:hanging="360"/>
      </w:pPr>
      <w:rPr>
        <w:rFonts w:hint="default"/>
      </w:rPr>
    </w:lvl>
    <w:lvl w:ilvl="7">
      <w:start w:val="0"/>
      <w:numFmt w:val="bullet"/>
      <w:lvlText w:val="•"/>
      <w:lvlJc w:val="left"/>
      <w:pPr>
        <w:ind w:left="7566" w:hanging="360"/>
      </w:pPr>
      <w:rPr>
        <w:rFonts w:hint="default"/>
      </w:rPr>
    </w:lvl>
    <w:lvl w:ilvl="8">
      <w:start w:val="0"/>
      <w:numFmt w:val="bullet"/>
      <w:lvlText w:val="•"/>
      <w:lvlJc w:val="left"/>
      <w:pPr>
        <w:ind w:left="8584" w:hanging="360"/>
      </w:pPr>
      <w:rPr>
        <w:rFonts w:hint="default"/>
      </w:rPr>
    </w:lvl>
  </w:abstractNum>
  <w:abstractNum w:abstractNumId="2">
    <w:multiLevelType w:val="hybridMultilevel"/>
    <w:lvl w:ilvl="0">
      <w:start w:val="4"/>
      <w:numFmt w:val="decimal"/>
      <w:lvlText w:val="%1"/>
      <w:lvlJc w:val="left"/>
      <w:pPr>
        <w:ind w:left="1158" w:hanging="420"/>
        <w:jc w:val="left"/>
      </w:pPr>
      <w:rPr>
        <w:rFonts w:hint="default"/>
      </w:rPr>
    </w:lvl>
    <w:lvl w:ilvl="1">
      <w:start w:val="1"/>
      <w:numFmt w:val="decimal"/>
      <w:lvlText w:val="%1.%2"/>
      <w:lvlJc w:val="left"/>
      <w:pPr>
        <w:ind w:left="1158" w:hanging="420"/>
        <w:jc w:val="left"/>
      </w:pPr>
      <w:rPr>
        <w:rFonts w:hint="default" w:ascii="Times New Roman" w:hAnsi="Times New Roman" w:eastAsia="Times New Roman" w:cs="Times New Roman"/>
        <w:b/>
        <w:bCs/>
        <w:spacing w:val="-1"/>
        <w:w w:val="100"/>
        <w:sz w:val="28"/>
        <w:szCs w:val="28"/>
      </w:rPr>
    </w:lvl>
    <w:lvl w:ilvl="2">
      <w:start w:val="1"/>
      <w:numFmt w:val="lowerLetter"/>
      <w:lvlText w:val="(%3)"/>
      <w:lvlJc w:val="left"/>
      <w:pPr>
        <w:ind w:left="1458" w:hanging="360"/>
        <w:jc w:val="left"/>
      </w:pPr>
      <w:rPr>
        <w:rFonts w:hint="default" w:ascii="Times New Roman" w:hAnsi="Times New Roman" w:eastAsia="Times New Roman" w:cs="Times New Roman"/>
        <w:spacing w:val="-25"/>
        <w:w w:val="99"/>
        <w:sz w:val="24"/>
        <w:szCs w:val="24"/>
      </w:rPr>
    </w:lvl>
    <w:lvl w:ilvl="3">
      <w:start w:val="1"/>
      <w:numFmt w:val="lowerRoman"/>
      <w:lvlText w:val="(%4)"/>
      <w:lvlJc w:val="left"/>
      <w:pPr>
        <w:ind w:left="2024" w:hanging="293"/>
        <w:jc w:val="left"/>
      </w:pPr>
      <w:rPr>
        <w:rFonts w:hint="default" w:ascii="Times New Roman" w:hAnsi="Times New Roman" w:eastAsia="Times New Roman" w:cs="Times New Roman"/>
        <w:spacing w:val="-1"/>
        <w:w w:val="99"/>
        <w:sz w:val="24"/>
        <w:szCs w:val="24"/>
      </w:rPr>
    </w:lvl>
    <w:lvl w:ilvl="4">
      <w:start w:val="0"/>
      <w:numFmt w:val="bullet"/>
      <w:lvlText w:val="•"/>
      <w:lvlJc w:val="left"/>
      <w:pPr>
        <w:ind w:left="4170" w:hanging="293"/>
      </w:pPr>
      <w:rPr>
        <w:rFonts w:hint="default"/>
      </w:rPr>
    </w:lvl>
    <w:lvl w:ilvl="5">
      <w:start w:val="0"/>
      <w:numFmt w:val="bullet"/>
      <w:lvlText w:val="•"/>
      <w:lvlJc w:val="left"/>
      <w:pPr>
        <w:ind w:left="5245" w:hanging="293"/>
      </w:pPr>
      <w:rPr>
        <w:rFonts w:hint="default"/>
      </w:rPr>
    </w:lvl>
    <w:lvl w:ilvl="6">
      <w:start w:val="0"/>
      <w:numFmt w:val="bullet"/>
      <w:lvlText w:val="•"/>
      <w:lvlJc w:val="left"/>
      <w:pPr>
        <w:ind w:left="6320" w:hanging="293"/>
      </w:pPr>
      <w:rPr>
        <w:rFonts w:hint="default"/>
      </w:rPr>
    </w:lvl>
    <w:lvl w:ilvl="7">
      <w:start w:val="0"/>
      <w:numFmt w:val="bullet"/>
      <w:lvlText w:val="•"/>
      <w:lvlJc w:val="left"/>
      <w:pPr>
        <w:ind w:left="7395" w:hanging="293"/>
      </w:pPr>
      <w:rPr>
        <w:rFonts w:hint="default"/>
      </w:rPr>
    </w:lvl>
    <w:lvl w:ilvl="8">
      <w:start w:val="0"/>
      <w:numFmt w:val="bullet"/>
      <w:lvlText w:val="•"/>
      <w:lvlJc w:val="left"/>
      <w:pPr>
        <w:ind w:left="8470" w:hanging="293"/>
      </w:pPr>
      <w:rPr>
        <w:rFonts w:hint="default"/>
      </w:rPr>
    </w:lvl>
  </w:abstractNum>
  <w:abstractNum w:abstractNumId="1">
    <w:multiLevelType w:val="hybridMultilevel"/>
    <w:lvl w:ilvl="0">
      <w:start w:val="3"/>
      <w:numFmt w:val="decimal"/>
      <w:lvlText w:val="%1"/>
      <w:lvlJc w:val="left"/>
      <w:pPr>
        <w:ind w:left="1160" w:hanging="423"/>
        <w:jc w:val="left"/>
      </w:pPr>
      <w:rPr>
        <w:rFonts w:hint="default"/>
      </w:rPr>
    </w:lvl>
    <w:lvl w:ilvl="1">
      <w:start w:val="1"/>
      <w:numFmt w:val="decimal"/>
      <w:lvlText w:val="%1.%2"/>
      <w:lvlJc w:val="left"/>
      <w:pPr>
        <w:ind w:left="1160" w:hanging="423"/>
        <w:jc w:val="left"/>
      </w:pPr>
      <w:rPr>
        <w:rFonts w:hint="default" w:ascii="Times New Roman" w:hAnsi="Times New Roman" w:eastAsia="Times New Roman" w:cs="Times New Roman"/>
        <w:b/>
        <w:bCs/>
        <w:spacing w:val="-1"/>
        <w:w w:val="100"/>
        <w:sz w:val="28"/>
        <w:szCs w:val="28"/>
      </w:rPr>
    </w:lvl>
    <w:lvl w:ilvl="2">
      <w:start w:val="0"/>
      <w:numFmt w:val="bullet"/>
      <w:lvlText w:val="•"/>
      <w:lvlJc w:val="left"/>
      <w:pPr>
        <w:ind w:left="3052" w:hanging="423"/>
      </w:pPr>
      <w:rPr>
        <w:rFonts w:hint="default"/>
      </w:rPr>
    </w:lvl>
    <w:lvl w:ilvl="3">
      <w:start w:val="0"/>
      <w:numFmt w:val="bullet"/>
      <w:lvlText w:val="•"/>
      <w:lvlJc w:val="left"/>
      <w:pPr>
        <w:ind w:left="3998" w:hanging="423"/>
      </w:pPr>
      <w:rPr>
        <w:rFonts w:hint="default"/>
      </w:rPr>
    </w:lvl>
    <w:lvl w:ilvl="4">
      <w:start w:val="0"/>
      <w:numFmt w:val="bullet"/>
      <w:lvlText w:val="•"/>
      <w:lvlJc w:val="left"/>
      <w:pPr>
        <w:ind w:left="4944" w:hanging="423"/>
      </w:pPr>
      <w:rPr>
        <w:rFonts w:hint="default"/>
      </w:rPr>
    </w:lvl>
    <w:lvl w:ilvl="5">
      <w:start w:val="0"/>
      <w:numFmt w:val="bullet"/>
      <w:lvlText w:val="•"/>
      <w:lvlJc w:val="left"/>
      <w:pPr>
        <w:ind w:left="5890" w:hanging="423"/>
      </w:pPr>
      <w:rPr>
        <w:rFonts w:hint="default"/>
      </w:rPr>
    </w:lvl>
    <w:lvl w:ilvl="6">
      <w:start w:val="0"/>
      <w:numFmt w:val="bullet"/>
      <w:lvlText w:val="•"/>
      <w:lvlJc w:val="left"/>
      <w:pPr>
        <w:ind w:left="6836" w:hanging="423"/>
      </w:pPr>
      <w:rPr>
        <w:rFonts w:hint="default"/>
      </w:rPr>
    </w:lvl>
    <w:lvl w:ilvl="7">
      <w:start w:val="0"/>
      <w:numFmt w:val="bullet"/>
      <w:lvlText w:val="•"/>
      <w:lvlJc w:val="left"/>
      <w:pPr>
        <w:ind w:left="7782" w:hanging="423"/>
      </w:pPr>
      <w:rPr>
        <w:rFonts w:hint="default"/>
      </w:rPr>
    </w:lvl>
    <w:lvl w:ilvl="8">
      <w:start w:val="0"/>
      <w:numFmt w:val="bullet"/>
      <w:lvlText w:val="•"/>
      <w:lvlJc w:val="left"/>
      <w:pPr>
        <w:ind w:left="8728" w:hanging="423"/>
      </w:pPr>
      <w:rPr>
        <w:rFonts w:hint="default"/>
      </w:rPr>
    </w:lvl>
  </w:abstractNum>
  <w:abstractNum w:abstractNumId="0">
    <w:multiLevelType w:val="hybridMultilevel"/>
    <w:lvl w:ilvl="0">
      <w:start w:val="2"/>
      <w:numFmt w:val="decimal"/>
      <w:lvlText w:val="%1"/>
      <w:lvlJc w:val="left"/>
      <w:pPr>
        <w:ind w:left="1338" w:hanging="600"/>
        <w:jc w:val="left"/>
      </w:pPr>
      <w:rPr>
        <w:rFonts w:hint="default"/>
      </w:rPr>
    </w:lvl>
    <w:lvl w:ilvl="1">
      <w:start w:val="1"/>
      <w:numFmt w:val="decimal"/>
      <w:lvlText w:val="%1.%2"/>
      <w:lvlJc w:val="left"/>
      <w:pPr>
        <w:ind w:left="1338" w:hanging="600"/>
        <w:jc w:val="left"/>
      </w:pPr>
      <w:rPr>
        <w:rFonts w:hint="default" w:ascii="Times New Roman" w:hAnsi="Times New Roman" w:eastAsia="Times New Roman" w:cs="Times New Roman"/>
        <w:spacing w:val="-1"/>
        <w:w w:val="99"/>
        <w:sz w:val="24"/>
        <w:szCs w:val="24"/>
      </w:rPr>
    </w:lvl>
    <w:lvl w:ilvl="2">
      <w:start w:val="0"/>
      <w:numFmt w:val="bullet"/>
      <w:lvlText w:val="•"/>
      <w:lvlJc w:val="left"/>
      <w:pPr>
        <w:ind w:left="3196" w:hanging="600"/>
      </w:pPr>
      <w:rPr>
        <w:rFonts w:hint="default"/>
      </w:rPr>
    </w:lvl>
    <w:lvl w:ilvl="3">
      <w:start w:val="0"/>
      <w:numFmt w:val="bullet"/>
      <w:lvlText w:val="•"/>
      <w:lvlJc w:val="left"/>
      <w:pPr>
        <w:ind w:left="4124" w:hanging="600"/>
      </w:pPr>
      <w:rPr>
        <w:rFonts w:hint="default"/>
      </w:rPr>
    </w:lvl>
    <w:lvl w:ilvl="4">
      <w:start w:val="0"/>
      <w:numFmt w:val="bullet"/>
      <w:lvlText w:val="•"/>
      <w:lvlJc w:val="left"/>
      <w:pPr>
        <w:ind w:left="5052" w:hanging="600"/>
      </w:pPr>
      <w:rPr>
        <w:rFonts w:hint="default"/>
      </w:rPr>
    </w:lvl>
    <w:lvl w:ilvl="5">
      <w:start w:val="0"/>
      <w:numFmt w:val="bullet"/>
      <w:lvlText w:val="•"/>
      <w:lvlJc w:val="left"/>
      <w:pPr>
        <w:ind w:left="5980" w:hanging="600"/>
      </w:pPr>
      <w:rPr>
        <w:rFonts w:hint="default"/>
      </w:rPr>
    </w:lvl>
    <w:lvl w:ilvl="6">
      <w:start w:val="0"/>
      <w:numFmt w:val="bullet"/>
      <w:lvlText w:val="•"/>
      <w:lvlJc w:val="left"/>
      <w:pPr>
        <w:ind w:left="6908" w:hanging="600"/>
      </w:pPr>
      <w:rPr>
        <w:rFonts w:hint="default"/>
      </w:rPr>
    </w:lvl>
    <w:lvl w:ilvl="7">
      <w:start w:val="0"/>
      <w:numFmt w:val="bullet"/>
      <w:lvlText w:val="•"/>
      <w:lvlJc w:val="left"/>
      <w:pPr>
        <w:ind w:left="7836" w:hanging="600"/>
      </w:pPr>
      <w:rPr>
        <w:rFonts w:hint="default"/>
      </w:rPr>
    </w:lvl>
    <w:lvl w:ilvl="8">
      <w:start w:val="0"/>
      <w:numFmt w:val="bullet"/>
      <w:lvlText w:val="•"/>
      <w:lvlJc w:val="left"/>
      <w:pPr>
        <w:ind w:left="8764" w:hanging="60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58" w:hanging="42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738"/>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458" w:hanging="421"/>
    </w:pPr>
    <w:rPr>
      <w:rFonts w:ascii="Times New Roman" w:hAnsi="Times New Roman" w:eastAsia="Times New Roman" w:cs="Times New Roman"/>
    </w:rPr>
  </w:style>
  <w:style w:styleId="TableParagraph" w:type="paragraph">
    <w:name w:val="Table Paragraph"/>
    <w:basedOn w:val="Normal"/>
    <w:uiPriority w:val="1"/>
    <w:qFormat/>
    <w:pPr>
      <w:spacing w:before="10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ecb.europa.eu/stats/exchange/eurofxref/html/index.en.html)" TargetMode="External"/><Relationship Id="rId11" Type="http://schemas.openxmlformats.org/officeDocument/2006/relationships/hyperlink" Target="mailto:c4t-services@cedefop.europa.eu"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guerycl</dc:creator>
  <dcterms:created xsi:type="dcterms:W3CDTF">2023-01-11T12:14:55Z</dcterms:created>
  <dcterms:modified xsi:type="dcterms:W3CDTF">2023-01-11T12:14:55Z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Adobe Acrobat Pro DC 15.6.30527</vt:lpwstr>
  </property>
  <property fmtid="{D5CDD505-2E9C-101B-9397-08002B2CF9AE}" pid="4" name="LastSaved">
    <vt:filetime>2023-01-11T00:00:00Z</vt:filetime>
  </property>
</Properties>
</file>