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329" w:rsidRDefault="00C54329">
      <w:pPr>
        <w:spacing w:line="240" w:lineRule="exact"/>
        <w:rPr>
          <w:sz w:val="19"/>
          <w:szCs w:val="19"/>
        </w:rPr>
      </w:pPr>
      <w:bookmarkStart w:id="0" w:name="_GoBack"/>
      <w:bookmarkEnd w:id="0"/>
    </w:p>
    <w:p w:rsidR="00C54329" w:rsidRDefault="00C54329">
      <w:pPr>
        <w:spacing w:before="63" w:after="63" w:line="240" w:lineRule="exact"/>
        <w:rPr>
          <w:sz w:val="19"/>
          <w:szCs w:val="19"/>
        </w:rPr>
      </w:pPr>
    </w:p>
    <w:p w:rsidR="00C54329" w:rsidRDefault="00C54329">
      <w:pPr>
        <w:spacing w:line="14" w:lineRule="exact"/>
        <w:sectPr w:rsidR="00C54329">
          <w:pgSz w:w="11900" w:h="16840"/>
          <w:pgMar w:top="49" w:right="0" w:bottom="895" w:left="0" w:header="0" w:footer="3" w:gutter="0"/>
          <w:cols w:space="720"/>
          <w:noEndnote/>
          <w:docGrid w:linePitch="360"/>
        </w:sectPr>
      </w:pPr>
    </w:p>
    <w:p w:rsidR="00C54329" w:rsidRDefault="00404EA6">
      <w:pPr>
        <w:pStyle w:val="Heading10"/>
        <w:keepNext/>
        <w:keepLines/>
        <w:shd w:val="clear" w:color="auto" w:fill="auto"/>
        <w:tabs>
          <w:tab w:val="left" w:pos="3611"/>
        </w:tabs>
      </w:pPr>
      <w:bookmarkStart w:id="1" w:name="bookmark0"/>
      <w:r>
        <w:t>X</w:t>
      </w:r>
      <w:r>
        <w:tab/>
        <w:t>SMLOUVA O POSKYTOVÁNÍ SLU</w:t>
      </w:r>
      <w:bookmarkEnd w:id="1"/>
    </w:p>
    <w:p w:rsidR="00C54329" w:rsidRDefault="00404EA6">
      <w:pPr>
        <w:pStyle w:val="Zkladntext"/>
        <w:shd w:val="clear" w:color="auto" w:fill="auto"/>
        <w:spacing w:line="252" w:lineRule="auto"/>
        <w:ind w:left="4560"/>
        <w:jc w:val="left"/>
        <w:rPr>
          <w:sz w:val="18"/>
          <w:szCs w:val="18"/>
        </w:rPr>
      </w:pPr>
      <w:r>
        <w:t xml:space="preserve">(dále jen </w:t>
      </w:r>
      <w:proofErr w:type="gramStart"/>
      <w:r>
        <w:rPr>
          <w:b/>
          <w:bCs/>
          <w:sz w:val="18"/>
          <w:szCs w:val="18"/>
        </w:rPr>
        <w:t>Smlouva )</w:t>
      </w:r>
      <w:proofErr w:type="gramEnd"/>
    </w:p>
    <w:p w:rsidR="00C54329" w:rsidRDefault="00404EA6">
      <w:pPr>
        <w:pStyle w:val="Zkladntext"/>
        <w:shd w:val="clear" w:color="auto" w:fill="auto"/>
        <w:spacing w:after="0"/>
        <w:ind w:left="180"/>
        <w:jc w:val="left"/>
      </w:pPr>
      <w:r>
        <w:rPr>
          <w:color w:val="7AAEC3"/>
        </w:rPr>
        <w:t xml:space="preserve">; </w:t>
      </w:r>
      <w:r>
        <w:t>SMLUVNÍ STRANY:</w:t>
      </w:r>
    </w:p>
    <w:p w:rsidR="00C54329" w:rsidRDefault="00404EA6">
      <w:pPr>
        <w:pStyle w:val="Zkladntext"/>
        <w:shd w:val="clear" w:color="auto" w:fill="auto"/>
        <w:spacing w:after="0" w:line="180" w:lineRule="auto"/>
        <w:jc w:val="left"/>
      </w:pPr>
      <w:r>
        <w:rPr>
          <w:color w:val="7AAEC3"/>
        </w:rPr>
        <w:t>i 0</w:t>
      </w:r>
    </w:p>
    <w:p w:rsidR="00C54329" w:rsidRDefault="00404EA6">
      <w:pPr>
        <w:pStyle w:val="Bodytext40"/>
        <w:shd w:val="clear" w:color="auto" w:fill="auto"/>
      </w:pPr>
      <w:r>
        <w:t>S</w:t>
      </w:r>
    </w:p>
    <w:p w:rsidR="00C54329" w:rsidRDefault="00404EA6">
      <w:pPr>
        <w:pStyle w:val="Zkladntext"/>
        <w:shd w:val="clear" w:color="auto" w:fill="auto"/>
        <w:spacing w:after="120" w:line="252" w:lineRule="auto"/>
        <w:ind w:firstLine="380"/>
        <w:jc w:val="left"/>
      </w:pPr>
      <w:proofErr w:type="spellStart"/>
      <w:r>
        <w:rPr>
          <w:b/>
          <w:bCs/>
          <w:sz w:val="18"/>
          <w:szCs w:val="18"/>
        </w:rPr>
        <w:t>FaceUp</w:t>
      </w:r>
      <w:proofErr w:type="spellEnd"/>
      <w:r>
        <w:rPr>
          <w:b/>
          <w:bCs/>
          <w:sz w:val="18"/>
          <w:szCs w:val="18"/>
        </w:rPr>
        <w:t xml:space="preserve"> Technology s.r.o., </w:t>
      </w:r>
      <w:r>
        <w:t xml:space="preserve">IČO: 061 42 630, se sídlem Údolní 567/33, Brno-město, 602 00 Brno, zapsaná v obchodním </w:t>
      </w:r>
      <w:r>
        <w:rPr>
          <w:color w:val="7AAEC3"/>
        </w:rPr>
        <w:t xml:space="preserve">t” </w:t>
      </w:r>
      <w:r>
        <w:t>rejstříku vedeném Krajským soudem v Brně,</w:t>
      </w:r>
      <w:r>
        <w:t xml:space="preserve"> </w:t>
      </w:r>
      <w:proofErr w:type="spellStart"/>
      <w:r>
        <w:t>sp</w:t>
      </w:r>
      <w:proofErr w:type="spellEnd"/>
      <w:r>
        <w:t>. zn. C 100325</w:t>
      </w:r>
    </w:p>
    <w:p w:rsidR="00C54329" w:rsidRDefault="00404EA6">
      <w:pPr>
        <w:pStyle w:val="Zkladntext"/>
        <w:shd w:val="clear" w:color="auto" w:fill="auto"/>
        <w:spacing w:line="252" w:lineRule="auto"/>
        <w:ind w:left="360" w:firstLine="20"/>
        <w:jc w:val="left"/>
      </w:pPr>
      <w:r>
        <w:t xml:space="preserve">(dále jen </w:t>
      </w:r>
      <w:r>
        <w:rPr>
          <w:b/>
          <w:bCs/>
          <w:sz w:val="18"/>
          <w:szCs w:val="18"/>
        </w:rPr>
        <w:t xml:space="preserve">„Provozovatel") </w:t>
      </w:r>
      <w:r>
        <w:t>a</w:t>
      </w:r>
    </w:p>
    <w:p w:rsidR="00C54329" w:rsidRDefault="00404EA6">
      <w:pPr>
        <w:pStyle w:val="Zkladntext"/>
        <w:shd w:val="clear" w:color="auto" w:fill="auto"/>
        <w:spacing w:after="120" w:line="360" w:lineRule="auto"/>
        <w:ind w:left="360" w:firstLine="20"/>
        <w:jc w:val="left"/>
        <w:rPr>
          <w:sz w:val="18"/>
          <w:szCs w:val="18"/>
        </w:rPr>
      </w:pPr>
      <w:r>
        <w:rPr>
          <w:b/>
          <w:bCs/>
          <w:sz w:val="18"/>
          <w:szCs w:val="18"/>
        </w:rPr>
        <w:t xml:space="preserve">Výzkumný ústav živočišné výroby, v. v. i., </w:t>
      </w:r>
      <w:r>
        <w:t xml:space="preserve">IČO: 00027014, se sídlem Přátelství 815, 104 00 </w:t>
      </w:r>
      <w:proofErr w:type="gramStart"/>
      <w:r>
        <w:t>Praha - Uhříněves</w:t>
      </w:r>
      <w:proofErr w:type="gramEnd"/>
      <w:r>
        <w:t xml:space="preserve"> (dále jen </w:t>
      </w:r>
      <w:r>
        <w:rPr>
          <w:b/>
          <w:bCs/>
          <w:sz w:val="18"/>
          <w:szCs w:val="18"/>
        </w:rPr>
        <w:t>„Klient")</w:t>
      </w:r>
    </w:p>
    <w:p w:rsidR="00C54329" w:rsidRDefault="00404EA6">
      <w:pPr>
        <w:pStyle w:val="Zkladntext"/>
        <w:shd w:val="clear" w:color="auto" w:fill="auto"/>
        <w:spacing w:line="252" w:lineRule="auto"/>
        <w:ind w:left="1520" w:hanging="1140"/>
        <w:rPr>
          <w:sz w:val="18"/>
          <w:szCs w:val="18"/>
        </w:rPr>
      </w:pPr>
      <w:r>
        <w:t xml:space="preserve">(Provozovatel a Klient společně dále jen </w:t>
      </w:r>
      <w:r>
        <w:rPr>
          <w:b/>
          <w:bCs/>
          <w:sz w:val="18"/>
          <w:szCs w:val="18"/>
        </w:rPr>
        <w:t xml:space="preserve">„Smluvní strany" </w:t>
      </w:r>
      <w:r>
        <w:t xml:space="preserve">a každý z nich samostatně též jen </w:t>
      </w:r>
      <w:r>
        <w:rPr>
          <w:b/>
          <w:bCs/>
          <w:sz w:val="18"/>
          <w:szCs w:val="18"/>
        </w:rPr>
        <w:t>„Smluvní strana")</w:t>
      </w:r>
    </w:p>
    <w:p w:rsidR="00C54329" w:rsidRDefault="00404EA6">
      <w:pPr>
        <w:pStyle w:val="Zkladntext"/>
        <w:shd w:val="clear" w:color="auto" w:fill="auto"/>
        <w:spacing w:line="252" w:lineRule="auto"/>
        <w:ind w:left="1520" w:hanging="1140"/>
      </w:pPr>
      <w:r>
        <w:t>UZAVÍRAJÍ TUTO SMLOUVU:</w:t>
      </w:r>
    </w:p>
    <w:p w:rsidR="00C54329" w:rsidRDefault="00404EA6">
      <w:pPr>
        <w:pStyle w:val="Heading20"/>
        <w:keepNext/>
        <w:keepLines/>
        <w:numPr>
          <w:ilvl w:val="0"/>
          <w:numId w:val="1"/>
        </w:numPr>
        <w:shd w:val="clear" w:color="auto" w:fill="auto"/>
        <w:tabs>
          <w:tab w:val="left" w:pos="1509"/>
        </w:tabs>
        <w:spacing w:after="220" w:line="266" w:lineRule="auto"/>
        <w:ind w:left="1520" w:hanging="1140"/>
      </w:pPr>
      <w:bookmarkStart w:id="2" w:name="bookmark1"/>
      <w:r>
        <w:t>Úvodní ustanovení</w:t>
      </w:r>
      <w:bookmarkEnd w:id="2"/>
    </w:p>
    <w:p w:rsidR="00C54329" w:rsidRDefault="00404EA6">
      <w:pPr>
        <w:pStyle w:val="Zkladntext"/>
        <w:numPr>
          <w:ilvl w:val="1"/>
          <w:numId w:val="1"/>
        </w:numPr>
        <w:shd w:val="clear" w:color="auto" w:fill="auto"/>
        <w:tabs>
          <w:tab w:val="left" w:pos="1509"/>
        </w:tabs>
        <w:spacing w:after="220"/>
        <w:ind w:left="1520" w:hanging="1140"/>
        <w:rPr>
          <w:sz w:val="18"/>
          <w:szCs w:val="18"/>
        </w:rPr>
      </w:pPr>
      <w:r>
        <w:t xml:space="preserve">Provozovatel je autorem, vlastníkem a provozovatelem mobilní a webové aplikace </w:t>
      </w:r>
      <w:r>
        <w:rPr>
          <w:i/>
          <w:iCs/>
        </w:rPr>
        <w:t xml:space="preserve">„Nenech to být", </w:t>
      </w:r>
      <w:r>
        <w:t xml:space="preserve">poskytované prostřednictvím </w:t>
      </w:r>
      <w:r>
        <w:rPr>
          <w:lang w:val="en-US" w:eastAsia="en-US" w:bidi="en-US"/>
        </w:rPr>
        <w:t xml:space="preserve">on-line </w:t>
      </w:r>
      <w:r>
        <w:t xml:space="preserve">platformy umístěné na internetové adrese </w:t>
      </w:r>
      <w:r>
        <w:rPr>
          <w:u w:val="single"/>
          <w:lang w:val="en-US" w:eastAsia="en-US" w:bidi="en-US"/>
        </w:rPr>
        <w:t>www.nntb.cz</w:t>
      </w:r>
      <w:r>
        <w:rPr>
          <w:lang w:val="en-US" w:eastAsia="en-US" w:bidi="en-US"/>
        </w:rPr>
        <w:t xml:space="preserve"> </w:t>
      </w:r>
      <w:r>
        <w:t xml:space="preserve">a </w:t>
      </w:r>
      <w:r>
        <w:rPr>
          <w:u w:val="single"/>
          <w:lang w:val="en-US" w:eastAsia="en-US" w:bidi="en-US"/>
        </w:rPr>
        <w:t>www.faceup.com</w:t>
      </w:r>
      <w:r>
        <w:rPr>
          <w:lang w:val="en-US" w:eastAsia="en-US" w:bidi="en-US"/>
        </w:rPr>
        <w:t xml:space="preserve"> </w:t>
      </w:r>
      <w:r>
        <w:t xml:space="preserve">(dále jen </w:t>
      </w:r>
      <w:r>
        <w:rPr>
          <w:b/>
          <w:bCs/>
          <w:sz w:val="18"/>
          <w:szCs w:val="18"/>
        </w:rPr>
        <w:t xml:space="preserve">„Internetové stránky") </w:t>
      </w:r>
      <w:r>
        <w:t xml:space="preserve">a/nebo mobilní aplikace NNTB nebo </w:t>
      </w:r>
      <w:proofErr w:type="spellStart"/>
      <w:r>
        <w:t>FaceUp</w:t>
      </w:r>
      <w:proofErr w:type="spellEnd"/>
      <w:r>
        <w:t xml:space="preserve"> dostupné v obchodech </w:t>
      </w:r>
      <w:r>
        <w:rPr>
          <w:lang w:val="en-US" w:eastAsia="en-US" w:bidi="en-US"/>
        </w:rPr>
        <w:t xml:space="preserve">Google Play a </w:t>
      </w:r>
      <w:proofErr w:type="spellStart"/>
      <w:r>
        <w:t>App</w:t>
      </w:r>
      <w:proofErr w:type="spellEnd"/>
      <w:r>
        <w:t xml:space="preserve"> </w:t>
      </w:r>
      <w:r>
        <w:rPr>
          <w:lang w:val="en-US" w:eastAsia="en-US" w:bidi="en-US"/>
        </w:rPr>
        <w:t xml:space="preserve">Store </w:t>
      </w:r>
      <w:r>
        <w:t xml:space="preserve">(dále jel </w:t>
      </w:r>
      <w:r>
        <w:rPr>
          <w:b/>
          <w:bCs/>
          <w:sz w:val="18"/>
          <w:szCs w:val="18"/>
        </w:rPr>
        <w:t xml:space="preserve">„Aplikace"), </w:t>
      </w:r>
      <w:r>
        <w:t>služby, pomocí nichž Provozovatel zejména př</w:t>
      </w:r>
      <w:r>
        <w:t>ijímá zprávy (oznámení) od třetích osob a následně je ukládá do Aplikace a tyto údaje zpřístupňuje Klientovi prostřednictvím profilu či zasláním v podobě zašifrovaného dokumentu, čímž Klient využívá Internetové stránky a/nebo Aplikaci Provozovatele k vyřiz</w:t>
      </w:r>
      <w:r>
        <w:t xml:space="preserve">ování a administraci zpráv (oznámení) a komunikaci s oznamovatelem, (dále jen </w:t>
      </w:r>
      <w:r>
        <w:rPr>
          <w:b/>
          <w:bCs/>
          <w:sz w:val="18"/>
          <w:szCs w:val="18"/>
        </w:rPr>
        <w:t>„Služby").</w:t>
      </w:r>
    </w:p>
    <w:p w:rsidR="00C54329" w:rsidRDefault="00404EA6">
      <w:pPr>
        <w:pStyle w:val="Zkladntext"/>
        <w:numPr>
          <w:ilvl w:val="1"/>
          <w:numId w:val="1"/>
        </w:numPr>
        <w:shd w:val="clear" w:color="auto" w:fill="auto"/>
        <w:tabs>
          <w:tab w:val="left" w:pos="1509"/>
        </w:tabs>
        <w:ind w:left="1520" w:hanging="1140"/>
      </w:pPr>
      <w:r>
        <w:t xml:space="preserve">Právní vztahy mezi Provozovatelem a Klientem se řídí touto Smlouvou a všeobecnými obchodními podmínkami Poskytovatele, které jsou k dispozici na internetové adrese </w:t>
      </w:r>
      <w:hyperlink r:id="rId7" w:history="1">
        <w:r>
          <w:rPr>
            <w:u w:val="single"/>
            <w:lang w:val="en-US" w:eastAsia="en-US" w:bidi="en-US"/>
          </w:rPr>
          <w:t xml:space="preserve">www.nntb.cz/obchodni- </w:t>
        </w:r>
        <w:r>
          <w:rPr>
            <w:u w:val="single"/>
          </w:rPr>
          <w:t>podminky</w:t>
        </w:r>
        <w:r>
          <w:t xml:space="preserve"> (dále jen </w:t>
        </w:r>
        <w:r>
          <w:rPr>
            <w:b/>
            <w:bCs/>
            <w:sz w:val="18"/>
            <w:szCs w:val="18"/>
          </w:rPr>
          <w:t xml:space="preserve">„VOP"), </w:t>
        </w:r>
        <w:r>
          <w:t xml:space="preserve">jejichž nedílnou součástí je i zpracovatelská smlouva (smlouva o zpracování osobních údajů), která je dostupná na internetových stránkách </w:t>
        </w:r>
        <w:r>
          <w:rPr>
            <w:u w:val="single"/>
            <w:lang w:val="en-US" w:eastAsia="en-US" w:bidi="en-US"/>
          </w:rPr>
          <w:t xml:space="preserve">www.nntb.cz/zpracovatelska-smlouva </w:t>
        </w:r>
        <w:r>
          <w:t xml:space="preserve">(dále jen </w:t>
        </w:r>
        <w:r>
          <w:rPr>
            <w:b/>
            <w:bCs/>
            <w:sz w:val="18"/>
            <w:szCs w:val="18"/>
          </w:rPr>
          <w:t xml:space="preserve">„Zpracovatelská smlouva"), </w:t>
        </w:r>
        <w:r>
          <w:t xml:space="preserve">a zásady ochrany osobních údajů, které jsou dostupné na internetových stránkách </w:t>
        </w:r>
        <w:r>
          <w:rPr>
            <w:u w:val="single"/>
            <w:lang w:val="en-US" w:eastAsia="en-US" w:bidi="en-US"/>
          </w:rPr>
          <w:t>www.nntb.cz/zasady-ochrany-osobnich-udaju</w:t>
        </w:r>
        <w:r>
          <w:rPr>
            <w:lang w:val="en-US" w:eastAsia="en-US" w:bidi="en-US"/>
          </w:rPr>
          <w:t xml:space="preserve"> </w:t>
        </w:r>
        <w:r>
          <w:t xml:space="preserve">(dále jen </w:t>
        </w:r>
        <w:r>
          <w:rPr>
            <w:b/>
            <w:bCs/>
            <w:sz w:val="18"/>
            <w:szCs w:val="18"/>
          </w:rPr>
          <w:t xml:space="preserve">„Zásady"). </w:t>
        </w:r>
        <w:r>
          <w:t>Klient prohlašuje, že se před uzavřením t</w:t>
        </w:r>
        <w:r>
          <w:t>éto Smlouvy s VOP, Zpracovatelskou smlouvou a Zásadami řádně seznámil, souhlasí s nimi a nemá k nim žádné výhrady</w:t>
        </w:r>
      </w:hyperlink>
      <w:r>
        <w:t>.</w:t>
      </w:r>
    </w:p>
    <w:p w:rsidR="00C54329" w:rsidRDefault="00404EA6">
      <w:pPr>
        <w:pStyle w:val="Zkladntext"/>
        <w:numPr>
          <w:ilvl w:val="1"/>
          <w:numId w:val="1"/>
        </w:numPr>
        <w:shd w:val="clear" w:color="auto" w:fill="auto"/>
        <w:tabs>
          <w:tab w:val="left" w:pos="1509"/>
        </w:tabs>
        <w:spacing w:after="220" w:line="252" w:lineRule="auto"/>
        <w:ind w:left="1520" w:hanging="1140"/>
      </w:pPr>
      <w:r>
        <w:t xml:space="preserve">Právní vztahy založené touto Smlouvou se řídí ujednáními v této Smlouvě obsaženými. V případě rozporu některého ujednání v této Smlouvě s </w:t>
      </w:r>
      <w:r>
        <w:t>ujednáním VOP, užije se ujednání obsažené v této Smlouvě. Ustanovení VOP se použijí na právní vztahy touto Smlouvou neupravené. Obchodní zvyklosti se nepoužijí.</w:t>
      </w:r>
    </w:p>
    <w:p w:rsidR="00C54329" w:rsidRDefault="00404EA6">
      <w:pPr>
        <w:pStyle w:val="Heading20"/>
        <w:keepNext/>
        <w:keepLines/>
        <w:numPr>
          <w:ilvl w:val="0"/>
          <w:numId w:val="1"/>
        </w:numPr>
        <w:shd w:val="clear" w:color="auto" w:fill="auto"/>
        <w:tabs>
          <w:tab w:val="left" w:pos="1509"/>
        </w:tabs>
        <w:spacing w:after="220" w:line="266" w:lineRule="auto"/>
        <w:ind w:left="1520" w:hanging="1140"/>
      </w:pPr>
      <w:bookmarkStart w:id="3" w:name="bookmark2"/>
      <w:r>
        <w:t>Předmět Smlouvy</w:t>
      </w:r>
      <w:bookmarkEnd w:id="3"/>
    </w:p>
    <w:p w:rsidR="00C54329" w:rsidRDefault="00404EA6">
      <w:pPr>
        <w:pStyle w:val="Zkladntext"/>
        <w:numPr>
          <w:ilvl w:val="1"/>
          <w:numId w:val="1"/>
        </w:numPr>
        <w:shd w:val="clear" w:color="auto" w:fill="auto"/>
        <w:tabs>
          <w:tab w:val="left" w:pos="1509"/>
        </w:tabs>
        <w:spacing w:line="252" w:lineRule="auto"/>
        <w:ind w:left="1520" w:hanging="1140"/>
      </w:pPr>
      <w:r>
        <w:t xml:space="preserve">Provozovatel za podmínek v této Smlouvě uvedených poskytne Klientovi prostřednictvím Internetových stránek a Aplikace Služby, spočívající zejména ve zřízení uživatelského účtu Klientovi do Aplikace </w:t>
      </w:r>
      <w:r>
        <w:rPr>
          <w:i/>
          <w:iCs/>
        </w:rPr>
        <w:t xml:space="preserve">a v </w:t>
      </w:r>
      <w:r>
        <w:t>poskytnutí Aplikace jako služby Klientovi s tím, že dá</w:t>
      </w:r>
      <w:r>
        <w:t xml:space="preserve">le umožní, aby osoby, které chtějí učinit oznámení (dále jen </w:t>
      </w:r>
      <w:r>
        <w:rPr>
          <w:b/>
          <w:bCs/>
          <w:sz w:val="18"/>
          <w:szCs w:val="18"/>
        </w:rPr>
        <w:t xml:space="preserve">„Oznamovatel") </w:t>
      </w:r>
      <w:r>
        <w:t xml:space="preserve">o určitých skutečnostech - zpravidla nežádoucí povahy (dále jen </w:t>
      </w:r>
      <w:r>
        <w:rPr>
          <w:b/>
          <w:bCs/>
          <w:sz w:val="18"/>
          <w:szCs w:val="18"/>
        </w:rPr>
        <w:t xml:space="preserve">„Oznámení") </w:t>
      </w:r>
      <w:r>
        <w:t>prostřednictvím formuláře na Internetových stránkách a/nebo v Aplikaci s použitím přístupového kódu Klie</w:t>
      </w:r>
      <w:r>
        <w:t>nta prostřednictvím formuláře na Internetových stránkách a/nebo v Aplikaci takové oznámení učinit mohli, a Klient se za tuto Služby zavazuje zaplatit Odměnu dle čl. 3 této Smlouvy.</w:t>
      </w:r>
    </w:p>
    <w:p w:rsidR="00C54329" w:rsidRDefault="00404EA6">
      <w:pPr>
        <w:pStyle w:val="Zkladntext"/>
        <w:numPr>
          <w:ilvl w:val="1"/>
          <w:numId w:val="1"/>
        </w:numPr>
        <w:shd w:val="clear" w:color="auto" w:fill="auto"/>
        <w:tabs>
          <w:tab w:val="left" w:pos="1509"/>
        </w:tabs>
        <w:spacing w:line="252" w:lineRule="auto"/>
        <w:ind w:left="1520" w:hanging="1140"/>
      </w:pPr>
      <w:r>
        <w:t>Klient si zvolil verzi Aplikace Basic, která je podrobně specifikována co d</w:t>
      </w:r>
      <w:r>
        <w:t xml:space="preserve">o rozsahu nabízených funkcí na </w:t>
      </w:r>
      <w:hyperlink r:id="rId8" w:history="1">
        <w:r>
          <w:rPr>
            <w:lang w:val="en-US" w:eastAsia="en-US" w:bidi="en-US"/>
          </w:rPr>
          <w:t>www.nntb.cz/cenik-organizace</w:t>
        </w:r>
      </w:hyperlink>
      <w:r>
        <w:rPr>
          <w:lang w:val="en-US" w:eastAsia="en-US" w:bidi="en-US"/>
        </w:rPr>
        <w:t xml:space="preserve"> </w:t>
      </w:r>
      <w:r>
        <w:t>a který obsahuje vždy minimálně tyto funkce: Oznamovací formulář; Písemné i ústní oznámení; Správa oznámení, databáze; Návazná komunikace; Mobilní</w:t>
      </w:r>
      <w:r>
        <w:t xml:space="preserve"> aplikace; Možnost anonymity; Chytré notifikace; Přístup pro 1 řešitele; ■ Lhůty a jejich hlídání; Historie aktivit; Záloha,</w:t>
      </w:r>
    </w:p>
    <w:p w:rsidR="00C54329" w:rsidRDefault="00404EA6">
      <w:pPr>
        <w:pStyle w:val="Bodytext30"/>
        <w:shd w:val="clear" w:color="auto" w:fill="auto"/>
      </w:pPr>
      <w:r>
        <w:t>I</w:t>
      </w:r>
    </w:p>
    <w:p w:rsidR="00C54329" w:rsidRDefault="00404EA6">
      <w:pPr>
        <w:pStyle w:val="Zkladntext"/>
        <w:shd w:val="clear" w:color="auto" w:fill="auto"/>
        <w:ind w:left="1480" w:firstLine="20"/>
        <w:jc w:val="left"/>
      </w:pPr>
      <w:r>
        <w:rPr>
          <w:lang w:val="en-US" w:eastAsia="en-US" w:bidi="en-US"/>
        </w:rPr>
        <w:lastRenderedPageBreak/>
        <w:t xml:space="preserve">export </w:t>
      </w:r>
      <w:r>
        <w:t>a tisk dat; Vzory a další materiály; Nastavení přístupového kódu; Koncové šifrování (E2EE) Soulad s GDPR.</w:t>
      </w:r>
    </w:p>
    <w:p w:rsidR="00C54329" w:rsidRDefault="00404EA6">
      <w:pPr>
        <w:pStyle w:val="Zkladntext"/>
        <w:numPr>
          <w:ilvl w:val="1"/>
          <w:numId w:val="1"/>
        </w:numPr>
        <w:shd w:val="clear" w:color="auto" w:fill="auto"/>
        <w:tabs>
          <w:tab w:val="left" w:pos="1490"/>
        </w:tabs>
        <w:ind w:left="1480" w:hanging="1120"/>
      </w:pPr>
      <w:r>
        <w:t xml:space="preserve">Klient bere na </w:t>
      </w:r>
      <w:r>
        <w:t>vědomí, že Provozovatel nenese odpovědnost za nastavení (charakteristiky) Služeb provedené Klientem v uživatelském účtu Aplikace.</w:t>
      </w:r>
    </w:p>
    <w:p w:rsidR="00C54329" w:rsidRDefault="00404EA6">
      <w:pPr>
        <w:pStyle w:val="Zkladntext"/>
        <w:numPr>
          <w:ilvl w:val="1"/>
          <w:numId w:val="1"/>
        </w:numPr>
        <w:shd w:val="clear" w:color="auto" w:fill="auto"/>
        <w:tabs>
          <w:tab w:val="left" w:pos="1490"/>
        </w:tabs>
        <w:spacing w:line="252" w:lineRule="auto"/>
        <w:ind w:left="1480" w:hanging="1120"/>
      </w:pPr>
      <w:r>
        <w:t>Klient bere na vědomí, že jeho uživatelský účet nemusí být dostupný nepřetržitě, a to zejména s ohledem na nutnou údržbu hardw</w:t>
      </w:r>
      <w:r>
        <w:t>arového a softwarového vybavení Provozovatele, popř. jeho dodavatelů, a dále v případě, že poskytování Služeb brání omezení na straně Klienta nebo na straně jiných osob (např. výpadek v dodávce elektrické energie, výpadek datové sítě, zásah vyšší moci).</w:t>
      </w:r>
    </w:p>
    <w:p w:rsidR="00C54329" w:rsidRDefault="00404EA6">
      <w:pPr>
        <w:pStyle w:val="Zkladntext"/>
        <w:numPr>
          <w:ilvl w:val="1"/>
          <w:numId w:val="1"/>
        </w:numPr>
        <w:shd w:val="clear" w:color="auto" w:fill="auto"/>
        <w:tabs>
          <w:tab w:val="left" w:pos="1490"/>
        </w:tabs>
        <w:ind w:left="1480" w:hanging="1120"/>
      </w:pPr>
      <w:r>
        <w:t xml:space="preserve">V </w:t>
      </w:r>
      <w:r>
        <w:t>případě poruchy, výpadku nebo jiného nedostatku v poskytování Služeb, poskytne Provozovatel Klientovi technickou podporu za podmínek, v reakční době a způsobem blíže uvedeným v příslušných ustanoveních VOP.</w:t>
      </w:r>
    </w:p>
    <w:p w:rsidR="00C54329" w:rsidRDefault="00404EA6">
      <w:pPr>
        <w:pStyle w:val="Zkladntext"/>
        <w:numPr>
          <w:ilvl w:val="1"/>
          <w:numId w:val="1"/>
        </w:numPr>
        <w:shd w:val="clear" w:color="auto" w:fill="auto"/>
        <w:tabs>
          <w:tab w:val="left" w:pos="1490"/>
        </w:tabs>
        <w:ind w:left="1480" w:hanging="1120"/>
      </w:pPr>
      <w:r>
        <w:t>Klient je povinen zachovávat v tajnosti přístupov</w:t>
      </w:r>
      <w:r>
        <w:t>é údaje do jeho uživatelského účtu. Klient bere na vědomí, že Provozovatel nenese odpovědnost za porušení této povinnosti ze strany Klienta, zejména za zneužití uživatelského účtu Klienta třetími osobami.</w:t>
      </w:r>
    </w:p>
    <w:p w:rsidR="00C54329" w:rsidRDefault="00404EA6">
      <w:pPr>
        <w:pStyle w:val="Heading20"/>
        <w:keepNext/>
        <w:keepLines/>
        <w:numPr>
          <w:ilvl w:val="0"/>
          <w:numId w:val="1"/>
        </w:numPr>
        <w:shd w:val="clear" w:color="auto" w:fill="auto"/>
        <w:tabs>
          <w:tab w:val="left" w:pos="1490"/>
        </w:tabs>
        <w:spacing w:after="240"/>
      </w:pPr>
      <w:bookmarkStart w:id="4" w:name="bookmark3"/>
      <w:r>
        <w:t>Odměna a platební podmínky</w:t>
      </w:r>
      <w:bookmarkEnd w:id="4"/>
    </w:p>
    <w:p w:rsidR="00C54329" w:rsidRDefault="00404EA6">
      <w:pPr>
        <w:pStyle w:val="Zkladntext"/>
        <w:numPr>
          <w:ilvl w:val="1"/>
          <w:numId w:val="1"/>
        </w:numPr>
        <w:shd w:val="clear" w:color="auto" w:fill="auto"/>
        <w:tabs>
          <w:tab w:val="left" w:pos="1490"/>
        </w:tabs>
        <w:ind w:left="1480" w:hanging="1120"/>
      </w:pPr>
      <w:r>
        <w:t>Za užívání Aplikace se K</w:t>
      </w:r>
      <w:r>
        <w:t>lient zavazuje platit Provozovateli odměnu, jejíž výše se odvíjí od typu zvolené verze Aplikace.</w:t>
      </w:r>
    </w:p>
    <w:p w:rsidR="00C54329" w:rsidRDefault="00404EA6">
      <w:pPr>
        <w:pStyle w:val="Zkladntext"/>
        <w:numPr>
          <w:ilvl w:val="1"/>
          <w:numId w:val="1"/>
        </w:numPr>
        <w:shd w:val="clear" w:color="auto" w:fill="auto"/>
        <w:tabs>
          <w:tab w:val="left" w:pos="1490"/>
        </w:tabs>
        <w:spacing w:line="252" w:lineRule="auto"/>
        <w:ind w:left="1480" w:hanging="1120"/>
      </w:pPr>
      <w:r>
        <w:t xml:space="preserve">Odměna je sjednána periodicky vždy pro období dvanácti (12) po sobě jdoucích kalendářních měsíců (dále jen </w:t>
      </w:r>
      <w:r>
        <w:rPr>
          <w:b/>
          <w:bCs/>
          <w:sz w:val="18"/>
          <w:szCs w:val="18"/>
        </w:rPr>
        <w:t xml:space="preserve">„Období"). </w:t>
      </w:r>
      <w:r>
        <w:t xml:space="preserve">První období se sjednává od 1. 1.2023 do </w:t>
      </w:r>
      <w:r>
        <w:t>31. 12. 2023 včetně.</w:t>
      </w:r>
    </w:p>
    <w:p w:rsidR="00C54329" w:rsidRDefault="00404EA6">
      <w:pPr>
        <w:pStyle w:val="Zkladntext"/>
        <w:numPr>
          <w:ilvl w:val="1"/>
          <w:numId w:val="1"/>
        </w:numPr>
        <w:shd w:val="clear" w:color="auto" w:fill="auto"/>
        <w:tabs>
          <w:tab w:val="left" w:pos="1490"/>
        </w:tabs>
        <w:ind w:left="1480" w:hanging="1120"/>
      </w:pPr>
      <w:r>
        <w:t xml:space="preserve">Odměna za každé Období činí 19 080 Kč bez DPH (dále jen </w:t>
      </w:r>
      <w:r>
        <w:rPr>
          <w:b/>
          <w:bCs/>
          <w:sz w:val="18"/>
          <w:szCs w:val="18"/>
        </w:rPr>
        <w:t xml:space="preserve">„Odměna"). </w:t>
      </w:r>
      <w:r>
        <w:t>Klient se zavazuje zároveň s Odměnou uhradit DPH v zákonné výši.</w:t>
      </w:r>
    </w:p>
    <w:p w:rsidR="00C54329" w:rsidRDefault="00404EA6">
      <w:pPr>
        <w:pStyle w:val="Zkladntext"/>
        <w:numPr>
          <w:ilvl w:val="1"/>
          <w:numId w:val="1"/>
        </w:numPr>
        <w:shd w:val="clear" w:color="auto" w:fill="auto"/>
        <w:tabs>
          <w:tab w:val="left" w:pos="1490"/>
        </w:tabs>
        <w:ind w:left="1480" w:hanging="1120"/>
      </w:pPr>
      <w:r>
        <w:t>Fakturu za první období vystaví Provozovatel bezodkladně po uzavření této Smlouvy a její úhrada je před</w:t>
      </w:r>
      <w:r>
        <w:t>pokladem zprovoznění a poskytování Služeb Klientovi.</w:t>
      </w:r>
    </w:p>
    <w:p w:rsidR="00C54329" w:rsidRDefault="00404EA6">
      <w:pPr>
        <w:pStyle w:val="Zkladntext"/>
        <w:numPr>
          <w:ilvl w:val="1"/>
          <w:numId w:val="1"/>
        </w:numPr>
        <w:shd w:val="clear" w:color="auto" w:fill="auto"/>
        <w:tabs>
          <w:tab w:val="left" w:pos="1490"/>
        </w:tabs>
        <w:ind w:left="1480" w:hanging="1120"/>
      </w:pPr>
      <w:r>
        <w:t>Fakturu na další období je Provozovatel oprávněn vystavit nejdříve jeden (1) měsíc před začátkem dalšího období.</w:t>
      </w:r>
    </w:p>
    <w:p w:rsidR="00C54329" w:rsidRDefault="00404EA6">
      <w:pPr>
        <w:pStyle w:val="Zkladntext"/>
        <w:numPr>
          <w:ilvl w:val="1"/>
          <w:numId w:val="1"/>
        </w:numPr>
        <w:shd w:val="clear" w:color="auto" w:fill="auto"/>
        <w:tabs>
          <w:tab w:val="left" w:pos="1490"/>
        </w:tabs>
        <w:spacing w:line="252" w:lineRule="auto"/>
        <w:ind w:left="1480" w:hanging="1120"/>
      </w:pPr>
      <w:r>
        <w:t xml:space="preserve">Elektronická faktura bude zasílána na email: </w:t>
      </w:r>
      <w:hyperlink r:id="rId9" w:history="1">
        <w:r>
          <w:rPr>
            <w:lang w:val="en-US" w:eastAsia="en-US" w:bidi="en-US"/>
          </w:rPr>
          <w:t>prenosilova.vera@vuzv.cz</w:t>
        </w:r>
      </w:hyperlink>
      <w:r>
        <w:rPr>
          <w:lang w:val="en-US" w:eastAsia="en-US" w:bidi="en-US"/>
        </w:rPr>
        <w:t xml:space="preserve">. </w:t>
      </w:r>
      <w:r>
        <w:t>O případné změně emailové adresy je Klient povinen Provozovatele bezodkladně písemnou formou informovat.</w:t>
      </w:r>
    </w:p>
    <w:p w:rsidR="00C54329" w:rsidRDefault="00404EA6">
      <w:pPr>
        <w:pStyle w:val="Zkladntext"/>
        <w:numPr>
          <w:ilvl w:val="1"/>
          <w:numId w:val="1"/>
        </w:numPr>
        <w:shd w:val="clear" w:color="auto" w:fill="auto"/>
        <w:tabs>
          <w:tab w:val="left" w:pos="1490"/>
        </w:tabs>
        <w:ind w:left="1480" w:hanging="1120"/>
      </w:pPr>
      <w:r>
        <w:t>Faktura je splatná do čtrnácti (14) dnů od jejího doručení Klientovi. Při prodlení s úhradou faktury je Provozovateli oprá</w:t>
      </w:r>
      <w:r>
        <w:t>vněn přístup k Aplikaci přerušit až do vyrovnání pohledávky. Pozastavením přístupu do Aplikace však nezaniká právo Provozovatele na úhrady Odměny i za dobu, během které nebyla tato služba poskytována.</w:t>
      </w:r>
    </w:p>
    <w:p w:rsidR="00C54329" w:rsidRDefault="00404EA6">
      <w:pPr>
        <w:pStyle w:val="Heading20"/>
        <w:keepNext/>
        <w:keepLines/>
        <w:numPr>
          <w:ilvl w:val="0"/>
          <w:numId w:val="1"/>
        </w:numPr>
        <w:shd w:val="clear" w:color="auto" w:fill="auto"/>
        <w:tabs>
          <w:tab w:val="left" w:pos="1490"/>
        </w:tabs>
        <w:spacing w:after="240"/>
      </w:pPr>
      <w:bookmarkStart w:id="5" w:name="bookmark4"/>
      <w:r>
        <w:t>Doba trvání smlouvy</w:t>
      </w:r>
      <w:bookmarkEnd w:id="5"/>
    </w:p>
    <w:p w:rsidR="00C54329" w:rsidRDefault="00404EA6">
      <w:pPr>
        <w:pStyle w:val="Zkladntext"/>
        <w:numPr>
          <w:ilvl w:val="1"/>
          <w:numId w:val="1"/>
        </w:numPr>
        <w:shd w:val="clear" w:color="auto" w:fill="auto"/>
        <w:tabs>
          <w:tab w:val="left" w:pos="1490"/>
        </w:tabs>
        <w:ind w:left="1480" w:hanging="1120"/>
      </w:pPr>
      <w:r>
        <w:t>Smlouva se uzavírá na dobu neurčito</w:t>
      </w:r>
      <w:r>
        <w:t>u.</w:t>
      </w:r>
    </w:p>
    <w:p w:rsidR="00C54329" w:rsidRDefault="00404EA6">
      <w:pPr>
        <w:pStyle w:val="Zkladntext"/>
        <w:numPr>
          <w:ilvl w:val="1"/>
          <w:numId w:val="1"/>
        </w:numPr>
        <w:shd w:val="clear" w:color="auto" w:fill="auto"/>
        <w:tabs>
          <w:tab w:val="left" w:pos="1490"/>
        </w:tabs>
        <w:spacing w:line="252" w:lineRule="auto"/>
        <w:ind w:left="1480" w:hanging="1120"/>
      </w:pPr>
      <w:r>
        <w:t>Každá Smluvní strana je oprávněna vypovědět tuto Smlouvu i bez uvedení důvodu. Výpovědní doba činí (3) měsíce a začíná běžet prvním dnem měsíce následujícího po měsíci, ve kterém byla výpověď doručena druhé Smluvní straně.</w:t>
      </w:r>
    </w:p>
    <w:p w:rsidR="00C54329" w:rsidRDefault="00404EA6">
      <w:pPr>
        <w:pStyle w:val="Zkladntext"/>
        <w:numPr>
          <w:ilvl w:val="1"/>
          <w:numId w:val="1"/>
        </w:numPr>
        <w:shd w:val="clear" w:color="auto" w:fill="auto"/>
        <w:tabs>
          <w:tab w:val="left" w:pos="1490"/>
        </w:tabs>
        <w:ind w:left="1480" w:hanging="1120"/>
      </w:pPr>
      <w:r>
        <w:t>Smluvní strany se výslovně doh</w:t>
      </w:r>
      <w:r>
        <w:t xml:space="preserve">odly, že nárok Provozovatele na Odměnu uhrazenou Klientem v průběhu ročního období, v němž došlo k ukončení této Smlouvy výpovědí ze strany Klienta, nezaniká, a Poskytovatel není povinen vracet Klientovi již uhrazenou Odměnu či jakoukoli její část za toto </w:t>
      </w:r>
      <w:r>
        <w:t>roční období. Dojde-li k ukončení této smlouvy ze strany Provozovatele, je Provozovatel povinen vrátit Klientovi adekvátní část již uhrazené Odměny za období od ukončení této Smlouvy do konce již zaplaceného ročního období. Je právem Klienta zvolit, zda je</w:t>
      </w:r>
      <w:r>
        <w:t>ho uživatelský účet v Aplikaci bude zrušen</w:t>
      </w:r>
      <w:r>
        <w:br w:type="page"/>
      </w:r>
    </w:p>
    <w:p w:rsidR="00C54329" w:rsidRDefault="00404EA6">
      <w:pPr>
        <w:pStyle w:val="Zkladntext"/>
        <w:shd w:val="clear" w:color="auto" w:fill="auto"/>
        <w:spacing w:after="220" w:line="254" w:lineRule="auto"/>
        <w:ind w:left="1500" w:firstLine="20"/>
      </w:pPr>
      <w:r>
        <w:rPr>
          <w:noProof/>
        </w:rPr>
        <w:lastRenderedPageBreak/>
        <mc:AlternateContent>
          <mc:Choice Requires="wps">
            <w:drawing>
              <wp:anchor distT="0" distB="0" distL="114300" distR="114300" simplePos="0" relativeHeight="125829378" behindDoc="0" locked="0" layoutInCell="1" allowOverlap="1">
                <wp:simplePos x="0" y="0"/>
                <wp:positionH relativeFrom="page">
                  <wp:posOffset>563880</wp:posOffset>
                </wp:positionH>
                <wp:positionV relativeFrom="margin">
                  <wp:posOffset>2266315</wp:posOffset>
                </wp:positionV>
                <wp:extent cx="219710" cy="326771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219710" cy="3267710"/>
                        </a:xfrm>
                        <a:prstGeom prst="rect">
                          <a:avLst/>
                        </a:prstGeom>
                        <a:noFill/>
                      </wps:spPr>
                      <wps:txbx>
                        <w:txbxContent>
                          <w:p w:rsidR="00C54329" w:rsidRDefault="00404EA6">
                            <w:pPr>
                              <w:pStyle w:val="Bodytext20"/>
                              <w:shd w:val="clear" w:color="auto" w:fill="auto"/>
                            </w:pPr>
                            <w:r>
                              <w:t>5.</w:t>
                            </w:r>
                          </w:p>
                          <w:p w:rsidR="00C54329" w:rsidRDefault="00404EA6">
                            <w:pPr>
                              <w:pStyle w:val="Zkladntext"/>
                              <w:shd w:val="clear" w:color="auto" w:fill="auto"/>
                              <w:spacing w:after="1040"/>
                              <w:jc w:val="left"/>
                            </w:pPr>
                            <w:r>
                              <w:t>5.1.</w:t>
                            </w:r>
                          </w:p>
                          <w:p w:rsidR="00C54329" w:rsidRDefault="00404EA6">
                            <w:pPr>
                              <w:pStyle w:val="Zkladntext"/>
                              <w:shd w:val="clear" w:color="auto" w:fill="auto"/>
                              <w:spacing w:after="780"/>
                              <w:jc w:val="left"/>
                            </w:pPr>
                            <w:r>
                              <w:t>5.2.</w:t>
                            </w:r>
                          </w:p>
                          <w:p w:rsidR="00C54329" w:rsidRDefault="00404EA6">
                            <w:pPr>
                              <w:pStyle w:val="Zkladntext"/>
                              <w:shd w:val="clear" w:color="auto" w:fill="auto"/>
                              <w:spacing w:after="480"/>
                              <w:jc w:val="left"/>
                            </w:pPr>
                            <w:r>
                              <w:t>5.3.</w:t>
                            </w:r>
                          </w:p>
                          <w:p w:rsidR="00C54329" w:rsidRDefault="00404EA6">
                            <w:pPr>
                              <w:pStyle w:val="Zkladntext"/>
                              <w:shd w:val="clear" w:color="auto" w:fill="auto"/>
                              <w:spacing w:after="1040"/>
                              <w:jc w:val="left"/>
                            </w:pPr>
                            <w:r>
                              <w:t>5.4.</w:t>
                            </w:r>
                          </w:p>
                          <w:p w:rsidR="00C54329" w:rsidRDefault="00404EA6">
                            <w:pPr>
                              <w:pStyle w:val="Zkladntext"/>
                              <w:shd w:val="clear" w:color="auto" w:fill="auto"/>
                              <w:spacing w:after="0"/>
                              <w:jc w:val="left"/>
                            </w:pPr>
                            <w:r>
                              <w:t>5.5.</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44.4pt;margin-top:178.45pt;width:17.3pt;height:257.3pt;z-index:12582937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" filled="f" stroked="f">
                <v:textbox style="mso-fit-shape-to-text:t" inset="0,0,0,0">
                  <w:txbxContent>
                    <w:p w:rsidR="00C54329" w:rsidRDefault="00404EA6">
                      <w:pPr>
                        <w:pStyle w:val="Bodytext20"/>
                        <w:shd w:val="clear" w:color="auto" w:fill="auto"/>
                      </w:pPr>
                      <w:r>
                        <w:t>5.</w:t>
                      </w:r>
                    </w:p>
                    <w:p w:rsidR="00C54329" w:rsidRDefault="00404EA6">
                      <w:pPr>
                        <w:pStyle w:val="Zkladntext"/>
                        <w:shd w:val="clear" w:color="auto" w:fill="auto"/>
                        <w:spacing w:after="1040"/>
                        <w:jc w:val="left"/>
                      </w:pPr>
                      <w:r>
                        <w:t>5.1.</w:t>
                      </w:r>
                    </w:p>
                    <w:p w:rsidR="00C54329" w:rsidRDefault="00404EA6">
                      <w:pPr>
                        <w:pStyle w:val="Zkladntext"/>
                        <w:shd w:val="clear" w:color="auto" w:fill="auto"/>
                        <w:spacing w:after="780"/>
                        <w:jc w:val="left"/>
                      </w:pPr>
                      <w:r>
                        <w:t>5.2.</w:t>
                      </w:r>
                    </w:p>
                    <w:p w:rsidR="00C54329" w:rsidRDefault="00404EA6">
                      <w:pPr>
                        <w:pStyle w:val="Zkladntext"/>
                        <w:shd w:val="clear" w:color="auto" w:fill="auto"/>
                        <w:spacing w:after="480"/>
                        <w:jc w:val="left"/>
                      </w:pPr>
                      <w:r>
                        <w:t>5.3.</w:t>
                      </w:r>
                    </w:p>
                    <w:p w:rsidR="00C54329" w:rsidRDefault="00404EA6">
                      <w:pPr>
                        <w:pStyle w:val="Zkladntext"/>
                        <w:shd w:val="clear" w:color="auto" w:fill="auto"/>
                        <w:spacing w:after="1040"/>
                        <w:jc w:val="left"/>
                      </w:pPr>
                      <w:r>
                        <w:t>5.4.</w:t>
                      </w:r>
                    </w:p>
                    <w:p w:rsidR="00C54329" w:rsidRDefault="00404EA6">
                      <w:pPr>
                        <w:pStyle w:val="Zkladntext"/>
                        <w:shd w:val="clear" w:color="auto" w:fill="auto"/>
                        <w:spacing w:after="0"/>
                        <w:jc w:val="left"/>
                      </w:pPr>
                      <w:r>
                        <w:t>5.5.</w:t>
                      </w:r>
                    </w:p>
                  </w:txbxContent>
                </v:textbox>
                <w10:wrap type="square" side="right" anchorx="page" anchory="margin"/>
              </v:shape>
            </w:pict>
          </mc:Fallback>
        </mc:AlternateContent>
      </w:r>
      <w:r>
        <w:rPr>
          <w:noProof/>
        </w:rPr>
        <mc:AlternateContent>
          <mc:Choice Requires="wps">
            <w:drawing>
              <wp:anchor distT="0" distB="0" distL="114300" distR="114300" simplePos="0" relativeHeight="125829380" behindDoc="0" locked="0" layoutInCell="1" allowOverlap="1">
                <wp:simplePos x="0" y="0"/>
                <wp:positionH relativeFrom="page">
                  <wp:posOffset>563880</wp:posOffset>
                </wp:positionH>
                <wp:positionV relativeFrom="margin">
                  <wp:posOffset>2266315</wp:posOffset>
                </wp:positionV>
                <wp:extent cx="219710" cy="326771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219710" cy="3267710"/>
                        </a:xfrm>
                        <a:prstGeom prst="rect">
                          <a:avLst/>
                        </a:prstGeom>
                        <a:noFill/>
                      </wps:spPr>
                      <wps:txbx>
                        <w:txbxContent>
                          <w:p w:rsidR="00C54329" w:rsidRDefault="00404EA6">
                            <w:pPr>
                              <w:pStyle w:val="Bodytext20"/>
                              <w:shd w:val="clear" w:color="auto" w:fill="auto"/>
                            </w:pPr>
                            <w:r>
                              <w:t>5,</w:t>
                            </w:r>
                          </w:p>
                          <w:p w:rsidR="00C54329" w:rsidRDefault="00404EA6">
                            <w:pPr>
                              <w:pStyle w:val="Zkladntext"/>
                              <w:shd w:val="clear" w:color="auto" w:fill="auto"/>
                              <w:spacing w:after="1040"/>
                              <w:jc w:val="left"/>
                            </w:pPr>
                            <w:r>
                              <w:t>5.1.</w:t>
                            </w:r>
                          </w:p>
                          <w:p w:rsidR="00C54329" w:rsidRDefault="00404EA6">
                            <w:pPr>
                              <w:pStyle w:val="Zkladntext"/>
                              <w:shd w:val="clear" w:color="auto" w:fill="auto"/>
                              <w:spacing w:after="780"/>
                              <w:jc w:val="left"/>
                            </w:pPr>
                            <w:r>
                              <w:t>5.2.</w:t>
                            </w:r>
                          </w:p>
                          <w:p w:rsidR="00C54329" w:rsidRDefault="00404EA6">
                            <w:pPr>
                              <w:pStyle w:val="Zkladntext"/>
                              <w:shd w:val="clear" w:color="auto" w:fill="auto"/>
                              <w:spacing w:after="480"/>
                              <w:jc w:val="left"/>
                            </w:pPr>
                            <w:r>
                              <w:t>5.3.</w:t>
                            </w:r>
                          </w:p>
                          <w:p w:rsidR="00C54329" w:rsidRDefault="00404EA6">
                            <w:pPr>
                              <w:pStyle w:val="Zkladntext"/>
                              <w:shd w:val="clear" w:color="auto" w:fill="auto"/>
                              <w:spacing w:after="1040"/>
                              <w:jc w:val="left"/>
                            </w:pPr>
                            <w:r>
                              <w:t>5.4.</w:t>
                            </w:r>
                          </w:p>
                          <w:p w:rsidR="00C54329" w:rsidRDefault="00404EA6">
                            <w:pPr>
                              <w:pStyle w:val="Zkladntext"/>
                              <w:shd w:val="clear" w:color="auto" w:fill="auto"/>
                              <w:spacing w:after="0"/>
                              <w:jc w:val="left"/>
                            </w:pPr>
                            <w:r>
                              <w:t>5.5.</w:t>
                            </w:r>
                          </w:p>
                        </w:txbxContent>
                      </wps:txbx>
                      <wps:bodyPr lIns="0" tIns="0" rIns="0" bIns="0">
                        <a:spAutoFit/>
                      </wps:bodyPr>
                    </wps:wsp>
                  </a:graphicData>
                </a:graphic>
              </wp:anchor>
            </w:drawing>
          </mc:Choice>
          <mc:Fallback>
            <w:pict>
              <v:shape id="Shape 3" o:spid="_x0000_s1027" type="#_x0000_t202" style="position:absolute;left:0;text-align:left;margin-left:44.4pt;margin-top:178.45pt;width:17.3pt;height:257.3pt;z-index:12582938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" filled="f" stroked="f">
                <v:textbox style="mso-fit-shape-to-text:t" inset="0,0,0,0">
                  <w:txbxContent>
                    <w:p w:rsidR="00C54329" w:rsidRDefault="00404EA6">
                      <w:pPr>
                        <w:pStyle w:val="Bodytext20"/>
                        <w:shd w:val="clear" w:color="auto" w:fill="auto"/>
                      </w:pPr>
                      <w:r>
                        <w:t>5,</w:t>
                      </w:r>
                    </w:p>
                    <w:p w:rsidR="00C54329" w:rsidRDefault="00404EA6">
                      <w:pPr>
                        <w:pStyle w:val="Zkladntext"/>
                        <w:shd w:val="clear" w:color="auto" w:fill="auto"/>
                        <w:spacing w:after="1040"/>
                        <w:jc w:val="left"/>
                      </w:pPr>
                      <w:r>
                        <w:t>5.1.</w:t>
                      </w:r>
                    </w:p>
                    <w:p w:rsidR="00C54329" w:rsidRDefault="00404EA6">
                      <w:pPr>
                        <w:pStyle w:val="Zkladntext"/>
                        <w:shd w:val="clear" w:color="auto" w:fill="auto"/>
                        <w:spacing w:after="780"/>
                        <w:jc w:val="left"/>
                      </w:pPr>
                      <w:r>
                        <w:t>5.2.</w:t>
                      </w:r>
                    </w:p>
                    <w:p w:rsidR="00C54329" w:rsidRDefault="00404EA6">
                      <w:pPr>
                        <w:pStyle w:val="Zkladntext"/>
                        <w:shd w:val="clear" w:color="auto" w:fill="auto"/>
                        <w:spacing w:after="480"/>
                        <w:jc w:val="left"/>
                      </w:pPr>
                      <w:r>
                        <w:t>5.3.</w:t>
                      </w:r>
                    </w:p>
                    <w:p w:rsidR="00C54329" w:rsidRDefault="00404EA6">
                      <w:pPr>
                        <w:pStyle w:val="Zkladntext"/>
                        <w:shd w:val="clear" w:color="auto" w:fill="auto"/>
                        <w:spacing w:after="1040"/>
                        <w:jc w:val="left"/>
                      </w:pPr>
                      <w:r>
                        <w:t>5.4.</w:t>
                      </w:r>
                    </w:p>
                    <w:p w:rsidR="00C54329" w:rsidRDefault="00404EA6">
                      <w:pPr>
                        <w:pStyle w:val="Zkladntext"/>
                        <w:shd w:val="clear" w:color="auto" w:fill="auto"/>
                        <w:spacing w:after="0"/>
                        <w:jc w:val="left"/>
                      </w:pPr>
                      <w:r>
                        <w:t>5.5.</w:t>
                      </w:r>
                    </w:p>
                  </w:txbxContent>
                </v:textbox>
                <w10:wrap type="square" side="right" anchorx="page" anchory="margin"/>
              </v:shape>
            </w:pict>
          </mc:Fallback>
        </mc:AlternateContent>
      </w:r>
      <w:r>
        <w:t xml:space="preserve">k poslednímu dni daného ročního období či ihned ke dni uplynutí výpovědní doby; v případě, že ve výpovědi nebude termín zrušení uživatelského účtu </w:t>
      </w:r>
      <w:r>
        <w:t>Klienta určen, má se za to, že uživatelský účet Klienta bude zrušen k poslednímu dni daného ročního období.</w:t>
      </w:r>
    </w:p>
    <w:p w:rsidR="00C54329" w:rsidRDefault="00404EA6">
      <w:pPr>
        <w:pStyle w:val="Zkladntext"/>
        <w:shd w:val="clear" w:color="auto" w:fill="auto"/>
        <w:spacing w:after="220"/>
        <w:ind w:left="1500" w:firstLine="20"/>
      </w:pPr>
      <w:r>
        <w:t xml:space="preserve">Dojde-li k opakované nedostupnosti Klientova uživatelského účtu, poruchám, výpadkům nebo jiným nedostatkům v poskytování Služeb delším než 24 hodin </w:t>
      </w:r>
      <w:r>
        <w:t xml:space="preserve">v intervalu 7 po sobě jdoucích dní, je Klient oprávněn Smlouvu vypovědět bez výpovědní doby s tím, že výpověď je účinná okamžikem dojití a Provozovatel povinen vrátit Klientovi adekvátní část již uhrazené Odměny za období od ukončení této Smlouvy do konce </w:t>
      </w:r>
      <w:r>
        <w:t>již zaplaceného ročního období.</w:t>
      </w:r>
    </w:p>
    <w:p w:rsidR="00C54329" w:rsidRDefault="00404EA6">
      <w:pPr>
        <w:pStyle w:val="Heading20"/>
        <w:keepNext/>
        <w:keepLines/>
        <w:shd w:val="clear" w:color="auto" w:fill="auto"/>
        <w:spacing w:after="220" w:line="266" w:lineRule="auto"/>
        <w:ind w:left="500" w:firstLine="60"/>
      </w:pPr>
      <w:bookmarkStart w:id="6" w:name="bookmark5"/>
      <w:r>
        <w:t>Závěrečná ustanovení</w:t>
      </w:r>
      <w:bookmarkEnd w:id="6"/>
    </w:p>
    <w:p w:rsidR="00C54329" w:rsidRDefault="00404EA6">
      <w:pPr>
        <w:pStyle w:val="Zkladntext"/>
        <w:shd w:val="clear" w:color="auto" w:fill="auto"/>
        <w:spacing w:after="220" w:line="252" w:lineRule="auto"/>
        <w:ind w:left="500" w:firstLine="60"/>
      </w:pPr>
      <w:r>
        <w:t xml:space="preserve">Osobou oprávněnou jednat za Klienta v záležitostech týkajících se využívání Služeb je Ing. Veronika Koukolová, Ph.D., přičemž tato osoba má oprávnění v rámci uživatelského účtu přidávat další oprávněné osoby tak, že jim přidělí roli administrátora </w:t>
      </w:r>
      <w:r>
        <w:rPr>
          <w:b/>
          <w:bCs/>
          <w:sz w:val="18"/>
          <w:szCs w:val="18"/>
        </w:rPr>
        <w:t>(„Oprávn</w:t>
      </w:r>
      <w:r>
        <w:rPr>
          <w:b/>
          <w:bCs/>
          <w:sz w:val="18"/>
          <w:szCs w:val="18"/>
        </w:rPr>
        <w:t xml:space="preserve">ěná osoba"). </w:t>
      </w:r>
      <w:r>
        <w:t>Osobu určenou jako Oprávněná osoba může Klient změnit jednostranným oznámením doručeným Provozovateli nebo v administraci.</w:t>
      </w:r>
    </w:p>
    <w:p w:rsidR="00C54329" w:rsidRDefault="00404EA6">
      <w:pPr>
        <w:pStyle w:val="Zkladntext"/>
        <w:shd w:val="clear" w:color="auto" w:fill="auto"/>
        <w:spacing w:after="220" w:line="252" w:lineRule="auto"/>
        <w:ind w:left="500" w:firstLine="60"/>
      </w:pPr>
      <w:r>
        <w:t>Klient podpisem této Smlouvy uděluje Provozovateli souhlas s užitím obchodního označení, firmy či jména Klienta, jejichž</w:t>
      </w:r>
      <w:r>
        <w:t xml:space="preserve"> zaměstnanci budou využívat Aplikaci prostřednictvím uživatelského účtu Klienta jako referenci pro marketingové účely v jakékoli formě či podobě.</w:t>
      </w:r>
    </w:p>
    <w:p w:rsidR="00C54329" w:rsidRDefault="00404EA6">
      <w:pPr>
        <w:pStyle w:val="Zkladntext"/>
        <w:shd w:val="clear" w:color="auto" w:fill="auto"/>
        <w:spacing w:after="220"/>
        <w:ind w:left="500" w:firstLine="60"/>
      </w:pPr>
      <w:r>
        <w:t>Tato Smlouva nabývá platnosti a účinnosti jejím podpisem oběma Smluvními stranami a může být měněna pouze píse</w:t>
      </w:r>
      <w:r>
        <w:t>mnou dohodou Smluvních stran.</w:t>
      </w:r>
    </w:p>
    <w:p w:rsidR="00C54329" w:rsidRDefault="00404EA6">
      <w:pPr>
        <w:pStyle w:val="Zkladntext"/>
        <w:shd w:val="clear" w:color="auto" w:fill="auto"/>
        <w:spacing w:after="220" w:line="254" w:lineRule="auto"/>
        <w:ind w:left="500" w:firstLine="60"/>
      </w:pPr>
      <w:r>
        <w:t>Tato Smlouva se řídí právním řádem České republiky. Smluvní strany se dohodly, že jakékoli spory vzniklé z této Smlouvy nebo v souvislosti s ní, které nebudou moci být vyřešeny smírnou cestou, budou s konečnou platností vyřeše</w:t>
      </w:r>
      <w:r>
        <w:t>ny věcně a místně příslušným soudem České republiky, určenými podle adresy sídla Provozovatele.</w:t>
      </w:r>
    </w:p>
    <w:p w:rsidR="00C54329" w:rsidRDefault="00404EA6">
      <w:pPr>
        <w:pStyle w:val="Zkladntext"/>
        <w:shd w:val="clear" w:color="auto" w:fill="auto"/>
        <w:spacing w:after="220"/>
        <w:ind w:left="500" w:firstLine="60"/>
      </w:pPr>
      <w:r>
        <w:t xml:space="preserve">Pokud některé z ustanovení této Smlouvy je nebo se stane neplatným, zdánlivým či neúčinným, nebude to mít za následek neplatnost, zdánlivost či neúčinnost této </w:t>
      </w:r>
      <w:r>
        <w:t xml:space="preserve">Smlouvy jako celku ani jiných jejích ustanovení, pokud je takovéto neplatné, zdánlivé či neúčinné ustanovení oddělitelné od zbytku Smlouvy. Smluvní strany se zavazují neplatné, zdánlivé či neúčinné ustanovení nahradit novým platným či účinným ustanovením, </w:t>
      </w:r>
      <w:r>
        <w:t>které svým obsahem bude co nejvěrněji odpovídat podstatě a smyslu původního ustanovení Smlouvy.</w:t>
      </w:r>
    </w:p>
    <w:p w:rsidR="00C54329" w:rsidRDefault="00404EA6">
      <w:pPr>
        <w:pStyle w:val="Zkladntext"/>
        <w:shd w:val="clear" w:color="auto" w:fill="auto"/>
        <w:spacing w:after="2420" w:line="257" w:lineRule="auto"/>
        <w:ind w:left="1500" w:firstLine="20"/>
      </w:pPr>
      <w:r>
        <w:t>Tato Smlouvaje vyhotovena ve dvou (2) stejnopisech v českém jazyce, z nichž Poskytovatel obdrží jeden (1) stejnopis a Klient jeden (1) stejnopis. V případě elek</w:t>
      </w:r>
      <w:r>
        <w:t>tronického podepisování se toto ustanovení neuplatní.</w:t>
      </w:r>
    </w:p>
    <w:p w:rsidR="00C54329" w:rsidRDefault="00404EA6">
      <w:pPr>
        <w:pStyle w:val="Heading20"/>
        <w:keepNext/>
        <w:keepLines/>
        <w:shd w:val="clear" w:color="auto" w:fill="auto"/>
        <w:spacing w:after="1060" w:line="240" w:lineRule="auto"/>
        <w:ind w:left="500" w:firstLine="60"/>
      </w:pPr>
      <w:bookmarkStart w:id="7" w:name="bookmark6"/>
      <w:r>
        <w:t xml:space="preserve">za </w:t>
      </w:r>
      <w:proofErr w:type="spellStart"/>
      <w:r>
        <w:t>FaceUp</w:t>
      </w:r>
      <w:proofErr w:type="spellEnd"/>
      <w:r>
        <w:t xml:space="preserve"> Technology s.r.o.:</w:t>
      </w:r>
      <w:bookmarkEnd w:id="7"/>
    </w:p>
    <w:p w:rsidR="00C54329" w:rsidRDefault="00404EA6">
      <w:pPr>
        <w:pStyle w:val="Zkladntext"/>
        <w:shd w:val="clear" w:color="auto" w:fill="auto"/>
        <w:spacing w:after="220" w:line="259" w:lineRule="auto"/>
        <w:ind w:left="2660" w:right="2340"/>
        <w:jc w:val="left"/>
      </w:pPr>
      <w:r>
        <w:t>Dr. Ing. Pavel Čermák, ředitel</w:t>
      </w:r>
    </w:p>
    <w:sectPr w:rsidR="00C54329">
      <w:type w:val="continuous"/>
      <w:pgSz w:w="11900" w:h="16840"/>
      <w:pgMar w:top="49" w:right="740" w:bottom="895" w:left="5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EA6" w:rsidRDefault="00404EA6">
      <w:r>
        <w:separator/>
      </w:r>
    </w:p>
  </w:endnote>
  <w:endnote w:type="continuationSeparator" w:id="0">
    <w:p w:rsidR="00404EA6" w:rsidRDefault="0040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EA6" w:rsidRDefault="00404EA6"/>
  </w:footnote>
  <w:footnote w:type="continuationSeparator" w:id="0">
    <w:p w:rsidR="00404EA6" w:rsidRDefault="00404E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F3F15"/>
    <w:multiLevelType w:val="multilevel"/>
    <w:tmpl w:val="7A0A5D5C"/>
    <w:lvl w:ilvl="0">
      <w:start w:val="1"/>
      <w:numFmt w:val="decimal"/>
      <w:lvlText w:val="%1."/>
      <w:lvlJc w:val="left"/>
      <w:rPr>
        <w:rFonts w:ascii="Segoe UI" w:eastAsia="Segoe UI" w:hAnsi="Segoe UI" w:cs="Segoe UI"/>
        <w:b/>
        <w:bCs/>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lvlJc w:val="left"/>
      <w:rPr>
        <w:rFonts w:ascii="Segoe UI" w:eastAsia="Segoe UI" w:hAnsi="Segoe UI" w:cs="Segoe UI"/>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329"/>
    <w:rsid w:val="00404EA6"/>
    <w:rsid w:val="004C5B4C"/>
    <w:rsid w:val="00C543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EA5FD9-6DCE-4913-A8C9-6B35137E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 (2)_"/>
    <w:basedOn w:val="Standardnpsmoodstavce"/>
    <w:link w:val="Bodytext20"/>
    <w:rPr>
      <w:rFonts w:ascii="Arial" w:eastAsia="Arial" w:hAnsi="Arial" w:cs="Arial"/>
      <w:b/>
      <w:bCs/>
      <w:i w:val="0"/>
      <w:iCs w:val="0"/>
      <w:smallCaps w:val="0"/>
      <w:strike w:val="0"/>
      <w:sz w:val="18"/>
      <w:szCs w:val="18"/>
      <w:u w:val="none"/>
    </w:rPr>
  </w:style>
  <w:style w:type="character" w:customStyle="1" w:styleId="ZkladntextChar">
    <w:name w:val="Základní text Char"/>
    <w:basedOn w:val="Standardnpsmoodstavce"/>
    <w:link w:val="Zkladntext"/>
    <w:rPr>
      <w:rFonts w:ascii="Segoe UI" w:eastAsia="Segoe UI" w:hAnsi="Segoe UI" w:cs="Segoe UI"/>
      <w:b w:val="0"/>
      <w:bCs w:val="0"/>
      <w:i w:val="0"/>
      <w:iCs w:val="0"/>
      <w:smallCaps w:val="0"/>
      <w:strike w:val="0"/>
      <w:sz w:val="19"/>
      <w:szCs w:val="19"/>
      <w:u w:val="none"/>
    </w:rPr>
  </w:style>
  <w:style w:type="character" w:customStyle="1" w:styleId="Heading1">
    <w:name w:val="Heading #1_"/>
    <w:basedOn w:val="Standardnpsmoodstavce"/>
    <w:link w:val="Heading10"/>
    <w:rPr>
      <w:rFonts w:ascii="Calibri" w:eastAsia="Calibri" w:hAnsi="Calibri" w:cs="Calibri"/>
      <w:b/>
      <w:bCs/>
      <w:i w:val="0"/>
      <w:iCs w:val="0"/>
      <w:smallCaps w:val="0"/>
      <w:strike w:val="0"/>
      <w:sz w:val="24"/>
      <w:szCs w:val="24"/>
      <w:u w:val="none"/>
    </w:rPr>
  </w:style>
  <w:style w:type="character" w:customStyle="1" w:styleId="Bodytext4">
    <w:name w:val="Body text (4)_"/>
    <w:basedOn w:val="Standardnpsmoodstavce"/>
    <w:link w:val="Bodytext40"/>
    <w:rPr>
      <w:rFonts w:ascii="Arial" w:eastAsia="Arial" w:hAnsi="Arial" w:cs="Arial"/>
      <w:b w:val="0"/>
      <w:bCs w:val="0"/>
      <w:i/>
      <w:iCs/>
      <w:smallCaps w:val="0"/>
      <w:strike w:val="0"/>
      <w:color w:val="A7CDD4"/>
      <w:sz w:val="11"/>
      <w:szCs w:val="11"/>
      <w:u w:val="none"/>
    </w:rPr>
  </w:style>
  <w:style w:type="character" w:customStyle="1" w:styleId="Heading2">
    <w:name w:val="Heading #2_"/>
    <w:basedOn w:val="Standardnpsmoodstavce"/>
    <w:link w:val="Heading20"/>
    <w:rPr>
      <w:rFonts w:ascii="Segoe UI" w:eastAsia="Segoe UI" w:hAnsi="Segoe UI" w:cs="Segoe UI"/>
      <w:b/>
      <w:bCs/>
      <w:i w:val="0"/>
      <w:iCs w:val="0"/>
      <w:smallCaps w:val="0"/>
      <w:strike w:val="0"/>
      <w:sz w:val="18"/>
      <w:szCs w:val="18"/>
      <w:u w:val="none"/>
    </w:rPr>
  </w:style>
  <w:style w:type="character" w:customStyle="1" w:styleId="Bodytext3">
    <w:name w:val="Body text (3)_"/>
    <w:basedOn w:val="Standardnpsmoodstavce"/>
    <w:link w:val="Bodytext30"/>
    <w:rPr>
      <w:rFonts w:ascii="Times New Roman" w:eastAsia="Times New Roman" w:hAnsi="Times New Roman" w:cs="Times New Roman"/>
      <w:b/>
      <w:bCs/>
      <w:i w:val="0"/>
      <w:iCs w:val="0"/>
      <w:smallCaps w:val="0"/>
      <w:strike w:val="0"/>
      <w:sz w:val="44"/>
      <w:szCs w:val="44"/>
      <w:u w:val="none"/>
      <w:lang w:val="en-US" w:eastAsia="en-US" w:bidi="en-US"/>
    </w:rPr>
  </w:style>
  <w:style w:type="paragraph" w:customStyle="1" w:styleId="Bodytext20">
    <w:name w:val="Body text (2)"/>
    <w:basedOn w:val="Normln"/>
    <w:link w:val="Bodytext2"/>
    <w:pPr>
      <w:shd w:val="clear" w:color="auto" w:fill="FFFFFF"/>
      <w:spacing w:after="240"/>
    </w:pPr>
    <w:rPr>
      <w:rFonts w:ascii="Arial" w:eastAsia="Arial" w:hAnsi="Arial" w:cs="Arial"/>
      <w:b/>
      <w:bCs/>
      <w:sz w:val="18"/>
      <w:szCs w:val="18"/>
    </w:rPr>
  </w:style>
  <w:style w:type="paragraph" w:styleId="Zkladntext">
    <w:name w:val="Body Text"/>
    <w:basedOn w:val="Normln"/>
    <w:link w:val="ZkladntextChar"/>
    <w:qFormat/>
    <w:pPr>
      <w:shd w:val="clear" w:color="auto" w:fill="FFFFFF"/>
      <w:spacing w:after="240"/>
      <w:jc w:val="both"/>
    </w:pPr>
    <w:rPr>
      <w:rFonts w:ascii="Segoe UI" w:eastAsia="Segoe UI" w:hAnsi="Segoe UI" w:cs="Segoe UI"/>
      <w:sz w:val="19"/>
      <w:szCs w:val="19"/>
    </w:rPr>
  </w:style>
  <w:style w:type="paragraph" w:customStyle="1" w:styleId="Heading10">
    <w:name w:val="Heading #1"/>
    <w:basedOn w:val="Normln"/>
    <w:link w:val="Heading1"/>
    <w:pPr>
      <w:shd w:val="clear" w:color="auto" w:fill="FFFFFF"/>
      <w:ind w:left="280"/>
      <w:jc w:val="both"/>
      <w:outlineLvl w:val="0"/>
    </w:pPr>
    <w:rPr>
      <w:rFonts w:ascii="Calibri" w:eastAsia="Calibri" w:hAnsi="Calibri" w:cs="Calibri"/>
      <w:b/>
      <w:bCs/>
    </w:rPr>
  </w:style>
  <w:style w:type="paragraph" w:customStyle="1" w:styleId="Bodytext40">
    <w:name w:val="Body text (4)"/>
    <w:basedOn w:val="Normln"/>
    <w:link w:val="Bodytext4"/>
    <w:pPr>
      <w:shd w:val="clear" w:color="auto" w:fill="FFFFFF"/>
      <w:spacing w:after="40" w:line="180" w:lineRule="auto"/>
    </w:pPr>
    <w:rPr>
      <w:rFonts w:ascii="Arial" w:eastAsia="Arial" w:hAnsi="Arial" w:cs="Arial"/>
      <w:i/>
      <w:iCs/>
      <w:color w:val="A7CDD4"/>
      <w:sz w:val="11"/>
      <w:szCs w:val="11"/>
    </w:rPr>
  </w:style>
  <w:style w:type="paragraph" w:customStyle="1" w:styleId="Heading20">
    <w:name w:val="Heading #2"/>
    <w:basedOn w:val="Normln"/>
    <w:link w:val="Heading2"/>
    <w:pPr>
      <w:shd w:val="clear" w:color="auto" w:fill="FFFFFF"/>
      <w:spacing w:after="230" w:line="264" w:lineRule="auto"/>
      <w:ind w:left="1480" w:hanging="1120"/>
      <w:jc w:val="both"/>
      <w:outlineLvl w:val="1"/>
    </w:pPr>
    <w:rPr>
      <w:rFonts w:ascii="Segoe UI" w:eastAsia="Segoe UI" w:hAnsi="Segoe UI" w:cs="Segoe UI"/>
      <w:b/>
      <w:bCs/>
      <w:sz w:val="18"/>
      <w:szCs w:val="18"/>
    </w:rPr>
  </w:style>
  <w:style w:type="paragraph" w:customStyle="1" w:styleId="Bodytext30">
    <w:name w:val="Body text (3)"/>
    <w:basedOn w:val="Normln"/>
    <w:link w:val="Bodytext3"/>
    <w:pPr>
      <w:shd w:val="clear" w:color="auto" w:fill="FFFFFF"/>
      <w:spacing w:after="400"/>
      <w:ind w:right="280"/>
      <w:jc w:val="right"/>
    </w:pPr>
    <w:rPr>
      <w:rFonts w:ascii="Times New Roman" w:eastAsia="Times New Roman" w:hAnsi="Times New Roman" w:cs="Times New Roman"/>
      <w:b/>
      <w:bCs/>
      <w:sz w:val="44"/>
      <w:szCs w:val="4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nntb.cz/cenik-organizace" TargetMode="External"/><Relationship Id="rId3" Type="http://schemas.openxmlformats.org/officeDocument/2006/relationships/settings" Target="settings.xml"/><Relationship Id="rId7" Type="http://schemas.openxmlformats.org/officeDocument/2006/relationships/hyperlink" Target="http://www.nntb.cz/obchodni-podminky_(d%c3%a1le_jen_%e2%80%9eVOP%22),_jejich%c5%be_ned%c3%adlnou_sou%c4%8d%c3%a1st%c3%ad_je_i_zpracovatelsk%c3%a1_smlouva_(smlouva_o_zpracov%c3%a1n%c3%adosobn%c3%adch_%c3%badaj%c5%af),_kter%c3%a1_je_dostupn%c3%a1_na_internetov%c3%bdch_str%c3%a1nk%c3%a1ch_www.nntb.cz/zpracovatelska-smlouva(d%c3%a1le_jen_%e2%80%9eZpracovatelsk%c3%a1_smlouva%22),_a_z%c3%a1sady_ochrany_osobn%c3%adch_%c3%badaj%c5%af,_kter%c3%a9_jsou_dostupn%c3%a9_nainternetov%c3%bdch_str%c3%a1nk%c3%a1ch_www.nntb.cz/zasady-ochrany-osobnich-udaju_(d%c3%a1le_jen_%e2%80%9eZ%c3%a1sady%22)._Klientprohla%c5%a1uje,_%c5%bee_se_p%c5%99ed_uzav%c5%99en%c3%adm_t%c3%a9to_Smlouvy_s_VOP,_Zpracovatelskou_smlouvou_a_Z%c3%a1sadami_%c5%99%c3%a1dn%c4%9bsezn%c3%a1mil,_souhlas%c3%ad_s_nimi_a_nem%c3%a1_k_nim_%c5%be%c3%a1dn%c3%a9_v%c3%bdhra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enosilova.vera@vuz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1475</Words>
  <Characters>8704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Vojtková</dc:creator>
  <cp:lastModifiedBy>Lucie, Vojtková</cp:lastModifiedBy>
  <cp:revision>2</cp:revision>
  <dcterms:created xsi:type="dcterms:W3CDTF">2023-01-10T13:47:00Z</dcterms:created>
  <dcterms:modified xsi:type="dcterms:W3CDTF">2023-01-10T13:47:00Z</dcterms:modified>
</cp:coreProperties>
</file>