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49F1B7A9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CD2839">
        <w:rPr>
          <w:rFonts w:ascii="Times New Roman" w:hAnsi="Times New Roman"/>
          <w:b/>
          <w:bCs/>
          <w:sz w:val="28"/>
          <w:szCs w:val="28"/>
        </w:rPr>
        <w:t>2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C5DAA61" w14:textId="77777777" w:rsidR="0038181C" w:rsidRPr="00283690" w:rsidRDefault="0038181C" w:rsidP="0038181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Léčebné lázně Mariánské Lázně a. s.</w:t>
      </w:r>
    </w:p>
    <w:p w14:paraId="505E0FB9" w14:textId="77777777" w:rsidR="0038181C" w:rsidRPr="00E64203" w:rsidRDefault="0038181C" w:rsidP="0038181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Masarykova 22/5, 363 01 Mariánské Lázně</w:t>
      </w:r>
    </w:p>
    <w:p w14:paraId="438E06CC" w14:textId="77777777" w:rsidR="0038181C" w:rsidRPr="00E64203" w:rsidRDefault="0038181C" w:rsidP="0038181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Karel Kalivoda, člen představenstva, Pavel Říha, člen 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představenstva</w:t>
      </w:r>
    </w:p>
    <w:p w14:paraId="3AA78ABD" w14:textId="77777777" w:rsidR="0038181C" w:rsidRPr="00E64203" w:rsidRDefault="0038181C" w:rsidP="0038181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45359113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</w:p>
    <w:p w14:paraId="48824B34" w14:textId="77777777" w:rsidR="0038181C" w:rsidRDefault="0038181C" w:rsidP="0038181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4"/>
        </w:rPr>
        <w:t>Komerční banka, a.s.</w:t>
      </w:r>
    </w:p>
    <w:p w14:paraId="498BDBDD" w14:textId="77777777" w:rsidR="0038181C" w:rsidRDefault="0038181C" w:rsidP="0038181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2400331/0100</w:t>
      </w:r>
    </w:p>
    <w:p w14:paraId="157E7C30" w14:textId="77777777" w:rsidR="0038181C" w:rsidRDefault="0038181C" w:rsidP="0038181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Pavel Říha</w:t>
      </w:r>
    </w:p>
    <w:p w14:paraId="306EFB2E" w14:textId="77777777" w:rsidR="0038181C" w:rsidRDefault="0038181C" w:rsidP="0038181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E64203">
        <w:rPr>
          <w:rFonts w:ascii="Times New Roman" w:hAnsi="Times New Roman"/>
          <w:sz w:val="24"/>
          <w:szCs w:val="26"/>
        </w:rPr>
        <w:t xml:space="preserve">dále jen </w:t>
      </w:r>
      <w:r w:rsidRPr="00B44BF6">
        <w:rPr>
          <w:rFonts w:ascii="Times New Roman" w:hAnsi="Times New Roman"/>
          <w:sz w:val="24"/>
          <w:szCs w:val="26"/>
        </w:rPr>
        <w:t>„</w:t>
      </w:r>
      <w:r w:rsidRPr="00B44BF6">
        <w:rPr>
          <w:rFonts w:ascii="Times New Roman" w:hAnsi="Times New Roman"/>
          <w:iCs/>
          <w:sz w:val="24"/>
          <w:szCs w:val="26"/>
        </w:rPr>
        <w:t>ubytovatel</w:t>
      </w:r>
      <w:r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2CA6E0F7" w14:textId="77777777" w:rsidR="0038181C" w:rsidRDefault="0038181C" w:rsidP="0038181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>a § 6b an. zákona č. 65/2022 Sb., o některých opatřeních v souvislosti s ozbrojeným konfliktem na území Ukrajiny vyvolanými invazí vojsk Ruské federace, ve znění pozdějších předpisů</w:t>
      </w:r>
    </w:p>
    <w:p w14:paraId="10FDD3FC" w14:textId="6FADCFD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CD2839">
        <w:rPr>
          <w:rFonts w:ascii="Times New Roman" w:hAnsi="Times New Roman"/>
          <w:b/>
        </w:rPr>
        <w:t>2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16DB15D4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CD2839">
        <w:rPr>
          <w:rFonts w:ascii="Times New Roman" w:hAnsi="Times New Roman"/>
        </w:rPr>
        <w:t>2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5A5CEDB" w:rsidR="00313763" w:rsidRDefault="00DF0826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>) včetně podrobného přehledu  osob a osobonocí</w:t>
      </w:r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4744AAC0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67169D">
        <w:rPr>
          <w:rFonts w:ascii="Times New Roman" w:hAnsi="Times New Roman"/>
          <w:b/>
        </w:rPr>
        <w:t>31. 12</w:t>
      </w:r>
      <w:r w:rsidR="00776443">
        <w:rPr>
          <w:rFonts w:ascii="Times New Roman" w:hAnsi="Times New Roman"/>
          <w:b/>
        </w:rPr>
        <w:t xml:space="preserve">. </w:t>
      </w:r>
      <w:r w:rsidR="009E65EB" w:rsidRPr="00F327A7">
        <w:rPr>
          <w:rFonts w:ascii="Times New Roman" w:hAnsi="Times New Roman"/>
          <w:b/>
        </w:rPr>
        <w:t>202</w:t>
      </w:r>
      <w:r w:rsidR="008C24E8" w:rsidRPr="00F327A7">
        <w:rPr>
          <w:rFonts w:ascii="Times New Roman" w:hAnsi="Times New Roman"/>
          <w:b/>
        </w:rPr>
        <w:t>3</w:t>
      </w:r>
      <w:r w:rsidR="009E65EB">
        <w:rPr>
          <w:rFonts w:ascii="Times New Roman" w:hAnsi="Times New Roman"/>
        </w:rPr>
        <w:t>.</w:t>
      </w:r>
    </w:p>
    <w:p w14:paraId="54E79A6B" w14:textId="124214DF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lastRenderedPageBreak/>
        <w:t xml:space="preserve">Ostatní ustanovení smlouvy, pokud na ně nedopadá úprava zákona č. 65/2022 Sb., se tímto dodatkem č. </w:t>
      </w:r>
      <w:r w:rsidR="00CD2839">
        <w:rPr>
          <w:rFonts w:ascii="Times New Roman" w:hAnsi="Times New Roman"/>
        </w:rPr>
        <w:t>2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62C9FD83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CD2839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78AE8401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2 nabývá platnosti podpisem smluvních stran, účinnosti dne 01.01.2023.</w:t>
      </w:r>
    </w:p>
    <w:p w14:paraId="7CC097FF" w14:textId="335C71F5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2 je vyhotoven ve třech stejnopisech, z nichž ubytovatel obdrží jeden a objednatel dva stejnopisy. Každý stejnopis má právní sílu originálu. </w:t>
      </w:r>
    </w:p>
    <w:p w14:paraId="46895769" w14:textId="73B9CE05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CD2839">
        <w:rPr>
          <w:rFonts w:ascii="Times New Roman" w:hAnsi="Times New Roman"/>
        </w:rPr>
        <w:t>2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55968388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Ing. </w:t>
      </w:r>
      <w:r w:rsidR="0038181C">
        <w:rPr>
          <w:rFonts w:ascii="Times New Roman" w:hAnsi="Times New Roman"/>
        </w:rPr>
        <w:t>Brtková</w:t>
      </w:r>
      <w:bookmarkStart w:id="0" w:name="_GoBack"/>
      <w:bookmarkEnd w:id="0"/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807225D" w14:textId="7777777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„osobonocí“ při stanovené paušální náhradě 350,- Kč (300,- Kč) za osobu a noc („osobonoc“).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548FDF4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8181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8181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3818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38181C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4D849B21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CD2839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175E4485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776443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38181C">
      <w:rPr>
        <w:rFonts w:ascii="Times New Roman" w:hAnsi="Times New Roman"/>
        <w:b/>
        <w:bCs/>
        <w:color w:val="595959" w:themeColor="text1" w:themeTint="A6"/>
        <w:sz w:val="20"/>
        <w:szCs w:val="20"/>
      </w:rPr>
      <w:t>1696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BB18A7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65F2A"/>
    <w:rsid w:val="001B435B"/>
    <w:rsid w:val="002211E7"/>
    <w:rsid w:val="002333D9"/>
    <w:rsid w:val="00235F9B"/>
    <w:rsid w:val="002539C0"/>
    <w:rsid w:val="00253C82"/>
    <w:rsid w:val="002837ED"/>
    <w:rsid w:val="00293A2D"/>
    <w:rsid w:val="002C1083"/>
    <w:rsid w:val="00313763"/>
    <w:rsid w:val="0031560C"/>
    <w:rsid w:val="003358D7"/>
    <w:rsid w:val="00363492"/>
    <w:rsid w:val="0038181C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528C9"/>
    <w:rsid w:val="00472552"/>
    <w:rsid w:val="004A2113"/>
    <w:rsid w:val="004A4D60"/>
    <w:rsid w:val="004B7848"/>
    <w:rsid w:val="004C1236"/>
    <w:rsid w:val="004C3DD0"/>
    <w:rsid w:val="004D2C7F"/>
    <w:rsid w:val="004D3323"/>
    <w:rsid w:val="004F6D43"/>
    <w:rsid w:val="0051033C"/>
    <w:rsid w:val="0051092B"/>
    <w:rsid w:val="005655B0"/>
    <w:rsid w:val="005B3111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7169D"/>
    <w:rsid w:val="006B328E"/>
    <w:rsid w:val="006D1527"/>
    <w:rsid w:val="006D3C5E"/>
    <w:rsid w:val="006D4DC4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76443"/>
    <w:rsid w:val="00780831"/>
    <w:rsid w:val="007B26D4"/>
    <w:rsid w:val="007C0824"/>
    <w:rsid w:val="007C194F"/>
    <w:rsid w:val="007D2AD1"/>
    <w:rsid w:val="007F4981"/>
    <w:rsid w:val="00801449"/>
    <w:rsid w:val="00805A42"/>
    <w:rsid w:val="0082264E"/>
    <w:rsid w:val="008447CE"/>
    <w:rsid w:val="008507D8"/>
    <w:rsid w:val="008C24E8"/>
    <w:rsid w:val="008C4A52"/>
    <w:rsid w:val="008D2310"/>
    <w:rsid w:val="008E62DB"/>
    <w:rsid w:val="009000E5"/>
    <w:rsid w:val="00946C6A"/>
    <w:rsid w:val="00947D49"/>
    <w:rsid w:val="009629F2"/>
    <w:rsid w:val="00984DA2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43A7B"/>
    <w:rsid w:val="00B44BF6"/>
    <w:rsid w:val="00B5155A"/>
    <w:rsid w:val="00B51B01"/>
    <w:rsid w:val="00B648EF"/>
    <w:rsid w:val="00B81ADD"/>
    <w:rsid w:val="00BB18A7"/>
    <w:rsid w:val="00BB3A0F"/>
    <w:rsid w:val="00BC3265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3A95"/>
    <w:rsid w:val="00D32BA4"/>
    <w:rsid w:val="00D46EFD"/>
    <w:rsid w:val="00DB11B9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5FD0"/>
    <w:rsid w:val="00F76540"/>
    <w:rsid w:val="00F9055B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9337-96B9-46AF-BDDB-9C9B5AB3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Brtková Monika</cp:lastModifiedBy>
  <cp:revision>4</cp:revision>
  <cp:lastPrinted>2022-12-10T06:58:00Z</cp:lastPrinted>
  <dcterms:created xsi:type="dcterms:W3CDTF">2022-12-10T07:44:00Z</dcterms:created>
  <dcterms:modified xsi:type="dcterms:W3CDTF">2022-12-10T07:56:00Z</dcterms:modified>
</cp:coreProperties>
</file>