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B5" w:rsidRDefault="00387125">
      <w:pPr>
        <w:spacing w:after="108" w:line="248" w:lineRule="auto"/>
        <w:ind w:left="2242" w:right="2309" w:hanging="10"/>
        <w:jc w:val="center"/>
      </w:pPr>
      <w:r>
        <w:rPr>
          <w:sz w:val="16"/>
        </w:rPr>
        <w:t>ID nabídky 0000353781</w:t>
      </w:r>
    </w:p>
    <w:p w:rsidR="00607DB5" w:rsidRDefault="00387125">
      <w:pPr>
        <w:spacing w:after="637" w:line="237" w:lineRule="auto"/>
        <w:ind w:left="62" w:right="77" w:firstLine="5"/>
      </w:pPr>
      <w:r>
        <w:rPr>
          <w:noProof/>
        </w:rPr>
        <w:drawing>
          <wp:anchor distT="0" distB="0" distL="114300" distR="114300" simplePos="0" relativeHeight="251658240" behindDoc="0" locked="0" layoutInCell="1" allowOverlap="0">
            <wp:simplePos x="0" y="0"/>
            <wp:positionH relativeFrom="column">
              <wp:posOffset>5788152</wp:posOffset>
            </wp:positionH>
            <wp:positionV relativeFrom="paragraph">
              <wp:posOffset>-56853</wp:posOffset>
            </wp:positionV>
            <wp:extent cx="515112" cy="527454"/>
            <wp:effectExtent l="0" t="0" r="0" b="0"/>
            <wp:wrapSquare wrapText="bothSides"/>
            <wp:docPr id="3965" name="Picture 3965"/>
            <wp:cNvGraphicFramePr/>
            <a:graphic xmlns:a="http://schemas.openxmlformats.org/drawingml/2006/main">
              <a:graphicData uri="http://schemas.openxmlformats.org/drawingml/2006/picture">
                <pic:pic xmlns:pic="http://schemas.openxmlformats.org/drawingml/2006/picture">
                  <pic:nvPicPr>
                    <pic:cNvPr id="3965" name="Picture 3965"/>
                    <pic:cNvPicPr/>
                  </pic:nvPicPr>
                  <pic:blipFill>
                    <a:blip r:embed="rId7"/>
                    <a:stretch>
                      <a:fillRect/>
                    </a:stretch>
                  </pic:blipFill>
                  <pic:spPr>
                    <a:xfrm>
                      <a:off x="0" y="0"/>
                      <a:ext cx="515112" cy="527454"/>
                    </a:xfrm>
                    <a:prstGeom prst="rect">
                      <a:avLst/>
                    </a:prstGeom>
                  </pic:spPr>
                </pic:pic>
              </a:graphicData>
            </a:graphic>
          </wp:anchor>
        </w:drawing>
      </w:r>
      <w:r>
        <w:rPr>
          <w:sz w:val="28"/>
        </w:rPr>
        <w:t>Dodatek č.: 1-285202302383 0 ke Smlouvě č.: 1-275868916&amp;63 0</w:t>
      </w:r>
    </w:p>
    <w:p w:rsidR="00607DB5" w:rsidRDefault="00387125">
      <w:pPr>
        <w:ind w:right="696"/>
      </w:pPr>
      <w:r>
        <w:t>(dále jen „Dodatek”) uzavřený mezi</w:t>
      </w:r>
    </w:p>
    <w:tbl>
      <w:tblPr>
        <w:tblStyle w:val="TableGrid"/>
        <w:tblW w:w="8966" w:type="dxa"/>
        <w:tblInd w:w="130" w:type="dxa"/>
        <w:tblCellMar>
          <w:top w:w="13" w:type="dxa"/>
          <w:left w:w="0" w:type="dxa"/>
          <w:bottom w:w="2" w:type="dxa"/>
          <w:right w:w="0" w:type="dxa"/>
        </w:tblCellMar>
        <w:tblLook w:val="04A0" w:firstRow="1" w:lastRow="0" w:firstColumn="1" w:lastColumn="0" w:noHBand="0" w:noVBand="1"/>
      </w:tblPr>
      <w:tblGrid>
        <w:gridCol w:w="2045"/>
        <w:gridCol w:w="3192"/>
        <w:gridCol w:w="3729"/>
      </w:tblGrid>
      <w:tr w:rsidR="00607DB5">
        <w:trPr>
          <w:trHeight w:val="446"/>
        </w:trPr>
        <w:tc>
          <w:tcPr>
            <w:tcW w:w="2045" w:type="dxa"/>
            <w:tcBorders>
              <w:top w:val="nil"/>
              <w:left w:val="nil"/>
              <w:bottom w:val="nil"/>
              <w:right w:val="nil"/>
            </w:tcBorders>
          </w:tcPr>
          <w:p w:rsidR="00607DB5" w:rsidRDefault="00607DB5">
            <w:pPr>
              <w:spacing w:after="160" w:line="259" w:lineRule="auto"/>
              <w:ind w:left="0" w:firstLine="0"/>
            </w:pPr>
          </w:p>
        </w:tc>
        <w:tc>
          <w:tcPr>
            <w:tcW w:w="3192" w:type="dxa"/>
            <w:tcBorders>
              <w:top w:val="nil"/>
              <w:left w:val="nil"/>
              <w:bottom w:val="nil"/>
              <w:right w:val="nil"/>
            </w:tcBorders>
          </w:tcPr>
          <w:p w:rsidR="00607DB5" w:rsidRDefault="00387125">
            <w:pPr>
              <w:spacing w:after="0" w:line="259" w:lineRule="auto"/>
              <w:ind w:left="10" w:firstLine="0"/>
            </w:pPr>
            <w:r>
              <w:t>Vodafone Czech Republic a.s.</w:t>
            </w:r>
          </w:p>
        </w:tc>
        <w:tc>
          <w:tcPr>
            <w:tcW w:w="3730" w:type="dxa"/>
            <w:tcBorders>
              <w:top w:val="nil"/>
              <w:left w:val="nil"/>
              <w:bottom w:val="nil"/>
              <w:right w:val="nil"/>
            </w:tcBorders>
          </w:tcPr>
          <w:p w:rsidR="00607DB5" w:rsidRDefault="00387125">
            <w:pPr>
              <w:spacing w:after="0" w:line="259" w:lineRule="auto"/>
              <w:ind w:left="0" w:firstLine="115"/>
              <w:jc w:val="both"/>
            </w:pPr>
            <w:r>
              <w:rPr>
                <w:sz w:val="16"/>
              </w:rPr>
              <w:t xml:space="preserve">Česká lesnická akademie </w:t>
            </w:r>
            <w:proofErr w:type="gramStart"/>
            <w:r>
              <w:rPr>
                <w:sz w:val="16"/>
              </w:rPr>
              <w:t>Trutnov - střední</w:t>
            </w:r>
            <w:proofErr w:type="gramEnd"/>
            <w:r>
              <w:rPr>
                <w:sz w:val="16"/>
              </w:rPr>
              <w:t xml:space="preserve"> škola a vyšší odborná škola</w:t>
            </w:r>
          </w:p>
        </w:tc>
      </w:tr>
      <w:tr w:rsidR="00607DB5">
        <w:trPr>
          <w:trHeight w:val="268"/>
        </w:trPr>
        <w:tc>
          <w:tcPr>
            <w:tcW w:w="2045" w:type="dxa"/>
            <w:tcBorders>
              <w:top w:val="nil"/>
              <w:left w:val="nil"/>
              <w:bottom w:val="nil"/>
              <w:right w:val="nil"/>
            </w:tcBorders>
          </w:tcPr>
          <w:p w:rsidR="00607DB5" w:rsidRDefault="00387125">
            <w:pPr>
              <w:spacing w:after="0" w:line="259" w:lineRule="auto"/>
              <w:ind w:left="14" w:firstLine="0"/>
            </w:pPr>
            <w:r>
              <w:t>Sídlo</w:t>
            </w:r>
          </w:p>
        </w:tc>
        <w:tc>
          <w:tcPr>
            <w:tcW w:w="3192" w:type="dxa"/>
            <w:tcBorders>
              <w:top w:val="nil"/>
              <w:left w:val="nil"/>
              <w:bottom w:val="nil"/>
              <w:right w:val="nil"/>
            </w:tcBorders>
          </w:tcPr>
          <w:p w:rsidR="00607DB5" w:rsidRDefault="00387125">
            <w:pPr>
              <w:spacing w:after="0" w:line="259" w:lineRule="auto"/>
              <w:ind w:left="14" w:firstLine="0"/>
            </w:pPr>
            <w:r>
              <w:rPr>
                <w:sz w:val="16"/>
              </w:rPr>
              <w:t>náměstí Junkových 2</w:t>
            </w:r>
          </w:p>
        </w:tc>
        <w:tc>
          <w:tcPr>
            <w:tcW w:w="3730" w:type="dxa"/>
            <w:tcBorders>
              <w:top w:val="nil"/>
              <w:left w:val="nil"/>
              <w:bottom w:val="nil"/>
              <w:right w:val="nil"/>
            </w:tcBorders>
          </w:tcPr>
          <w:p w:rsidR="00607DB5" w:rsidRDefault="00387125">
            <w:pPr>
              <w:spacing w:after="0" w:line="259" w:lineRule="auto"/>
              <w:ind w:left="115" w:firstLine="0"/>
            </w:pPr>
            <w:r>
              <w:rPr>
                <w:sz w:val="16"/>
              </w:rPr>
              <w:t>Lesnická 9</w:t>
            </w:r>
          </w:p>
        </w:tc>
      </w:tr>
      <w:tr w:rsidR="00607DB5">
        <w:trPr>
          <w:trHeight w:val="233"/>
        </w:trPr>
        <w:tc>
          <w:tcPr>
            <w:tcW w:w="2045" w:type="dxa"/>
            <w:tcBorders>
              <w:top w:val="nil"/>
              <w:left w:val="nil"/>
              <w:bottom w:val="nil"/>
              <w:right w:val="nil"/>
            </w:tcBorders>
          </w:tcPr>
          <w:p w:rsidR="00607DB5" w:rsidRDefault="00607DB5">
            <w:pPr>
              <w:spacing w:after="160" w:line="259" w:lineRule="auto"/>
              <w:ind w:left="0" w:firstLine="0"/>
            </w:pPr>
          </w:p>
        </w:tc>
        <w:tc>
          <w:tcPr>
            <w:tcW w:w="3192" w:type="dxa"/>
            <w:tcBorders>
              <w:top w:val="nil"/>
              <w:left w:val="nil"/>
              <w:bottom w:val="nil"/>
              <w:right w:val="nil"/>
            </w:tcBorders>
          </w:tcPr>
          <w:p w:rsidR="00607DB5" w:rsidRDefault="00387125">
            <w:pPr>
              <w:spacing w:after="0" w:line="259" w:lineRule="auto"/>
              <w:ind w:left="19" w:firstLine="0"/>
            </w:pPr>
            <w:r>
              <w:t>155 OO Praha 5</w:t>
            </w:r>
          </w:p>
        </w:tc>
        <w:tc>
          <w:tcPr>
            <w:tcW w:w="3730" w:type="dxa"/>
            <w:tcBorders>
              <w:top w:val="nil"/>
              <w:left w:val="nil"/>
              <w:bottom w:val="nil"/>
              <w:right w:val="nil"/>
            </w:tcBorders>
          </w:tcPr>
          <w:p w:rsidR="00607DB5" w:rsidRDefault="00387125">
            <w:pPr>
              <w:spacing w:after="0" w:line="259" w:lineRule="auto"/>
              <w:ind w:left="106" w:firstLine="0"/>
            </w:pPr>
            <w:r>
              <w:rPr>
                <w:sz w:val="16"/>
              </w:rPr>
              <w:t xml:space="preserve">54101 </w:t>
            </w:r>
            <w:proofErr w:type="gramStart"/>
            <w:r>
              <w:rPr>
                <w:sz w:val="16"/>
              </w:rPr>
              <w:t>Trutnov - Horní</w:t>
            </w:r>
            <w:proofErr w:type="gramEnd"/>
            <w:r>
              <w:rPr>
                <w:sz w:val="16"/>
              </w:rPr>
              <w:t xml:space="preserve"> Předměstí</w:t>
            </w:r>
          </w:p>
        </w:tc>
      </w:tr>
      <w:tr w:rsidR="00607DB5">
        <w:trPr>
          <w:trHeight w:val="237"/>
        </w:trPr>
        <w:tc>
          <w:tcPr>
            <w:tcW w:w="2045" w:type="dxa"/>
            <w:tcBorders>
              <w:top w:val="nil"/>
              <w:left w:val="nil"/>
              <w:bottom w:val="nil"/>
              <w:right w:val="nil"/>
            </w:tcBorders>
          </w:tcPr>
          <w:p w:rsidR="00607DB5" w:rsidRDefault="00607DB5">
            <w:pPr>
              <w:spacing w:after="160" w:line="259" w:lineRule="auto"/>
              <w:ind w:left="0" w:firstLine="0"/>
            </w:pPr>
          </w:p>
        </w:tc>
        <w:tc>
          <w:tcPr>
            <w:tcW w:w="3192" w:type="dxa"/>
            <w:tcBorders>
              <w:top w:val="nil"/>
              <w:left w:val="nil"/>
              <w:bottom w:val="nil"/>
              <w:right w:val="nil"/>
            </w:tcBorders>
          </w:tcPr>
          <w:p w:rsidR="00607DB5" w:rsidRDefault="00387125">
            <w:pPr>
              <w:spacing w:after="0" w:line="259" w:lineRule="auto"/>
              <w:ind w:left="5" w:firstLine="0"/>
            </w:pPr>
            <w:r>
              <w:rPr>
                <w:rFonts w:ascii="Calibri" w:eastAsia="Calibri" w:hAnsi="Calibri" w:cs="Calibri"/>
                <w:sz w:val="16"/>
              </w:rPr>
              <w:t>25788001</w:t>
            </w:r>
          </w:p>
        </w:tc>
        <w:tc>
          <w:tcPr>
            <w:tcW w:w="3730" w:type="dxa"/>
            <w:tcBorders>
              <w:top w:val="nil"/>
              <w:left w:val="nil"/>
              <w:bottom w:val="nil"/>
              <w:right w:val="nil"/>
            </w:tcBorders>
          </w:tcPr>
          <w:p w:rsidR="00607DB5" w:rsidRDefault="00387125">
            <w:pPr>
              <w:spacing w:after="0" w:line="259" w:lineRule="auto"/>
              <w:ind w:left="106" w:firstLine="0"/>
            </w:pPr>
            <w:r>
              <w:rPr>
                <w:rFonts w:ascii="Calibri" w:eastAsia="Calibri" w:hAnsi="Calibri" w:cs="Calibri"/>
                <w:sz w:val="16"/>
              </w:rPr>
              <w:t>60153296</w:t>
            </w:r>
          </w:p>
        </w:tc>
      </w:tr>
      <w:tr w:rsidR="00607DB5">
        <w:trPr>
          <w:trHeight w:val="223"/>
        </w:trPr>
        <w:tc>
          <w:tcPr>
            <w:tcW w:w="2045" w:type="dxa"/>
            <w:tcBorders>
              <w:top w:val="nil"/>
              <w:left w:val="nil"/>
              <w:bottom w:val="nil"/>
              <w:right w:val="nil"/>
            </w:tcBorders>
          </w:tcPr>
          <w:p w:rsidR="00607DB5" w:rsidRDefault="00387125">
            <w:pPr>
              <w:spacing w:after="0" w:line="259" w:lineRule="auto"/>
              <w:ind w:left="14" w:firstLine="0"/>
            </w:pPr>
            <w:proofErr w:type="spellStart"/>
            <w:r>
              <w:rPr>
                <w:sz w:val="20"/>
              </w:rPr>
              <w:t>Dič</w:t>
            </w:r>
            <w:proofErr w:type="spellEnd"/>
          </w:p>
        </w:tc>
        <w:tc>
          <w:tcPr>
            <w:tcW w:w="3192" w:type="dxa"/>
            <w:tcBorders>
              <w:top w:val="nil"/>
              <w:left w:val="nil"/>
              <w:bottom w:val="nil"/>
              <w:right w:val="nil"/>
            </w:tcBorders>
          </w:tcPr>
          <w:p w:rsidR="00607DB5" w:rsidRDefault="00387125">
            <w:pPr>
              <w:spacing w:after="0" w:line="259" w:lineRule="auto"/>
              <w:ind w:left="10" w:firstLine="0"/>
            </w:pPr>
            <w:r>
              <w:rPr>
                <w:sz w:val="14"/>
              </w:rPr>
              <w:t>CZ25788001</w:t>
            </w:r>
          </w:p>
        </w:tc>
        <w:tc>
          <w:tcPr>
            <w:tcW w:w="3730" w:type="dxa"/>
            <w:tcBorders>
              <w:top w:val="nil"/>
              <w:left w:val="nil"/>
              <w:bottom w:val="nil"/>
              <w:right w:val="nil"/>
            </w:tcBorders>
          </w:tcPr>
          <w:p w:rsidR="00607DB5" w:rsidRDefault="00387125">
            <w:pPr>
              <w:spacing w:after="0" w:line="259" w:lineRule="auto"/>
              <w:ind w:left="106" w:firstLine="0"/>
            </w:pPr>
            <w:r>
              <w:rPr>
                <w:sz w:val="16"/>
              </w:rPr>
              <w:t>CZ60153296</w:t>
            </w:r>
          </w:p>
        </w:tc>
      </w:tr>
      <w:tr w:rsidR="00607DB5">
        <w:trPr>
          <w:trHeight w:val="245"/>
        </w:trPr>
        <w:tc>
          <w:tcPr>
            <w:tcW w:w="2045" w:type="dxa"/>
            <w:tcBorders>
              <w:top w:val="nil"/>
              <w:left w:val="nil"/>
              <w:bottom w:val="nil"/>
              <w:right w:val="nil"/>
            </w:tcBorders>
          </w:tcPr>
          <w:p w:rsidR="00607DB5" w:rsidRDefault="00387125">
            <w:pPr>
              <w:spacing w:after="0" w:line="259" w:lineRule="auto"/>
              <w:ind w:left="14" w:firstLine="0"/>
            </w:pPr>
            <w:r>
              <w:rPr>
                <w:sz w:val="16"/>
              </w:rPr>
              <w:t xml:space="preserve">Bank. spojení, č. </w:t>
            </w:r>
            <w:proofErr w:type="spellStart"/>
            <w:r>
              <w:rPr>
                <w:sz w:val="16"/>
              </w:rPr>
              <w:t>ú.</w:t>
            </w:r>
            <w:proofErr w:type="spellEnd"/>
          </w:p>
        </w:tc>
        <w:tc>
          <w:tcPr>
            <w:tcW w:w="3192" w:type="dxa"/>
            <w:tcBorders>
              <w:top w:val="nil"/>
              <w:left w:val="nil"/>
              <w:bottom w:val="nil"/>
              <w:right w:val="nil"/>
            </w:tcBorders>
          </w:tcPr>
          <w:p w:rsidR="00607DB5" w:rsidRDefault="00387125">
            <w:pPr>
              <w:spacing w:after="0" w:line="259" w:lineRule="auto"/>
              <w:ind w:left="5" w:firstLine="0"/>
            </w:pPr>
            <w:r>
              <w:rPr>
                <w:sz w:val="12"/>
              </w:rPr>
              <w:t xml:space="preserve">ČSOB, </w:t>
            </w:r>
            <w:proofErr w:type="spellStart"/>
            <w:r>
              <w:rPr>
                <w:sz w:val="12"/>
              </w:rPr>
              <w:t>č.ú</w:t>
            </w:r>
            <w:proofErr w:type="spellEnd"/>
            <w:r>
              <w:rPr>
                <w:sz w:val="12"/>
              </w:rPr>
              <w:t>. 117292/0300</w:t>
            </w:r>
          </w:p>
        </w:tc>
        <w:tc>
          <w:tcPr>
            <w:tcW w:w="3730" w:type="dxa"/>
            <w:tcBorders>
              <w:top w:val="nil"/>
              <w:left w:val="nil"/>
              <w:bottom w:val="nil"/>
              <w:right w:val="nil"/>
            </w:tcBorders>
          </w:tcPr>
          <w:p w:rsidR="00607DB5" w:rsidRDefault="00607DB5">
            <w:pPr>
              <w:spacing w:after="160" w:line="259" w:lineRule="auto"/>
              <w:ind w:left="0" w:firstLine="0"/>
            </w:pPr>
          </w:p>
        </w:tc>
      </w:tr>
      <w:tr w:rsidR="00607DB5">
        <w:trPr>
          <w:trHeight w:val="240"/>
        </w:trPr>
        <w:tc>
          <w:tcPr>
            <w:tcW w:w="2045" w:type="dxa"/>
            <w:tcBorders>
              <w:top w:val="nil"/>
              <w:left w:val="nil"/>
              <w:bottom w:val="nil"/>
              <w:right w:val="nil"/>
            </w:tcBorders>
          </w:tcPr>
          <w:p w:rsidR="00607DB5" w:rsidRDefault="00387125">
            <w:pPr>
              <w:spacing w:after="0" w:line="259" w:lineRule="auto"/>
              <w:ind w:left="5" w:firstLine="0"/>
            </w:pPr>
            <w:proofErr w:type="spellStart"/>
            <w:r>
              <w:rPr>
                <w:sz w:val="16"/>
              </w:rPr>
              <w:t>Zaps</w:t>
            </w:r>
            <w:proofErr w:type="spellEnd"/>
            <w:r>
              <w:rPr>
                <w:sz w:val="16"/>
              </w:rPr>
              <w:t xml:space="preserve">. v OR u </w:t>
            </w:r>
            <w:proofErr w:type="spellStart"/>
            <w:r>
              <w:rPr>
                <w:sz w:val="16"/>
              </w:rPr>
              <w:t>rejstř</w:t>
            </w:r>
            <w:proofErr w:type="spellEnd"/>
            <w:r>
              <w:rPr>
                <w:sz w:val="16"/>
              </w:rPr>
              <w:t>. soudu v</w:t>
            </w:r>
          </w:p>
        </w:tc>
        <w:tc>
          <w:tcPr>
            <w:tcW w:w="3192" w:type="dxa"/>
            <w:tcBorders>
              <w:top w:val="nil"/>
              <w:left w:val="nil"/>
              <w:bottom w:val="nil"/>
              <w:right w:val="nil"/>
            </w:tcBorders>
          </w:tcPr>
          <w:p w:rsidR="00607DB5" w:rsidRDefault="00387125">
            <w:pPr>
              <w:spacing w:after="0" w:line="259" w:lineRule="auto"/>
              <w:ind w:left="10" w:firstLine="0"/>
            </w:pPr>
            <w:r>
              <w:t>Praze</w:t>
            </w:r>
          </w:p>
        </w:tc>
        <w:tc>
          <w:tcPr>
            <w:tcW w:w="3730" w:type="dxa"/>
            <w:tcBorders>
              <w:top w:val="nil"/>
              <w:left w:val="nil"/>
              <w:bottom w:val="nil"/>
              <w:right w:val="nil"/>
            </w:tcBorders>
          </w:tcPr>
          <w:p w:rsidR="00607DB5" w:rsidRDefault="00607DB5">
            <w:pPr>
              <w:spacing w:after="160" w:line="259" w:lineRule="auto"/>
              <w:ind w:left="0" w:firstLine="0"/>
            </w:pPr>
          </w:p>
        </w:tc>
      </w:tr>
      <w:tr w:rsidR="00607DB5">
        <w:trPr>
          <w:trHeight w:val="229"/>
        </w:trPr>
        <w:tc>
          <w:tcPr>
            <w:tcW w:w="2045" w:type="dxa"/>
            <w:tcBorders>
              <w:top w:val="nil"/>
              <w:left w:val="nil"/>
              <w:bottom w:val="nil"/>
              <w:right w:val="nil"/>
            </w:tcBorders>
          </w:tcPr>
          <w:p w:rsidR="00607DB5" w:rsidRDefault="00387125">
            <w:pPr>
              <w:spacing w:after="0" w:line="259" w:lineRule="auto"/>
              <w:ind w:left="10" w:firstLine="0"/>
            </w:pPr>
            <w:r>
              <w:rPr>
                <w:sz w:val="16"/>
              </w:rPr>
              <w:t>oddíl B, vložka</w:t>
            </w:r>
          </w:p>
        </w:tc>
        <w:tc>
          <w:tcPr>
            <w:tcW w:w="3192" w:type="dxa"/>
            <w:tcBorders>
              <w:top w:val="nil"/>
              <w:left w:val="nil"/>
              <w:bottom w:val="nil"/>
              <w:right w:val="nil"/>
            </w:tcBorders>
          </w:tcPr>
          <w:p w:rsidR="00607DB5" w:rsidRDefault="00387125">
            <w:pPr>
              <w:spacing w:after="0" w:line="259" w:lineRule="auto"/>
              <w:ind w:left="0" w:firstLine="0"/>
            </w:pPr>
            <w:r>
              <w:rPr>
                <w:rFonts w:ascii="Calibri" w:eastAsia="Calibri" w:hAnsi="Calibri" w:cs="Calibri"/>
                <w:sz w:val="16"/>
              </w:rPr>
              <w:t>6064</w:t>
            </w:r>
          </w:p>
        </w:tc>
        <w:tc>
          <w:tcPr>
            <w:tcW w:w="3730" w:type="dxa"/>
            <w:tcBorders>
              <w:top w:val="nil"/>
              <w:left w:val="nil"/>
              <w:bottom w:val="nil"/>
              <w:right w:val="nil"/>
            </w:tcBorders>
          </w:tcPr>
          <w:p w:rsidR="00607DB5" w:rsidRDefault="00607DB5">
            <w:pPr>
              <w:spacing w:after="160" w:line="259" w:lineRule="auto"/>
              <w:ind w:left="0" w:firstLine="0"/>
            </w:pPr>
          </w:p>
        </w:tc>
      </w:tr>
      <w:tr w:rsidR="00607DB5">
        <w:trPr>
          <w:trHeight w:val="469"/>
        </w:trPr>
        <w:tc>
          <w:tcPr>
            <w:tcW w:w="2045" w:type="dxa"/>
            <w:tcBorders>
              <w:top w:val="nil"/>
              <w:left w:val="nil"/>
              <w:bottom w:val="nil"/>
              <w:right w:val="nil"/>
            </w:tcBorders>
          </w:tcPr>
          <w:p w:rsidR="00607DB5" w:rsidRDefault="00387125">
            <w:pPr>
              <w:spacing w:after="0" w:line="259" w:lineRule="auto"/>
              <w:ind w:left="0" w:firstLine="0"/>
            </w:pPr>
            <w:r>
              <w:rPr>
                <w:sz w:val="16"/>
              </w:rPr>
              <w:t>Zastoupen</w:t>
            </w:r>
          </w:p>
        </w:tc>
        <w:tc>
          <w:tcPr>
            <w:tcW w:w="3192" w:type="dxa"/>
            <w:tcBorders>
              <w:top w:val="nil"/>
              <w:left w:val="nil"/>
              <w:bottom w:val="nil"/>
              <w:right w:val="nil"/>
            </w:tcBorders>
          </w:tcPr>
          <w:p w:rsidR="00607DB5" w:rsidRDefault="00387125">
            <w:pPr>
              <w:spacing w:after="31" w:line="259" w:lineRule="auto"/>
              <w:ind w:left="10" w:firstLine="0"/>
            </w:pPr>
            <w:r>
              <w:rPr>
                <w:sz w:val="16"/>
              </w:rPr>
              <w:t>Martin Horčička</w:t>
            </w:r>
          </w:p>
          <w:p w:rsidR="00607DB5" w:rsidRDefault="00387125">
            <w:pPr>
              <w:spacing w:after="0" w:line="259" w:lineRule="auto"/>
              <w:ind w:left="5" w:firstLine="0"/>
            </w:pPr>
            <w:r>
              <w:rPr>
                <w:sz w:val="16"/>
              </w:rPr>
              <w:t xml:space="preserve">Sales </w:t>
            </w:r>
            <w:proofErr w:type="spellStart"/>
            <w:r>
              <w:rPr>
                <w:sz w:val="16"/>
              </w:rPr>
              <w:t>representative</w:t>
            </w:r>
            <w:proofErr w:type="spellEnd"/>
          </w:p>
        </w:tc>
        <w:tc>
          <w:tcPr>
            <w:tcW w:w="3730" w:type="dxa"/>
            <w:tcBorders>
              <w:top w:val="nil"/>
              <w:left w:val="nil"/>
              <w:bottom w:val="nil"/>
              <w:right w:val="nil"/>
            </w:tcBorders>
          </w:tcPr>
          <w:p w:rsidR="00607DB5" w:rsidRDefault="00387125">
            <w:pPr>
              <w:spacing w:after="0" w:line="259" w:lineRule="auto"/>
              <w:ind w:left="106" w:firstLine="0"/>
            </w:pPr>
            <w:r>
              <w:rPr>
                <w:sz w:val="16"/>
              </w:rPr>
              <w:t>Ing, Miloš Pochobradský</w:t>
            </w:r>
          </w:p>
        </w:tc>
      </w:tr>
      <w:tr w:rsidR="00607DB5">
        <w:trPr>
          <w:trHeight w:val="444"/>
        </w:trPr>
        <w:tc>
          <w:tcPr>
            <w:tcW w:w="2045" w:type="dxa"/>
            <w:tcBorders>
              <w:top w:val="nil"/>
              <w:left w:val="nil"/>
              <w:bottom w:val="nil"/>
              <w:right w:val="nil"/>
            </w:tcBorders>
          </w:tcPr>
          <w:p w:rsidR="00607DB5" w:rsidRDefault="00607DB5">
            <w:pPr>
              <w:spacing w:after="160" w:line="259" w:lineRule="auto"/>
              <w:ind w:left="0" w:firstLine="0"/>
            </w:pPr>
          </w:p>
        </w:tc>
        <w:tc>
          <w:tcPr>
            <w:tcW w:w="3192" w:type="dxa"/>
            <w:tcBorders>
              <w:top w:val="nil"/>
              <w:left w:val="nil"/>
              <w:bottom w:val="nil"/>
              <w:right w:val="nil"/>
            </w:tcBorders>
          </w:tcPr>
          <w:p w:rsidR="00607DB5" w:rsidRDefault="00387125">
            <w:pPr>
              <w:spacing w:after="0" w:line="259" w:lineRule="auto"/>
              <w:ind w:left="0" w:firstLine="0"/>
            </w:pPr>
            <w:r>
              <w:rPr>
                <w:sz w:val="16"/>
              </w:rPr>
              <w:t>martin.horcicka@vodafone.com</w:t>
            </w:r>
          </w:p>
        </w:tc>
        <w:tc>
          <w:tcPr>
            <w:tcW w:w="3730" w:type="dxa"/>
            <w:tcBorders>
              <w:top w:val="nil"/>
              <w:left w:val="nil"/>
              <w:bottom w:val="nil"/>
              <w:right w:val="nil"/>
            </w:tcBorders>
          </w:tcPr>
          <w:p w:rsidR="00607DB5" w:rsidRDefault="00387125">
            <w:pPr>
              <w:spacing w:after="0" w:line="259" w:lineRule="auto"/>
              <w:ind w:left="101" w:firstLine="0"/>
            </w:pPr>
            <w:r>
              <w:rPr>
                <w:rFonts w:ascii="Calibri" w:eastAsia="Calibri" w:hAnsi="Calibri" w:cs="Calibri"/>
                <w:sz w:val="16"/>
              </w:rPr>
              <w:t>pochobradsky@clatrutnov.cz</w:t>
            </w:r>
          </w:p>
        </w:tc>
      </w:tr>
      <w:tr w:rsidR="00607DB5">
        <w:trPr>
          <w:trHeight w:val="423"/>
        </w:trPr>
        <w:tc>
          <w:tcPr>
            <w:tcW w:w="2045" w:type="dxa"/>
            <w:tcBorders>
              <w:top w:val="nil"/>
              <w:left w:val="nil"/>
              <w:bottom w:val="nil"/>
              <w:right w:val="nil"/>
            </w:tcBorders>
          </w:tcPr>
          <w:p w:rsidR="00607DB5" w:rsidRDefault="00607DB5">
            <w:pPr>
              <w:spacing w:after="160" w:line="259" w:lineRule="auto"/>
              <w:ind w:left="0" w:firstLine="0"/>
            </w:pPr>
          </w:p>
        </w:tc>
        <w:tc>
          <w:tcPr>
            <w:tcW w:w="3192" w:type="dxa"/>
            <w:tcBorders>
              <w:top w:val="nil"/>
              <w:left w:val="nil"/>
              <w:bottom w:val="nil"/>
              <w:right w:val="nil"/>
            </w:tcBorders>
            <w:vAlign w:val="bottom"/>
          </w:tcPr>
          <w:p w:rsidR="00607DB5" w:rsidRDefault="00387125">
            <w:pPr>
              <w:spacing w:after="0" w:line="259" w:lineRule="auto"/>
              <w:ind w:left="0" w:firstLine="0"/>
            </w:pPr>
            <w:r>
              <w:rPr>
                <w:sz w:val="16"/>
              </w:rPr>
              <w:t>&gt; (dále jen „Vodafone”)</w:t>
            </w:r>
          </w:p>
        </w:tc>
        <w:tc>
          <w:tcPr>
            <w:tcW w:w="3730" w:type="dxa"/>
            <w:tcBorders>
              <w:top w:val="nil"/>
              <w:left w:val="nil"/>
              <w:bottom w:val="nil"/>
              <w:right w:val="nil"/>
            </w:tcBorders>
            <w:vAlign w:val="bottom"/>
          </w:tcPr>
          <w:p w:rsidR="00607DB5" w:rsidRDefault="00387125">
            <w:pPr>
              <w:spacing w:after="0" w:line="259" w:lineRule="auto"/>
              <w:ind w:left="96" w:firstLine="0"/>
            </w:pPr>
            <w:r>
              <w:rPr>
                <w:sz w:val="16"/>
              </w:rPr>
              <w:t>&gt; (dále jen „Zákazník")</w:t>
            </w:r>
          </w:p>
        </w:tc>
      </w:tr>
    </w:tbl>
    <w:p w:rsidR="00607DB5" w:rsidRDefault="00387125">
      <w:pPr>
        <w:spacing w:after="323" w:line="259" w:lineRule="auto"/>
        <w:ind w:left="29" w:firstLine="0"/>
      </w:pPr>
      <w:r>
        <w:rPr>
          <w:sz w:val="16"/>
        </w:rPr>
        <w:t>&gt; (dále společně „smluvní strany")</w:t>
      </w:r>
    </w:p>
    <w:p w:rsidR="00607DB5" w:rsidRDefault="00387125">
      <w:pPr>
        <w:spacing w:after="331"/>
        <w:ind w:left="19" w:right="696"/>
      </w:pPr>
      <w:r>
        <w:t>Smluvní strany uzavřely Rámcovou smlouvu o poskytování zvýhodněných podmínek č. 1-275868916663_0 (dále jen „Smlouva ”). Zákazník a Vodafone se dohodli na uzavření Dodatku ke Smlouvě v tomto znění:</w:t>
      </w:r>
    </w:p>
    <w:p w:rsidR="00607DB5" w:rsidRDefault="00387125">
      <w:pPr>
        <w:spacing w:after="335"/>
        <w:ind w:left="24" w:right="696"/>
      </w:pPr>
      <w:r>
        <w:t>Ustanovení čl. 2 a 3 Smlouvy se v plném rozsahu nahrazují a</w:t>
      </w:r>
      <w:r>
        <w:t xml:space="preserve"> zní:</w:t>
      </w:r>
      <w:r>
        <w:rPr>
          <w:noProof/>
        </w:rPr>
        <w:drawing>
          <wp:inline distT="0" distB="0" distL="0" distR="0">
            <wp:extent cx="3048" cy="3049"/>
            <wp:effectExtent l="0" t="0" r="0" b="0"/>
            <wp:docPr id="3818" name="Picture 3818"/>
            <wp:cNvGraphicFramePr/>
            <a:graphic xmlns:a="http://schemas.openxmlformats.org/drawingml/2006/main">
              <a:graphicData uri="http://schemas.openxmlformats.org/drawingml/2006/picture">
                <pic:pic xmlns:pic="http://schemas.openxmlformats.org/drawingml/2006/picture">
                  <pic:nvPicPr>
                    <pic:cNvPr id="3818" name="Picture 3818"/>
                    <pic:cNvPicPr/>
                  </pic:nvPicPr>
                  <pic:blipFill>
                    <a:blip r:embed="rId8"/>
                    <a:stretch>
                      <a:fillRect/>
                    </a:stretch>
                  </pic:blipFill>
                  <pic:spPr>
                    <a:xfrm>
                      <a:off x="0" y="0"/>
                      <a:ext cx="3048" cy="3049"/>
                    </a:xfrm>
                    <a:prstGeom prst="rect">
                      <a:avLst/>
                    </a:prstGeom>
                  </pic:spPr>
                </pic:pic>
              </a:graphicData>
            </a:graphic>
          </wp:inline>
        </w:drawing>
      </w:r>
    </w:p>
    <w:p w:rsidR="00607DB5" w:rsidRDefault="00387125">
      <w:pPr>
        <w:numPr>
          <w:ilvl w:val="0"/>
          <w:numId w:val="1"/>
        </w:numPr>
        <w:spacing w:after="31" w:line="265" w:lineRule="auto"/>
        <w:ind w:right="840" w:hanging="552"/>
      </w:pPr>
      <w:r>
        <w:rPr>
          <w:sz w:val="20"/>
        </w:rPr>
        <w:t>Práva a závazky smluvních stran</w:t>
      </w:r>
    </w:p>
    <w:p w:rsidR="00607DB5" w:rsidRDefault="00387125">
      <w:pPr>
        <w:ind w:left="547" w:right="696" w:hanging="533"/>
      </w:pPr>
      <w:r>
        <w:rPr>
          <w:rFonts w:ascii="Calibri" w:eastAsia="Calibri" w:hAnsi="Calibri" w:cs="Calibri"/>
        </w:rPr>
        <w:t xml:space="preserve">2.1 </w:t>
      </w:r>
      <w:r>
        <w:t xml:space="preserve">Vodafone je oprávněn stanovit Zákazníkovi Volací limit pro čerpání Služeb </w:t>
      </w:r>
      <w:proofErr w:type="spellStart"/>
      <w:r>
        <w:t>Vodafonu</w:t>
      </w:r>
      <w:proofErr w:type="spellEnd"/>
      <w:r>
        <w:t xml:space="preserve"> v každém zúčtovacím období, a to jednotlivě pro každou SIM kartu zařazenou pod právní režim této Smlouvy.</w:t>
      </w:r>
    </w:p>
    <w:p w:rsidR="00607DB5" w:rsidRDefault="00387125">
      <w:pPr>
        <w:spacing w:after="0"/>
        <w:ind w:left="566" w:right="696" w:hanging="552"/>
      </w:pPr>
      <w:r>
        <w:rPr>
          <w:rFonts w:ascii="Calibri" w:eastAsia="Calibri" w:hAnsi="Calibri" w:cs="Calibri"/>
        </w:rPr>
        <w:t xml:space="preserve">22 </w:t>
      </w:r>
      <w:r>
        <w:t>Zákazník se zavazuje,</w:t>
      </w:r>
      <w:r>
        <w:t xml:space="preserve"> že po dobu trvání Smlouvy neklesne rozsah užívaných Služeb pod minimální měsíční částku ve výši 13300 Kč. Minimální měsíční částka se rovná celkové částce za poskytnuté Služby (bez DPH) v jednom zúčtovacím období</w:t>
      </w:r>
    </w:p>
    <w:p w:rsidR="00607DB5" w:rsidRDefault="00387125">
      <w:pPr>
        <w:ind w:left="547" w:right="821"/>
      </w:pPr>
      <w:r>
        <w:t>(měsíci) po uplatnění veškerých slev a zvý</w:t>
      </w:r>
      <w:r>
        <w:t xml:space="preserve">hodnění (bonusů) poskytnutých Zákazníkovi a zobrazených ve vyúčtování Služeb, nikoliv však částka odpovídající platbám Zákazníka za zboží a služby třetích stran (např. </w:t>
      </w:r>
      <w:proofErr w:type="spellStart"/>
      <w:r>
        <w:t>Audiotext</w:t>
      </w:r>
      <w:proofErr w:type="spellEnd"/>
      <w:r>
        <w:t xml:space="preserve"> M-Platby, prémiové SMS) či poplatkům spojeným s pozdní úhradou Vyúčtování. Pok</w:t>
      </w:r>
      <w:r>
        <w:t xml:space="preserve">ud za srovnávací období (které tvoří vždy tři po sobě jdoucí zúčtovací období počínaje prvním celým zúčtovacím obdobím) klesne celková částka vyúčtovaná za Služby (bez DPH) pod částku odpovídající trojnásobku minimální měsíční částky, a to počínaje prvním </w:t>
      </w:r>
      <w:r>
        <w:t xml:space="preserve">úplným zúčtovacím obdobím stanoveným </w:t>
      </w:r>
      <w:proofErr w:type="spellStart"/>
      <w:r>
        <w:t>Vodafonem</w:t>
      </w:r>
      <w:proofErr w:type="spellEnd"/>
      <w:r>
        <w:t xml:space="preserve">, zavazuje se Zákazník uhradit </w:t>
      </w:r>
      <w:proofErr w:type="spellStart"/>
      <w:r>
        <w:t>Vodafonu</w:t>
      </w:r>
      <w:proofErr w:type="spellEnd"/>
      <w:r>
        <w:t xml:space="preserve"> doúčtování závazku minimální měsíční částky ve výši rozdílu mezi těmito částkami. Takto vypočítaná částka doúčtování závazku minimální měsíční částky podléhá DPH, která b</w:t>
      </w:r>
      <w:r>
        <w:t>ude uplatněna a připočtena ve výši dle platných právních předpisů, V případě, že srovnávací období bude kratší než 3 celá zúčtovací období (poslední srovnávací období před ukončením Smlouvy), je srovnávacím obdobím vždy jedno zúčtovací období (pro účely sp</w:t>
      </w:r>
      <w:r>
        <w:t>lnění závazku a případné stanovení výše doúčtování závazku minimální měsíční částky bude posuzována jedna minimální měsíční částka).</w:t>
      </w:r>
    </w:p>
    <w:p w:rsidR="00607DB5" w:rsidRDefault="00387125">
      <w:pPr>
        <w:spacing w:after="64"/>
        <w:ind w:left="543" w:right="806" w:hanging="538"/>
      </w:pPr>
      <w:r>
        <w:rPr>
          <w:rFonts w:ascii="Calibri" w:eastAsia="Calibri" w:hAnsi="Calibri" w:cs="Calibri"/>
        </w:rPr>
        <w:lastRenderedPageBreak/>
        <w:t>2.3</w:t>
      </w:r>
      <w:r>
        <w:rPr>
          <w:rFonts w:ascii="Calibri" w:eastAsia="Calibri" w:hAnsi="Calibri" w:cs="Calibri"/>
        </w:rPr>
        <w:tab/>
      </w:r>
      <w:r>
        <w:t>V případě, že Zákazník poruší své povinnosti vyplývající z této Smlouvy podstatným způsobem (porušení čl. 8.2 Všeobecných podmínek nebo čl. 8.3 Obchodních podmínek, je Vodafone bez ohledu na to, zda využije své právo na odstoupení od Smlouvy, oprávněn poža</w:t>
      </w:r>
      <w:r>
        <w:t xml:space="preserve">dovat a Zákazník povinen uhradit </w:t>
      </w:r>
      <w:proofErr w:type="spellStart"/>
      <w:r>
        <w:t>Vodafonu</w:t>
      </w:r>
      <w:proofErr w:type="spellEnd"/>
      <w:r>
        <w:t xml:space="preserve"> smluvní pokutu ve výši součinu minimální měsíční částky a počtu pravidelných zúčtovacích období zbývajících do konce sjednané doby trvání Smlouvy, a to počínaje zúčtovacím obdobím, v jehož průběhu Vodafone vyzval Z</w:t>
      </w:r>
      <w:r>
        <w:t xml:space="preserve">ákazníka k uhrazení smluvní pokuty. Pokud Zákazník ukončí v průběhu trvání této Smlouvy podnikatelskou činnost a dojde tak k předčasnému ukončení této Smlouvy, zavazuje se Zákazník vrátit </w:t>
      </w:r>
      <w:proofErr w:type="spellStart"/>
      <w:r>
        <w:t>Vodafonu</w:t>
      </w:r>
      <w:proofErr w:type="spellEnd"/>
      <w:r>
        <w:t xml:space="preserve"> veškerá zvýhodnění, která na základě této Smlouvy od </w:t>
      </w:r>
      <w:proofErr w:type="spellStart"/>
      <w:r>
        <w:t>Vodafo</w:t>
      </w:r>
      <w:r>
        <w:t>nu</w:t>
      </w:r>
      <w:proofErr w:type="spellEnd"/>
      <w:r>
        <w:t xml:space="preserve"> obdržel.</w:t>
      </w:r>
    </w:p>
    <w:p w:rsidR="00607DB5" w:rsidRDefault="00387125">
      <w:pPr>
        <w:spacing w:after="719"/>
        <w:ind w:left="547" w:right="696" w:hanging="547"/>
      </w:pPr>
      <w:r>
        <w:rPr>
          <w:rFonts w:ascii="Calibri" w:eastAsia="Calibri" w:hAnsi="Calibri" w:cs="Calibri"/>
        </w:rPr>
        <w:t xml:space="preserve">2.4 </w:t>
      </w:r>
      <w:r>
        <w:t xml:space="preserve">Zaplacení smluvní pokuty ani vrácení zvýhodnění nemá vliv na nárok </w:t>
      </w:r>
      <w:proofErr w:type="spellStart"/>
      <w:r>
        <w:t>Vodafonu</w:t>
      </w:r>
      <w:proofErr w:type="spellEnd"/>
      <w:r>
        <w:t xml:space="preserve"> na náhradu vzniklé škody v celém rozsahu. Smluvní pokuty jsou splatné ve lhůtě uvedené ve vyúčtování smluvní pokuty vystaveném </w:t>
      </w:r>
      <w:proofErr w:type="spellStart"/>
      <w:r>
        <w:t>Vodafonem</w:t>
      </w:r>
      <w:proofErr w:type="spellEnd"/>
      <w:r>
        <w:t>.</w:t>
      </w:r>
      <w:r>
        <w:rPr>
          <w:noProof/>
        </w:rPr>
        <w:drawing>
          <wp:inline distT="0" distB="0" distL="0" distR="0">
            <wp:extent cx="3048" cy="3049"/>
            <wp:effectExtent l="0" t="0" r="0" b="0"/>
            <wp:docPr id="3819" name="Picture 3819"/>
            <wp:cNvGraphicFramePr/>
            <a:graphic xmlns:a="http://schemas.openxmlformats.org/drawingml/2006/main">
              <a:graphicData uri="http://schemas.openxmlformats.org/drawingml/2006/picture">
                <pic:pic xmlns:pic="http://schemas.openxmlformats.org/drawingml/2006/picture">
                  <pic:nvPicPr>
                    <pic:cNvPr id="3819" name="Picture 3819"/>
                    <pic:cNvPicPr/>
                  </pic:nvPicPr>
                  <pic:blipFill>
                    <a:blip r:embed="rId9"/>
                    <a:stretch>
                      <a:fillRect/>
                    </a:stretch>
                  </pic:blipFill>
                  <pic:spPr>
                    <a:xfrm>
                      <a:off x="0" y="0"/>
                      <a:ext cx="3048" cy="3049"/>
                    </a:xfrm>
                    <a:prstGeom prst="rect">
                      <a:avLst/>
                    </a:prstGeom>
                  </pic:spPr>
                </pic:pic>
              </a:graphicData>
            </a:graphic>
          </wp:inline>
        </w:drawing>
      </w:r>
    </w:p>
    <w:tbl>
      <w:tblPr>
        <w:tblStyle w:val="TableGrid"/>
        <w:tblpPr w:vertAnchor="text" w:tblpX="9826" w:tblpY="735"/>
        <w:tblOverlap w:val="never"/>
        <w:tblW w:w="439" w:type="dxa"/>
        <w:tblInd w:w="0" w:type="dxa"/>
        <w:tblCellMar>
          <w:top w:w="0" w:type="dxa"/>
          <w:left w:w="34" w:type="dxa"/>
          <w:bottom w:w="0" w:type="dxa"/>
          <w:right w:w="115" w:type="dxa"/>
        </w:tblCellMar>
        <w:tblLook w:val="04A0" w:firstRow="1" w:lastRow="0" w:firstColumn="1" w:lastColumn="0" w:noHBand="0" w:noVBand="1"/>
      </w:tblPr>
      <w:tblGrid>
        <w:gridCol w:w="439"/>
      </w:tblGrid>
      <w:tr w:rsidR="00607DB5">
        <w:trPr>
          <w:trHeight w:val="438"/>
        </w:trPr>
        <w:tc>
          <w:tcPr>
            <w:tcW w:w="439" w:type="dxa"/>
            <w:tcBorders>
              <w:top w:val="nil"/>
              <w:left w:val="nil"/>
              <w:bottom w:val="single" w:sz="2" w:space="0" w:color="000000"/>
              <w:right w:val="single" w:sz="2" w:space="0" w:color="000000"/>
            </w:tcBorders>
          </w:tcPr>
          <w:p w:rsidR="00607DB5" w:rsidRDefault="00387125">
            <w:pPr>
              <w:spacing w:after="0" w:line="259" w:lineRule="auto"/>
              <w:ind w:left="0" w:firstLine="0"/>
            </w:pPr>
            <w:r>
              <w:rPr>
                <w:sz w:val="16"/>
              </w:rPr>
              <w:t>síť</w:t>
            </w:r>
          </w:p>
        </w:tc>
      </w:tr>
    </w:tbl>
    <w:p w:rsidR="00607DB5" w:rsidRDefault="00387125">
      <w:pPr>
        <w:tabs>
          <w:tab w:val="center" w:pos="4790"/>
          <w:tab w:val="right" w:pos="10003"/>
        </w:tabs>
        <w:spacing w:after="0" w:line="259" w:lineRule="auto"/>
        <w:ind w:left="-509" w:firstLine="0"/>
      </w:pPr>
      <w:r>
        <w:rPr>
          <w:noProof/>
        </w:rPr>
        <w:drawing>
          <wp:inline distT="0" distB="0" distL="0" distR="0">
            <wp:extent cx="1761744" cy="679897"/>
            <wp:effectExtent l="0" t="0" r="0" b="0"/>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10"/>
                    <a:stretch>
                      <a:fillRect/>
                    </a:stretch>
                  </pic:blipFill>
                  <pic:spPr>
                    <a:xfrm>
                      <a:off x="0" y="0"/>
                      <a:ext cx="1761744" cy="679897"/>
                    </a:xfrm>
                    <a:prstGeom prst="rect">
                      <a:avLst/>
                    </a:prstGeom>
                  </pic:spPr>
                </pic:pic>
              </a:graphicData>
            </a:graphic>
          </wp:inline>
        </w:drawing>
      </w:r>
      <w:r>
        <w:tab/>
        <w:t xml:space="preserve">00 </w:t>
      </w:r>
      <w:r>
        <w:tab/>
      </w:r>
      <w:r>
        <w:rPr>
          <w:noProof/>
        </w:rPr>
        <w:drawing>
          <wp:inline distT="0" distB="0" distL="0" distR="0">
            <wp:extent cx="515112" cy="445136"/>
            <wp:effectExtent l="0" t="0" r="0" b="0"/>
            <wp:docPr id="3966"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11"/>
                    <a:stretch>
                      <a:fillRect/>
                    </a:stretch>
                  </pic:blipFill>
                  <pic:spPr>
                    <a:xfrm>
                      <a:off x="0" y="0"/>
                      <a:ext cx="515112" cy="445136"/>
                    </a:xfrm>
                    <a:prstGeom prst="rect">
                      <a:avLst/>
                    </a:prstGeom>
                  </pic:spPr>
                </pic:pic>
              </a:graphicData>
            </a:graphic>
          </wp:inline>
        </w:drawing>
      </w:r>
    </w:p>
    <w:p w:rsidR="00607DB5" w:rsidRDefault="00387125">
      <w:pPr>
        <w:spacing w:after="8" w:line="248" w:lineRule="auto"/>
        <w:ind w:left="2242" w:right="2270" w:hanging="10"/>
        <w:jc w:val="center"/>
      </w:pPr>
      <w:r>
        <w:rPr>
          <w:sz w:val="16"/>
        </w:rPr>
        <w:t>Dodatek č. I</w:t>
      </w:r>
      <w:r>
        <w:rPr>
          <w:sz w:val="16"/>
        </w:rPr>
        <w:t>-285202302383_0 k Účastnické smlouvě č, 1-275868916663_0</w:t>
      </w:r>
    </w:p>
    <w:p w:rsidR="00607DB5" w:rsidRDefault="00387125">
      <w:pPr>
        <w:tabs>
          <w:tab w:val="center" w:pos="4675"/>
          <w:tab w:val="right" w:pos="10003"/>
        </w:tabs>
        <w:spacing w:after="295" w:line="248" w:lineRule="auto"/>
        <w:ind w:left="0" w:firstLine="0"/>
      </w:pPr>
      <w:r>
        <w:rPr>
          <w:sz w:val="16"/>
        </w:rPr>
        <w:tab/>
        <w:t>ID nabídky 0000353781</w:t>
      </w:r>
      <w:r>
        <w:rPr>
          <w:sz w:val="16"/>
        </w:rPr>
        <w:tab/>
      </w:r>
      <w:r>
        <w:rPr>
          <w:noProof/>
        </w:rPr>
        <w:drawing>
          <wp:inline distT="0" distB="0" distL="0" distR="0">
            <wp:extent cx="518160" cy="524406"/>
            <wp:effectExtent l="0" t="0" r="0" b="0"/>
            <wp:docPr id="9273" name="Picture 9273"/>
            <wp:cNvGraphicFramePr/>
            <a:graphic xmlns:a="http://schemas.openxmlformats.org/drawingml/2006/main">
              <a:graphicData uri="http://schemas.openxmlformats.org/drawingml/2006/picture">
                <pic:pic xmlns:pic="http://schemas.openxmlformats.org/drawingml/2006/picture">
                  <pic:nvPicPr>
                    <pic:cNvPr id="9273" name="Picture 9273"/>
                    <pic:cNvPicPr/>
                  </pic:nvPicPr>
                  <pic:blipFill>
                    <a:blip r:embed="rId12"/>
                    <a:stretch>
                      <a:fillRect/>
                    </a:stretch>
                  </pic:blipFill>
                  <pic:spPr>
                    <a:xfrm>
                      <a:off x="0" y="0"/>
                      <a:ext cx="518160" cy="524406"/>
                    </a:xfrm>
                    <a:prstGeom prst="rect">
                      <a:avLst/>
                    </a:prstGeom>
                  </pic:spPr>
                </pic:pic>
              </a:graphicData>
            </a:graphic>
          </wp:inline>
        </w:drawing>
      </w:r>
    </w:p>
    <w:p w:rsidR="00607DB5" w:rsidRDefault="00387125">
      <w:pPr>
        <w:spacing w:after="350"/>
        <w:ind w:left="657" w:right="696" w:hanging="542"/>
      </w:pPr>
      <w:r>
        <w:rPr>
          <w:rFonts w:ascii="Calibri" w:eastAsia="Calibri" w:hAnsi="Calibri" w:cs="Calibri"/>
        </w:rPr>
        <w:t xml:space="preserve">2.5 </w:t>
      </w:r>
      <w:r>
        <w:t>Smluvní strany se dohodly, že Zákazník složí v souladu s čl. 2.5 Obchodních podmínek Volací jistinu k zajištění poskytnutých výhod ve výši 0 Kč.</w:t>
      </w:r>
    </w:p>
    <w:p w:rsidR="00607DB5" w:rsidRDefault="00387125">
      <w:pPr>
        <w:numPr>
          <w:ilvl w:val="0"/>
          <w:numId w:val="2"/>
        </w:numPr>
        <w:spacing w:after="82" w:line="265" w:lineRule="auto"/>
        <w:ind w:right="840" w:hanging="547"/>
      </w:pPr>
      <w:r>
        <w:rPr>
          <w:sz w:val="20"/>
        </w:rPr>
        <w:t>Sjednaná doba trvání Smlouvy</w:t>
      </w:r>
    </w:p>
    <w:p w:rsidR="00607DB5" w:rsidRDefault="00387125">
      <w:pPr>
        <w:numPr>
          <w:ilvl w:val="1"/>
          <w:numId w:val="2"/>
        </w:numPr>
        <w:ind w:right="696" w:hanging="542"/>
      </w:pPr>
      <w:r>
        <w:t>Tato smlouva se uzavírá na dobu určitou do 25.05.2024.</w:t>
      </w:r>
    </w:p>
    <w:p w:rsidR="00607DB5" w:rsidRDefault="00387125">
      <w:pPr>
        <w:numPr>
          <w:ilvl w:val="1"/>
          <w:numId w:val="2"/>
        </w:numPr>
        <w:spacing w:after="72"/>
        <w:ind w:right="696" w:hanging="542"/>
      </w:pPr>
      <w:r>
        <w:t xml:space="preserve">Po ukončení Smlouvy budou Služby Zákazníkovi poskytovány dle Všeobecných podmínek a aktuálního Ceníku, není-li mezi Zákazníkem a </w:t>
      </w:r>
      <w:proofErr w:type="spellStart"/>
      <w:r>
        <w:t>Vodafonem</w:t>
      </w:r>
      <w:proofErr w:type="spellEnd"/>
      <w:r>
        <w:t xml:space="preserve"> dohodnuto jinak.</w:t>
      </w:r>
    </w:p>
    <w:p w:rsidR="00607DB5" w:rsidRDefault="00387125">
      <w:pPr>
        <w:numPr>
          <w:ilvl w:val="1"/>
          <w:numId w:val="2"/>
        </w:numPr>
        <w:ind w:right="696" w:hanging="542"/>
      </w:pPr>
      <w:r>
        <w:t>V případě předča</w:t>
      </w:r>
      <w:r>
        <w:t xml:space="preserve">sného ukončení této smlouvy před uplynutím sjednané doby trvání (zejména výpovědí, odstoupením, dohodou smluvních stran či ukončením podle bodu 3.7 níže) se zákazník, pokud je právnickou osobou, zavazuje zaplatit </w:t>
      </w:r>
      <w:proofErr w:type="spellStart"/>
      <w:r>
        <w:t>Vodafonu</w:t>
      </w:r>
      <w:proofErr w:type="spellEnd"/>
      <w:r>
        <w:t xml:space="preserve"> odškodnění za předčasné ukončení s</w:t>
      </w:r>
      <w:r>
        <w:t>mlouvy (dále též jen „odškodnění”), které se vypočítá jako součet všech minimálních měsíčních částek zbývajících k úhradě počítáno od zániku účinnosti smlouvy do konce původně sjednané doby trvání smlouvy.</w:t>
      </w:r>
    </w:p>
    <w:p w:rsidR="00607DB5" w:rsidRDefault="00387125">
      <w:pPr>
        <w:spacing w:after="113" w:line="242" w:lineRule="auto"/>
        <w:ind w:left="643" w:right="840" w:hanging="547"/>
        <w:jc w:val="both"/>
      </w:pPr>
      <w:r>
        <w:rPr>
          <w:noProof/>
        </w:rPr>
        <w:drawing>
          <wp:inline distT="0" distB="0" distL="0" distR="0">
            <wp:extent cx="131064" cy="97564"/>
            <wp:effectExtent l="0" t="0" r="0" b="0"/>
            <wp:docPr id="20227" name="Picture 20227"/>
            <wp:cNvGraphicFramePr/>
            <a:graphic xmlns:a="http://schemas.openxmlformats.org/drawingml/2006/main">
              <a:graphicData uri="http://schemas.openxmlformats.org/drawingml/2006/picture">
                <pic:pic xmlns:pic="http://schemas.openxmlformats.org/drawingml/2006/picture">
                  <pic:nvPicPr>
                    <pic:cNvPr id="20227" name="Picture 20227"/>
                    <pic:cNvPicPr/>
                  </pic:nvPicPr>
                  <pic:blipFill>
                    <a:blip r:embed="rId13"/>
                    <a:stretch>
                      <a:fillRect/>
                    </a:stretch>
                  </pic:blipFill>
                  <pic:spPr>
                    <a:xfrm>
                      <a:off x="0" y="0"/>
                      <a:ext cx="131064" cy="97564"/>
                    </a:xfrm>
                    <a:prstGeom prst="rect">
                      <a:avLst/>
                    </a:prstGeom>
                  </pic:spPr>
                </pic:pic>
              </a:graphicData>
            </a:graphic>
          </wp:inline>
        </w:drawing>
      </w:r>
      <w:r>
        <w:t xml:space="preserve"> Kterákoliv ze smluvních stran je oprávněna od té</w:t>
      </w:r>
      <w:r>
        <w:t>to Smlouvy odstoupit v případě porušení Smlouvy druhou smluvní stranou podstatným způsobem. Za porušení Smlouvy podstatným způsobem se kromě případů uvedených v občanském zákoníku rozumí také případy uvedené v čl. 8.2 Všeobecných podmínek a v čl. 8.3 Obcho</w:t>
      </w:r>
      <w:r>
        <w:t>dních podmínek.</w:t>
      </w:r>
      <w:r>
        <w:rPr>
          <w:noProof/>
        </w:rPr>
        <w:drawing>
          <wp:inline distT="0" distB="0" distL="0" distR="0">
            <wp:extent cx="3048" cy="3049"/>
            <wp:effectExtent l="0" t="0" r="0" b="0"/>
            <wp:docPr id="9100" name="Picture 9100"/>
            <wp:cNvGraphicFramePr/>
            <a:graphic xmlns:a="http://schemas.openxmlformats.org/drawingml/2006/main">
              <a:graphicData uri="http://schemas.openxmlformats.org/drawingml/2006/picture">
                <pic:pic xmlns:pic="http://schemas.openxmlformats.org/drawingml/2006/picture">
                  <pic:nvPicPr>
                    <pic:cNvPr id="9100" name="Picture 9100"/>
                    <pic:cNvPicPr/>
                  </pic:nvPicPr>
                  <pic:blipFill>
                    <a:blip r:embed="rId14"/>
                    <a:stretch>
                      <a:fillRect/>
                    </a:stretch>
                  </pic:blipFill>
                  <pic:spPr>
                    <a:xfrm>
                      <a:off x="0" y="0"/>
                      <a:ext cx="3048" cy="3049"/>
                    </a:xfrm>
                    <a:prstGeom prst="rect">
                      <a:avLst/>
                    </a:prstGeom>
                  </pic:spPr>
                </pic:pic>
              </a:graphicData>
            </a:graphic>
          </wp:inline>
        </w:drawing>
      </w:r>
    </w:p>
    <w:p w:rsidR="00607DB5" w:rsidRDefault="00387125">
      <w:pPr>
        <w:numPr>
          <w:ilvl w:val="1"/>
          <w:numId w:val="3"/>
        </w:numPr>
        <w:ind w:left="653" w:right="917" w:hanging="538"/>
      </w:pPr>
      <w:r>
        <w:t>Slevy poskytované na telefony a jiná koncová zařízení (zboží) jsou podmíněné sjednanou minimální měsíční částkou po celou dobu trvání smlouvy, na kterou byla uzavřena (dle bodu 2.2 a 3.1 této smlouvy). V případě předčasného ukončení smlouv</w:t>
      </w:r>
      <w:r>
        <w:t>y dodatečně zaniká nárok na tyto slevy a Vodafone je oprávněn doúčtovat úhradu za telefony a jiná koncová zařízení (zboží) ve výši poskytnuté slevy. V tomto případě také zaniká nárok na podmíněné slevy na odborné instalace a Vodafone je oprávněn je doúčtov</w:t>
      </w:r>
      <w:r>
        <w:t>at ve výši poskytnuté slevy.</w:t>
      </w:r>
    </w:p>
    <w:p w:rsidR="00607DB5" w:rsidRDefault="00387125">
      <w:pPr>
        <w:numPr>
          <w:ilvl w:val="1"/>
          <w:numId w:val="3"/>
        </w:numPr>
        <w:spacing w:after="59"/>
        <w:ind w:left="653" w:right="917" w:hanging="538"/>
      </w:pPr>
      <w:r>
        <w:t xml:space="preserve">Pro vyloučení pochybností, ukončením Smlouvy (výpovědí Smlouvy, odstoupením od Smlouvy nebo jinak) nedochází k ukončení jednotlivých smluv o poskytování </w:t>
      </w:r>
      <w:r>
        <w:lastRenderedPageBreak/>
        <w:t xml:space="preserve">služeb elektronických komunikací (tj. k ukončení poskytování služeb a </w:t>
      </w:r>
      <w:r>
        <w:rPr>
          <w:noProof/>
        </w:rPr>
        <w:drawing>
          <wp:inline distT="0" distB="0" distL="0" distR="0">
            <wp:extent cx="3048" cy="3049"/>
            <wp:effectExtent l="0" t="0" r="0" b="0"/>
            <wp:docPr id="9101" name="Picture 9101"/>
            <wp:cNvGraphicFramePr/>
            <a:graphic xmlns:a="http://schemas.openxmlformats.org/drawingml/2006/main">
              <a:graphicData uri="http://schemas.openxmlformats.org/drawingml/2006/picture">
                <pic:pic xmlns:pic="http://schemas.openxmlformats.org/drawingml/2006/picture">
                  <pic:nvPicPr>
                    <pic:cNvPr id="9101" name="Picture 9101"/>
                    <pic:cNvPicPr/>
                  </pic:nvPicPr>
                  <pic:blipFill>
                    <a:blip r:embed="rId15"/>
                    <a:stretch>
                      <a:fillRect/>
                    </a:stretch>
                  </pic:blipFill>
                  <pic:spPr>
                    <a:xfrm>
                      <a:off x="0" y="0"/>
                      <a:ext cx="3048" cy="3049"/>
                    </a:xfrm>
                    <a:prstGeom prst="rect">
                      <a:avLst/>
                    </a:prstGeom>
                  </pic:spPr>
                </pic:pic>
              </a:graphicData>
            </a:graphic>
          </wp:inline>
        </w:drawing>
      </w:r>
      <w:r>
        <w:t>dea</w:t>
      </w:r>
      <w:r>
        <w:t>ktivaci SIM karty) u SIM karet zařazených pod právní režim této Smlouvy.</w:t>
      </w:r>
    </w:p>
    <w:p w:rsidR="00607DB5" w:rsidRDefault="00387125">
      <w:pPr>
        <w:spacing w:after="778" w:line="223" w:lineRule="auto"/>
        <w:ind w:left="648" w:right="379" w:hanging="538"/>
      </w:pPr>
      <w:r>
        <w:rPr>
          <w:rFonts w:ascii="Calibri" w:eastAsia="Calibri" w:hAnsi="Calibri" w:cs="Calibri"/>
          <w:sz w:val="20"/>
          <w:u w:val="single" w:color="000000"/>
        </w:rPr>
        <w:t>3,7</w:t>
      </w:r>
      <w:r>
        <w:rPr>
          <w:rFonts w:ascii="Calibri" w:eastAsia="Calibri" w:hAnsi="Calibri" w:cs="Calibri"/>
          <w:sz w:val="20"/>
          <w:u w:val="single" w:color="000000"/>
        </w:rPr>
        <w:tab/>
      </w:r>
      <w:r>
        <w:rPr>
          <w:sz w:val="20"/>
          <w:u w:val="single" w:color="000000"/>
        </w:rPr>
        <w:t>V případě, že po uzavření této Smlouvy do</w:t>
      </w:r>
      <w:r w:rsidR="003A65B2">
        <w:rPr>
          <w:sz w:val="20"/>
          <w:u w:val="single" w:color="000000"/>
        </w:rPr>
        <w:t>j</w:t>
      </w:r>
      <w:r>
        <w:rPr>
          <w:sz w:val="20"/>
          <w:u w:val="single" w:color="000000"/>
        </w:rPr>
        <w:t>de k ukončení všech Služeb na všech mobilních telefonních číslech</w:t>
      </w:r>
      <w:r w:rsidR="003A65B2">
        <w:rPr>
          <w:sz w:val="20"/>
          <w:u w:val="single" w:color="000000"/>
        </w:rPr>
        <w:t xml:space="preserve"> </w:t>
      </w:r>
      <w:proofErr w:type="spellStart"/>
      <w:r>
        <w:rPr>
          <w:sz w:val="20"/>
          <w:u w:val="single" w:color="000000"/>
        </w:rPr>
        <w:t>lMSlSDN</w:t>
      </w:r>
      <w:proofErr w:type="spellEnd"/>
      <w:r>
        <w:rPr>
          <w:sz w:val="20"/>
          <w:u w:val="single" w:color="000000"/>
        </w:rPr>
        <w:t xml:space="preserve"> zařazených pod právní režim této Smlouvy, </w:t>
      </w:r>
      <w:r w:rsidR="003A65B2">
        <w:rPr>
          <w:sz w:val="20"/>
          <w:u w:val="single" w:color="000000"/>
        </w:rPr>
        <w:t>j</w:t>
      </w:r>
      <w:r>
        <w:rPr>
          <w:sz w:val="20"/>
          <w:u w:val="single" w:color="000000"/>
        </w:rPr>
        <w:t>e Vodafone oprávněn t</w:t>
      </w:r>
      <w:r>
        <w:rPr>
          <w:sz w:val="20"/>
          <w:u w:val="single" w:color="000000"/>
        </w:rPr>
        <w:t>uto smlouvu vypovědět, V případě, že po</w:t>
      </w:r>
      <w:r>
        <w:rPr>
          <w:sz w:val="20"/>
          <w:u w:val="single" w:color="000000"/>
        </w:rPr>
        <w:tab/>
      </w:r>
      <w:r>
        <w:rPr>
          <w:noProof/>
        </w:rPr>
        <w:drawing>
          <wp:inline distT="0" distB="0" distL="0" distR="0">
            <wp:extent cx="3048" cy="6098"/>
            <wp:effectExtent l="0" t="0" r="0" b="0"/>
            <wp:docPr id="9102" name="Picture 9102"/>
            <wp:cNvGraphicFramePr/>
            <a:graphic xmlns:a="http://schemas.openxmlformats.org/drawingml/2006/main">
              <a:graphicData uri="http://schemas.openxmlformats.org/drawingml/2006/picture">
                <pic:pic xmlns:pic="http://schemas.openxmlformats.org/drawingml/2006/picture">
                  <pic:nvPicPr>
                    <pic:cNvPr id="9102" name="Picture 9102"/>
                    <pic:cNvPicPr/>
                  </pic:nvPicPr>
                  <pic:blipFill>
                    <a:blip r:embed="rId16"/>
                    <a:stretch>
                      <a:fillRect/>
                    </a:stretch>
                  </pic:blipFill>
                  <pic:spPr>
                    <a:xfrm>
                      <a:off x="0" y="0"/>
                      <a:ext cx="3048" cy="6098"/>
                    </a:xfrm>
                    <a:prstGeom prst="rect">
                      <a:avLst/>
                    </a:prstGeom>
                  </pic:spPr>
                </pic:pic>
              </a:graphicData>
            </a:graphic>
          </wp:inline>
        </w:drawing>
      </w:r>
      <w:r>
        <w:rPr>
          <w:sz w:val="20"/>
          <w:u w:val="single" w:color="000000"/>
        </w:rPr>
        <w:t>uzavření této Smlouvy do</w:t>
      </w:r>
      <w:r w:rsidR="003A65B2">
        <w:rPr>
          <w:sz w:val="20"/>
          <w:u w:val="single" w:color="000000"/>
        </w:rPr>
        <w:t>j</w:t>
      </w:r>
      <w:r>
        <w:rPr>
          <w:sz w:val="20"/>
          <w:u w:val="single" w:color="000000"/>
        </w:rPr>
        <w:t>de k ukončení všech služeb zařazených pod právní režim této Smlouvy (ať již služeb elektronických komunikací či jiných služeb), tato Smlouva ukončením poslední služby automaticky zaniká.</w:t>
      </w:r>
    </w:p>
    <w:p w:rsidR="00607DB5" w:rsidRDefault="00387125">
      <w:pPr>
        <w:spacing w:after="51"/>
        <w:ind w:left="115" w:right="696"/>
      </w:pPr>
      <w:r>
        <w:t>Zák</w:t>
      </w:r>
      <w:r>
        <w:t xml:space="preserve">azník podpisem Dodatku potvrzuje, že se seznámil a bez výhrad souhlasí a akceptuje Obchodní podmínky, Podmínky, </w:t>
      </w:r>
      <w:r>
        <w:rPr>
          <w:noProof/>
        </w:rPr>
        <w:drawing>
          <wp:inline distT="0" distB="0" distL="0" distR="0">
            <wp:extent cx="3047" cy="3049"/>
            <wp:effectExtent l="0" t="0" r="0" b="0"/>
            <wp:docPr id="9103" name="Picture 9103"/>
            <wp:cNvGraphicFramePr/>
            <a:graphic xmlns:a="http://schemas.openxmlformats.org/drawingml/2006/main">
              <a:graphicData uri="http://schemas.openxmlformats.org/drawingml/2006/picture">
                <pic:pic xmlns:pic="http://schemas.openxmlformats.org/drawingml/2006/picture">
                  <pic:nvPicPr>
                    <pic:cNvPr id="9103" name="Picture 9103"/>
                    <pic:cNvPicPr/>
                  </pic:nvPicPr>
                  <pic:blipFill>
                    <a:blip r:embed="rId17"/>
                    <a:stretch>
                      <a:fillRect/>
                    </a:stretch>
                  </pic:blipFill>
                  <pic:spPr>
                    <a:xfrm>
                      <a:off x="0" y="0"/>
                      <a:ext cx="3047" cy="3049"/>
                    </a:xfrm>
                    <a:prstGeom prst="rect">
                      <a:avLst/>
                    </a:prstGeom>
                  </pic:spPr>
                </pic:pic>
              </a:graphicData>
            </a:graphic>
          </wp:inline>
        </w:drawing>
      </w:r>
      <w:r>
        <w:t>Všeobecné podmínky, Ceník, jakož i nové znění Smlouvy, včetně jejích nedílných součástí.</w:t>
      </w:r>
    </w:p>
    <w:p w:rsidR="00607DB5" w:rsidRDefault="00387125">
      <w:pPr>
        <w:spacing w:after="26"/>
        <w:ind w:left="115" w:right="696"/>
      </w:pPr>
      <w:r>
        <w:t>Není-li v tomto Dodatku uvedeno jinak, podpisem Dodatku uděluje Zákazník souhlasy se zpracováním údajů uvedených v Informacích, a to k účelům uvedených v Informacích.</w:t>
      </w:r>
    </w:p>
    <w:p w:rsidR="00607DB5" w:rsidRDefault="00387125">
      <w:pPr>
        <w:ind w:left="115" w:right="696"/>
      </w:pPr>
      <w:r>
        <w:t>Rozpis, přiložený k tomuto Dodatku nenahrazuje předchozí Rozpis, pouze jej doplňuje. V př</w:t>
      </w:r>
      <w:r>
        <w:t>ípadě doúčtování slev podle bodu 3.5 Smlouvy budou doúčtovány slevy poskytnuté na základě všech vystavených Rozpisů,</w:t>
      </w:r>
    </w:p>
    <w:p w:rsidR="00607DB5" w:rsidRDefault="00387125">
      <w:pPr>
        <w:ind w:left="115" w:right="696"/>
      </w:pPr>
      <w:r>
        <w:t>Sjednaná doba trvání Smlouvy se uzavřením tohoto Dodatku nemění.</w:t>
      </w:r>
    </w:p>
    <w:p w:rsidR="00607DB5" w:rsidRDefault="00387125">
      <w:pPr>
        <w:spacing w:after="42"/>
        <w:ind w:left="115" w:right="696"/>
      </w:pPr>
      <w:r>
        <w:t>Dodatek byl vyhotoven ve dvou (2) stejnopisech, přičemž každá ze smluvních</w:t>
      </w:r>
      <w:r>
        <w:t xml:space="preserve"> stran obdrží po jednom z nich.</w:t>
      </w:r>
    </w:p>
    <w:p w:rsidR="00607DB5" w:rsidRDefault="00387125">
      <w:pPr>
        <w:spacing w:after="1245"/>
        <w:ind w:left="115" w:right="696"/>
      </w:pPr>
      <w:r>
        <w:t xml:space="preserve">Dodatek nabývá platnosti dnem podpisu oběma smluvními stranami a účinnosti po prověření návratnosti nabízených výhod a prověření důvěryhodnosti a schopnosti Zákazníka plnit své závazky vyplývající ze Smlouvy ve znění tohoto </w:t>
      </w:r>
      <w:r>
        <w:t xml:space="preserve">Dodatku s </w:t>
      </w:r>
      <w:proofErr w:type="spellStart"/>
      <w:r>
        <w:t>Vodafonem</w:t>
      </w:r>
      <w:proofErr w:type="spellEnd"/>
      <w:r>
        <w:t>. V případě, že výsledek prověření prokáže návratnost poskytovaných výhod a důvěryhodnost Zákazníka, vyrozumí Vodafone o této skutečnosti písemně Zákazníka. Dodatek nabývá účinnosti dnem doručení tohoto vyrozumění Zákazníkovi. Pro vylouč</w:t>
      </w:r>
      <w:r>
        <w:t>ení pochybností se uvádí, že postačí vyrozumění ve formě e-mailové zprávy odeslané na e-mailovou adresu Zákazníka uvedenou v záhlaví Dodatku. Jestliže Vodafone nedoručí vyrozumění o kladném výsledku prověření Zákazníkovi nejpozději do 30 kalendářních dnů o</w:t>
      </w:r>
      <w:r>
        <w:t xml:space="preserve">d podpisu tohoto Dodatku, pak tento Dodatek automaticky zaniká a Smlouva zůstává nedotčena tímto Dodatkem. Smluvní </w:t>
      </w:r>
      <w:r>
        <w:rPr>
          <w:noProof/>
        </w:rPr>
        <w:drawing>
          <wp:inline distT="0" distB="0" distL="0" distR="0">
            <wp:extent cx="3047" cy="3049"/>
            <wp:effectExtent l="0" t="0" r="0" b="0"/>
            <wp:docPr id="9104" name="Picture 9104"/>
            <wp:cNvGraphicFramePr/>
            <a:graphic xmlns:a="http://schemas.openxmlformats.org/drawingml/2006/main">
              <a:graphicData uri="http://schemas.openxmlformats.org/drawingml/2006/picture">
                <pic:pic xmlns:pic="http://schemas.openxmlformats.org/drawingml/2006/picture">
                  <pic:nvPicPr>
                    <pic:cNvPr id="9104" name="Picture 9104"/>
                    <pic:cNvPicPr/>
                  </pic:nvPicPr>
                  <pic:blipFill>
                    <a:blip r:embed="rId18"/>
                    <a:stretch>
                      <a:fillRect/>
                    </a:stretch>
                  </pic:blipFill>
                  <pic:spPr>
                    <a:xfrm>
                      <a:off x="0" y="0"/>
                      <a:ext cx="3047" cy="3049"/>
                    </a:xfrm>
                    <a:prstGeom prst="rect">
                      <a:avLst/>
                    </a:prstGeom>
                  </pic:spPr>
                </pic:pic>
              </a:graphicData>
            </a:graphic>
          </wp:inline>
        </w:drawing>
      </w:r>
      <w:r>
        <w:t>strany se dohodly, že v případě doručování vyrozumění ve formě e-mailové zprávy je vyrozumění považováno za doručené dnem následujícím po od</w:t>
      </w:r>
      <w:r>
        <w:t xml:space="preserve">eslání e-mailové zprávy ze strany </w:t>
      </w:r>
      <w:proofErr w:type="spellStart"/>
      <w:r>
        <w:t>Vodafonu</w:t>
      </w:r>
      <w:proofErr w:type="spellEnd"/>
      <w:r>
        <w:t>.</w:t>
      </w:r>
    </w:p>
    <w:tbl>
      <w:tblPr>
        <w:tblStyle w:val="TableGrid"/>
        <w:tblpPr w:vertAnchor="text" w:tblpX="9974" w:tblpY="730"/>
        <w:tblOverlap w:val="never"/>
        <w:tblW w:w="441" w:type="dxa"/>
        <w:tblInd w:w="0" w:type="dxa"/>
        <w:tblCellMar>
          <w:top w:w="0" w:type="dxa"/>
          <w:left w:w="29" w:type="dxa"/>
          <w:bottom w:w="0" w:type="dxa"/>
          <w:right w:w="115" w:type="dxa"/>
        </w:tblCellMar>
        <w:tblLook w:val="04A0" w:firstRow="1" w:lastRow="0" w:firstColumn="1" w:lastColumn="0" w:noHBand="0" w:noVBand="1"/>
      </w:tblPr>
      <w:tblGrid>
        <w:gridCol w:w="441"/>
      </w:tblGrid>
      <w:tr w:rsidR="00607DB5">
        <w:trPr>
          <w:trHeight w:val="435"/>
        </w:trPr>
        <w:tc>
          <w:tcPr>
            <w:tcW w:w="441" w:type="dxa"/>
            <w:tcBorders>
              <w:top w:val="nil"/>
              <w:left w:val="nil"/>
              <w:bottom w:val="single" w:sz="2" w:space="0" w:color="000000"/>
              <w:right w:val="single" w:sz="2" w:space="0" w:color="000000"/>
            </w:tcBorders>
          </w:tcPr>
          <w:p w:rsidR="00607DB5" w:rsidRDefault="00387125">
            <w:pPr>
              <w:spacing w:after="0" w:line="259" w:lineRule="auto"/>
              <w:ind w:left="0" w:firstLine="0"/>
            </w:pPr>
            <w:r>
              <w:rPr>
                <w:sz w:val="16"/>
              </w:rPr>
              <w:t>síť</w:t>
            </w:r>
          </w:p>
        </w:tc>
      </w:tr>
    </w:tbl>
    <w:p w:rsidR="00607DB5" w:rsidRDefault="00387125">
      <w:pPr>
        <w:pStyle w:val="Nadpis1"/>
        <w:tabs>
          <w:tab w:val="center" w:pos="4937"/>
          <w:tab w:val="right" w:pos="10003"/>
        </w:tabs>
        <w:jc w:val="left"/>
      </w:pPr>
      <w:r>
        <w:rPr>
          <w:noProof/>
        </w:rPr>
        <w:drawing>
          <wp:inline distT="0" distB="0" distL="0" distR="0">
            <wp:extent cx="1755648" cy="685995"/>
            <wp:effectExtent l="0" t="0" r="0" b="0"/>
            <wp:docPr id="20229" name="Picture 20229"/>
            <wp:cNvGraphicFramePr/>
            <a:graphic xmlns:a="http://schemas.openxmlformats.org/drawingml/2006/main">
              <a:graphicData uri="http://schemas.openxmlformats.org/drawingml/2006/picture">
                <pic:pic xmlns:pic="http://schemas.openxmlformats.org/drawingml/2006/picture">
                  <pic:nvPicPr>
                    <pic:cNvPr id="20229" name="Picture 20229"/>
                    <pic:cNvPicPr/>
                  </pic:nvPicPr>
                  <pic:blipFill>
                    <a:blip r:embed="rId19"/>
                    <a:stretch>
                      <a:fillRect/>
                    </a:stretch>
                  </pic:blipFill>
                  <pic:spPr>
                    <a:xfrm>
                      <a:off x="0" y="0"/>
                      <a:ext cx="1755648" cy="685995"/>
                    </a:xfrm>
                    <a:prstGeom prst="rect">
                      <a:avLst/>
                    </a:prstGeom>
                  </pic:spPr>
                </pic:pic>
              </a:graphicData>
            </a:graphic>
          </wp:inline>
        </w:drawing>
      </w:r>
      <w:r>
        <w:tab/>
        <w:t xml:space="preserve">OO </w:t>
      </w:r>
      <w:r>
        <w:tab/>
      </w:r>
      <w:r>
        <w:rPr>
          <w:noProof/>
        </w:rPr>
        <w:drawing>
          <wp:inline distT="0" distB="0" distL="0" distR="0">
            <wp:extent cx="515112" cy="442085"/>
            <wp:effectExtent l="0" t="0" r="0" b="0"/>
            <wp:docPr id="9274" name="Picture 9274"/>
            <wp:cNvGraphicFramePr/>
            <a:graphic xmlns:a="http://schemas.openxmlformats.org/drawingml/2006/main">
              <a:graphicData uri="http://schemas.openxmlformats.org/drawingml/2006/picture">
                <pic:pic xmlns:pic="http://schemas.openxmlformats.org/drawingml/2006/picture">
                  <pic:nvPicPr>
                    <pic:cNvPr id="9274" name="Picture 9274"/>
                    <pic:cNvPicPr/>
                  </pic:nvPicPr>
                  <pic:blipFill>
                    <a:blip r:embed="rId20"/>
                    <a:stretch>
                      <a:fillRect/>
                    </a:stretch>
                  </pic:blipFill>
                  <pic:spPr>
                    <a:xfrm>
                      <a:off x="0" y="0"/>
                      <a:ext cx="515112" cy="442085"/>
                    </a:xfrm>
                    <a:prstGeom prst="rect">
                      <a:avLst/>
                    </a:prstGeom>
                  </pic:spPr>
                </pic:pic>
              </a:graphicData>
            </a:graphic>
          </wp:inline>
        </w:drawing>
      </w:r>
    </w:p>
    <w:p w:rsidR="00607DB5" w:rsidRDefault="00387125">
      <w:pPr>
        <w:spacing w:after="429" w:line="248" w:lineRule="auto"/>
        <w:ind w:left="2242" w:right="67" w:hanging="10"/>
        <w:jc w:val="center"/>
      </w:pPr>
      <w:r>
        <w:rPr>
          <w:sz w:val="16"/>
        </w:rPr>
        <w:t>Dodatek č. 1-285202302383_0 k Účastnické smlouvě ö. 1-275868916663_0 ID nabídky 0000353781</w:t>
      </w:r>
      <w:r>
        <w:rPr>
          <w:sz w:val="16"/>
        </w:rPr>
        <w:tab/>
      </w:r>
      <w:r>
        <w:rPr>
          <w:noProof/>
        </w:rPr>
        <w:drawing>
          <wp:inline distT="0" distB="0" distL="0" distR="0">
            <wp:extent cx="518160" cy="527455"/>
            <wp:effectExtent l="0" t="0" r="0" b="0"/>
            <wp:docPr id="11957" name="Picture 11957"/>
            <wp:cNvGraphicFramePr/>
            <a:graphic xmlns:a="http://schemas.openxmlformats.org/drawingml/2006/main">
              <a:graphicData uri="http://schemas.openxmlformats.org/drawingml/2006/picture">
                <pic:pic xmlns:pic="http://schemas.openxmlformats.org/drawingml/2006/picture">
                  <pic:nvPicPr>
                    <pic:cNvPr id="11957" name="Picture 11957"/>
                    <pic:cNvPicPr/>
                  </pic:nvPicPr>
                  <pic:blipFill>
                    <a:blip r:embed="rId21"/>
                    <a:stretch>
                      <a:fillRect/>
                    </a:stretch>
                  </pic:blipFill>
                  <pic:spPr>
                    <a:xfrm>
                      <a:off x="0" y="0"/>
                      <a:ext cx="518160" cy="527455"/>
                    </a:xfrm>
                    <a:prstGeom prst="rect">
                      <a:avLst/>
                    </a:prstGeom>
                  </pic:spPr>
                </pic:pic>
              </a:graphicData>
            </a:graphic>
          </wp:inline>
        </w:drawing>
      </w:r>
    </w:p>
    <w:tbl>
      <w:tblPr>
        <w:tblStyle w:val="TableGrid"/>
        <w:tblpPr w:vertAnchor="text" w:tblpX="34" w:tblpY="-1976"/>
        <w:tblOverlap w:val="never"/>
        <w:tblW w:w="9010" w:type="dxa"/>
        <w:tblInd w:w="0" w:type="dxa"/>
        <w:tblCellMar>
          <w:top w:w="29" w:type="dxa"/>
          <w:left w:w="0" w:type="dxa"/>
          <w:bottom w:w="3" w:type="dxa"/>
          <w:right w:w="0" w:type="dxa"/>
        </w:tblCellMar>
        <w:tblLook w:val="04A0" w:firstRow="1" w:lastRow="0" w:firstColumn="1" w:lastColumn="0" w:noHBand="0" w:noVBand="1"/>
      </w:tblPr>
      <w:tblGrid>
        <w:gridCol w:w="768"/>
        <w:gridCol w:w="3912"/>
        <w:gridCol w:w="4330"/>
      </w:tblGrid>
      <w:tr w:rsidR="00607DB5">
        <w:trPr>
          <w:trHeight w:val="558"/>
        </w:trPr>
        <w:tc>
          <w:tcPr>
            <w:tcW w:w="4680" w:type="dxa"/>
            <w:gridSpan w:val="2"/>
            <w:tcBorders>
              <w:top w:val="nil"/>
              <w:left w:val="nil"/>
              <w:bottom w:val="nil"/>
              <w:right w:val="nil"/>
            </w:tcBorders>
          </w:tcPr>
          <w:p w:rsidR="00607DB5" w:rsidRDefault="00387125">
            <w:pPr>
              <w:spacing w:after="0" w:line="259" w:lineRule="auto"/>
              <w:ind w:left="5" w:firstLine="0"/>
            </w:pPr>
            <w:r>
              <w:rPr>
                <w:sz w:val="20"/>
              </w:rPr>
              <w:lastRenderedPageBreak/>
              <w:t>Vodafone Czech Republic a.s.</w:t>
            </w:r>
          </w:p>
        </w:tc>
        <w:tc>
          <w:tcPr>
            <w:tcW w:w="4330" w:type="dxa"/>
            <w:tcBorders>
              <w:top w:val="nil"/>
              <w:left w:val="nil"/>
              <w:bottom w:val="nil"/>
              <w:right w:val="nil"/>
            </w:tcBorders>
          </w:tcPr>
          <w:p w:rsidR="00607DB5" w:rsidRDefault="00387125">
            <w:pPr>
              <w:spacing w:after="0" w:line="259" w:lineRule="auto"/>
              <w:ind w:left="48" w:firstLine="0"/>
              <w:jc w:val="both"/>
            </w:pPr>
            <w:r>
              <w:t xml:space="preserve">Česká lesnická akademie </w:t>
            </w:r>
            <w:proofErr w:type="gramStart"/>
            <w:r>
              <w:t>Trutnov - střední</w:t>
            </w:r>
            <w:proofErr w:type="gramEnd"/>
            <w:r>
              <w:t xml:space="preserve"> škola a vyšší odborná škola</w:t>
            </w:r>
          </w:p>
        </w:tc>
      </w:tr>
      <w:tr w:rsidR="00607DB5">
        <w:trPr>
          <w:trHeight w:val="456"/>
        </w:trPr>
        <w:tc>
          <w:tcPr>
            <w:tcW w:w="768" w:type="dxa"/>
            <w:tcBorders>
              <w:top w:val="nil"/>
              <w:left w:val="nil"/>
              <w:bottom w:val="nil"/>
              <w:right w:val="nil"/>
            </w:tcBorders>
          </w:tcPr>
          <w:p w:rsidR="00607DB5" w:rsidRDefault="00387125">
            <w:pPr>
              <w:spacing w:after="0" w:line="259" w:lineRule="auto"/>
              <w:ind w:left="10" w:firstLine="0"/>
            </w:pPr>
            <w:r>
              <w:t>Místo:</w:t>
            </w:r>
          </w:p>
        </w:tc>
        <w:tc>
          <w:tcPr>
            <w:tcW w:w="3912" w:type="dxa"/>
            <w:tcBorders>
              <w:top w:val="nil"/>
              <w:left w:val="nil"/>
              <w:bottom w:val="nil"/>
              <w:right w:val="nil"/>
            </w:tcBorders>
            <w:vAlign w:val="center"/>
          </w:tcPr>
          <w:p w:rsidR="00607DB5" w:rsidRDefault="00387125">
            <w:pPr>
              <w:spacing w:after="0" w:line="259" w:lineRule="auto"/>
              <w:ind w:left="504" w:firstLine="0"/>
            </w:pPr>
            <w:r>
              <w:rPr>
                <w:sz w:val="20"/>
              </w:rPr>
              <w:t>V Trutnov</w:t>
            </w:r>
          </w:p>
        </w:tc>
        <w:tc>
          <w:tcPr>
            <w:tcW w:w="4330" w:type="dxa"/>
            <w:tcBorders>
              <w:top w:val="nil"/>
              <w:left w:val="nil"/>
              <w:bottom w:val="nil"/>
              <w:right w:val="nil"/>
            </w:tcBorders>
            <w:vAlign w:val="center"/>
          </w:tcPr>
          <w:p w:rsidR="00607DB5" w:rsidRDefault="00387125">
            <w:pPr>
              <w:tabs>
                <w:tab w:val="center" w:pos="1834"/>
              </w:tabs>
              <w:spacing w:after="0" w:line="259" w:lineRule="auto"/>
              <w:ind w:left="0" w:firstLine="0"/>
            </w:pPr>
            <w:r>
              <w:t>Místo:</w:t>
            </w:r>
            <w:r>
              <w:tab/>
            </w:r>
            <w:r>
              <w:t>V Trutnov</w:t>
            </w:r>
          </w:p>
        </w:tc>
      </w:tr>
      <w:tr w:rsidR="00607DB5">
        <w:trPr>
          <w:trHeight w:val="428"/>
        </w:trPr>
        <w:tc>
          <w:tcPr>
            <w:tcW w:w="768" w:type="dxa"/>
            <w:tcBorders>
              <w:top w:val="nil"/>
              <w:left w:val="nil"/>
              <w:bottom w:val="nil"/>
              <w:right w:val="nil"/>
            </w:tcBorders>
            <w:vAlign w:val="center"/>
          </w:tcPr>
          <w:p w:rsidR="00607DB5" w:rsidRDefault="00387125">
            <w:pPr>
              <w:spacing w:after="0" w:line="259" w:lineRule="auto"/>
              <w:ind w:left="10" w:firstLine="0"/>
            </w:pPr>
            <w:r>
              <w:t>Datum:</w:t>
            </w:r>
          </w:p>
        </w:tc>
        <w:tc>
          <w:tcPr>
            <w:tcW w:w="3912" w:type="dxa"/>
            <w:tcBorders>
              <w:top w:val="nil"/>
              <w:left w:val="nil"/>
              <w:bottom w:val="nil"/>
              <w:right w:val="nil"/>
            </w:tcBorders>
            <w:vAlign w:val="center"/>
          </w:tcPr>
          <w:p w:rsidR="00607DB5" w:rsidRDefault="00387125">
            <w:pPr>
              <w:spacing w:after="0" w:line="259" w:lineRule="auto"/>
              <w:ind w:left="504" w:firstLine="0"/>
            </w:pPr>
            <w:r>
              <w:t>dne 3. 1. 2023</w:t>
            </w:r>
          </w:p>
        </w:tc>
        <w:tc>
          <w:tcPr>
            <w:tcW w:w="4330" w:type="dxa"/>
            <w:tcBorders>
              <w:top w:val="nil"/>
              <w:left w:val="nil"/>
              <w:bottom w:val="nil"/>
              <w:right w:val="nil"/>
            </w:tcBorders>
            <w:vAlign w:val="center"/>
          </w:tcPr>
          <w:p w:rsidR="00607DB5" w:rsidRDefault="00387125">
            <w:pPr>
              <w:tabs>
                <w:tab w:val="center" w:pos="1980"/>
              </w:tabs>
              <w:spacing w:after="0" w:line="259" w:lineRule="auto"/>
              <w:ind w:left="0" w:firstLine="0"/>
            </w:pPr>
            <w:r>
              <w:rPr>
                <w:sz w:val="26"/>
              </w:rPr>
              <w:t>Datum:</w:t>
            </w:r>
            <w:r>
              <w:rPr>
                <w:sz w:val="26"/>
              </w:rPr>
              <w:tab/>
              <w:t xml:space="preserve">dne </w:t>
            </w:r>
            <w:proofErr w:type="gramStart"/>
            <w:r>
              <w:rPr>
                <w:sz w:val="26"/>
              </w:rPr>
              <w:t>3 .</w:t>
            </w:r>
            <w:proofErr w:type="gramEnd"/>
            <w:r>
              <w:rPr>
                <w:sz w:val="26"/>
              </w:rPr>
              <w:t xml:space="preserve"> </w:t>
            </w:r>
            <w:proofErr w:type="gramStart"/>
            <w:r>
              <w:rPr>
                <w:sz w:val="26"/>
              </w:rPr>
              <w:t>1 .</w:t>
            </w:r>
            <w:proofErr w:type="gramEnd"/>
            <w:r>
              <w:rPr>
                <w:sz w:val="26"/>
              </w:rPr>
              <w:t xml:space="preserve"> 2 023</w:t>
            </w:r>
          </w:p>
        </w:tc>
      </w:tr>
      <w:tr w:rsidR="00607DB5">
        <w:trPr>
          <w:trHeight w:val="319"/>
        </w:trPr>
        <w:tc>
          <w:tcPr>
            <w:tcW w:w="768" w:type="dxa"/>
            <w:tcBorders>
              <w:top w:val="nil"/>
              <w:left w:val="nil"/>
              <w:bottom w:val="nil"/>
              <w:right w:val="nil"/>
            </w:tcBorders>
          </w:tcPr>
          <w:p w:rsidR="00607DB5" w:rsidRDefault="00387125">
            <w:pPr>
              <w:spacing w:after="0" w:line="259" w:lineRule="auto"/>
              <w:ind w:left="0" w:firstLine="0"/>
            </w:pPr>
            <w:r>
              <w:rPr>
                <w:sz w:val="20"/>
              </w:rPr>
              <w:t>Jméno:</w:t>
            </w:r>
          </w:p>
        </w:tc>
        <w:tc>
          <w:tcPr>
            <w:tcW w:w="3912" w:type="dxa"/>
            <w:tcBorders>
              <w:top w:val="nil"/>
              <w:left w:val="nil"/>
              <w:bottom w:val="nil"/>
              <w:right w:val="nil"/>
            </w:tcBorders>
          </w:tcPr>
          <w:p w:rsidR="00607DB5" w:rsidRDefault="00387125">
            <w:pPr>
              <w:spacing w:after="0" w:line="259" w:lineRule="auto"/>
              <w:ind w:left="509" w:firstLine="0"/>
            </w:pPr>
            <w:r>
              <w:t>Martin Horčička</w:t>
            </w:r>
          </w:p>
        </w:tc>
        <w:tc>
          <w:tcPr>
            <w:tcW w:w="4330" w:type="dxa"/>
            <w:tcBorders>
              <w:top w:val="nil"/>
              <w:left w:val="nil"/>
              <w:bottom w:val="nil"/>
              <w:right w:val="nil"/>
            </w:tcBorders>
            <w:vAlign w:val="bottom"/>
          </w:tcPr>
          <w:p w:rsidR="00607DB5" w:rsidRDefault="00387125">
            <w:pPr>
              <w:tabs>
                <w:tab w:val="center" w:pos="2172"/>
              </w:tabs>
              <w:spacing w:after="0" w:line="259" w:lineRule="auto"/>
              <w:ind w:left="0" w:firstLine="0"/>
            </w:pPr>
            <w:r>
              <w:t>Jméno:</w:t>
            </w:r>
            <w:r>
              <w:tab/>
              <w:t>Ing. Miloš Pochobradský</w:t>
            </w:r>
          </w:p>
        </w:tc>
      </w:tr>
    </w:tbl>
    <w:p w:rsidR="00607DB5" w:rsidRDefault="00387125">
      <w:pPr>
        <w:spacing w:before="214" w:after="308" w:line="265" w:lineRule="auto"/>
        <w:ind w:left="29" w:right="840" w:hanging="10"/>
      </w:pPr>
      <w:r>
        <w:rPr>
          <w:sz w:val="20"/>
        </w:rPr>
        <w:t>Pozice:</w:t>
      </w:r>
      <w:r w:rsidR="003A65B2">
        <w:rPr>
          <w:sz w:val="20"/>
        </w:rPr>
        <w:tab/>
      </w:r>
      <w:r w:rsidR="003A65B2">
        <w:rPr>
          <w:sz w:val="20"/>
        </w:rPr>
        <w:tab/>
      </w:r>
      <w:r w:rsidR="003A65B2">
        <w:rPr>
          <w:sz w:val="20"/>
        </w:rPr>
        <w:tab/>
      </w:r>
      <w:r w:rsidR="003A65B2">
        <w:rPr>
          <w:sz w:val="20"/>
        </w:rPr>
        <w:tab/>
      </w:r>
      <w:r w:rsidR="003A65B2">
        <w:rPr>
          <w:sz w:val="20"/>
        </w:rPr>
        <w:tab/>
      </w:r>
      <w:r w:rsidR="003A65B2">
        <w:rPr>
          <w:sz w:val="20"/>
        </w:rPr>
        <w:tab/>
      </w:r>
      <w:r>
        <w:rPr>
          <w:sz w:val="20"/>
        </w:rPr>
        <w:t>Pozice:</w:t>
      </w:r>
    </w:p>
    <w:p w:rsidR="00607DB5" w:rsidRDefault="00387125">
      <w:pPr>
        <w:spacing w:after="701" w:line="265" w:lineRule="auto"/>
        <w:ind w:left="29" w:right="840" w:hanging="10"/>
      </w:pPr>
      <w:r>
        <w:rPr>
          <w:sz w:val="20"/>
        </w:rPr>
        <w:t>Podpis:</w:t>
      </w:r>
      <w:r w:rsidR="003A65B2">
        <w:rPr>
          <w:sz w:val="20"/>
        </w:rPr>
        <w:tab/>
      </w:r>
      <w:r w:rsidR="003A65B2">
        <w:rPr>
          <w:sz w:val="20"/>
        </w:rPr>
        <w:tab/>
      </w:r>
      <w:r w:rsidR="003A65B2">
        <w:rPr>
          <w:sz w:val="20"/>
        </w:rPr>
        <w:tab/>
      </w:r>
      <w:r w:rsidR="003A65B2">
        <w:rPr>
          <w:sz w:val="20"/>
        </w:rPr>
        <w:tab/>
      </w:r>
      <w:r w:rsidR="003A65B2">
        <w:rPr>
          <w:sz w:val="20"/>
        </w:rPr>
        <w:tab/>
      </w:r>
      <w:r w:rsidR="003A65B2">
        <w:rPr>
          <w:sz w:val="20"/>
        </w:rPr>
        <w:tab/>
      </w:r>
      <w:bookmarkStart w:id="0" w:name="_GoBack"/>
      <w:bookmarkEnd w:id="0"/>
      <w:r>
        <w:rPr>
          <w:sz w:val="20"/>
        </w:rPr>
        <w:t>Podpis:</w:t>
      </w:r>
    </w:p>
    <w:p w:rsidR="00607DB5" w:rsidRDefault="00387125">
      <w:pPr>
        <w:spacing w:after="8908" w:line="259" w:lineRule="auto"/>
        <w:ind w:left="67" w:firstLine="0"/>
        <w:jc w:val="center"/>
      </w:pPr>
      <w:r>
        <w:rPr>
          <w:sz w:val="20"/>
        </w:rPr>
        <w:t>R</w:t>
      </w:r>
      <w:r>
        <w:rPr>
          <w:sz w:val="20"/>
        </w:rPr>
        <w:t>azítko:</w:t>
      </w:r>
    </w:p>
    <w:p w:rsidR="00607DB5" w:rsidRDefault="00387125">
      <w:pPr>
        <w:tabs>
          <w:tab w:val="center" w:pos="4793"/>
          <w:tab w:val="right" w:pos="10003"/>
        </w:tabs>
        <w:spacing w:after="8" w:line="248" w:lineRule="auto"/>
        <w:ind w:left="0" w:firstLine="0"/>
      </w:pPr>
      <w:r>
        <w:rPr>
          <w:noProof/>
        </w:rPr>
        <w:drawing>
          <wp:anchor distT="0" distB="0" distL="114300" distR="114300" simplePos="0" relativeHeight="251661312" behindDoc="0" locked="0" layoutInCell="1" allowOverlap="0">
            <wp:simplePos x="0" y="0"/>
            <wp:positionH relativeFrom="column">
              <wp:posOffset>-320039</wp:posOffset>
            </wp:positionH>
            <wp:positionV relativeFrom="paragraph">
              <wp:posOffset>109760</wp:posOffset>
            </wp:positionV>
            <wp:extent cx="1764792" cy="673800"/>
            <wp:effectExtent l="0" t="0" r="0" b="0"/>
            <wp:wrapSquare wrapText="bothSides"/>
            <wp:docPr id="20233" name="Picture 20233"/>
            <wp:cNvGraphicFramePr/>
            <a:graphic xmlns:a="http://schemas.openxmlformats.org/drawingml/2006/main">
              <a:graphicData uri="http://schemas.openxmlformats.org/drawingml/2006/picture">
                <pic:pic xmlns:pic="http://schemas.openxmlformats.org/drawingml/2006/picture">
                  <pic:nvPicPr>
                    <pic:cNvPr id="20233" name="Picture 20233"/>
                    <pic:cNvPicPr/>
                  </pic:nvPicPr>
                  <pic:blipFill>
                    <a:blip r:embed="rId22"/>
                    <a:stretch>
                      <a:fillRect/>
                    </a:stretch>
                  </pic:blipFill>
                  <pic:spPr>
                    <a:xfrm>
                      <a:off x="0" y="0"/>
                      <a:ext cx="1764792" cy="673800"/>
                    </a:xfrm>
                    <a:prstGeom prst="rect">
                      <a:avLst/>
                    </a:prstGeom>
                  </pic:spPr>
                </pic:pic>
              </a:graphicData>
            </a:graphic>
          </wp:anchor>
        </w:drawing>
      </w:r>
      <w:r>
        <w:rPr>
          <w:sz w:val="16"/>
        </w:rPr>
        <w:tab/>
        <w:t xml:space="preserve">00 </w:t>
      </w:r>
      <w:r>
        <w:rPr>
          <w:sz w:val="16"/>
        </w:rPr>
        <w:tab/>
      </w:r>
      <w:r>
        <w:rPr>
          <w:noProof/>
        </w:rPr>
        <w:drawing>
          <wp:inline distT="0" distB="0" distL="0" distR="0">
            <wp:extent cx="515111" cy="463429"/>
            <wp:effectExtent l="0" t="0" r="0" b="0"/>
            <wp:docPr id="11955" name="Picture 11955"/>
            <wp:cNvGraphicFramePr/>
            <a:graphic xmlns:a="http://schemas.openxmlformats.org/drawingml/2006/main">
              <a:graphicData uri="http://schemas.openxmlformats.org/drawingml/2006/picture">
                <pic:pic xmlns:pic="http://schemas.openxmlformats.org/drawingml/2006/picture">
                  <pic:nvPicPr>
                    <pic:cNvPr id="11955" name="Picture 11955"/>
                    <pic:cNvPicPr/>
                  </pic:nvPicPr>
                  <pic:blipFill>
                    <a:blip r:embed="rId23"/>
                    <a:stretch>
                      <a:fillRect/>
                    </a:stretch>
                  </pic:blipFill>
                  <pic:spPr>
                    <a:xfrm>
                      <a:off x="0" y="0"/>
                      <a:ext cx="515111" cy="463429"/>
                    </a:xfrm>
                    <a:prstGeom prst="rect">
                      <a:avLst/>
                    </a:prstGeom>
                  </pic:spPr>
                </pic:pic>
              </a:graphicData>
            </a:graphic>
          </wp:inline>
        </w:drawing>
      </w:r>
    </w:p>
    <w:p w:rsidR="00607DB5" w:rsidRDefault="00387125" w:rsidP="003A65B2">
      <w:pPr>
        <w:pBdr>
          <w:bottom w:val="single" w:sz="2" w:space="0" w:color="000000"/>
          <w:right w:val="single" w:sz="3" w:space="0" w:color="000000"/>
        </w:pBdr>
        <w:spacing w:after="0" w:line="259" w:lineRule="auto"/>
        <w:ind w:left="0" w:firstLine="0"/>
        <w:jc w:val="right"/>
        <w:sectPr w:rsidR="00607DB5">
          <w:footerReference w:type="even" r:id="rId24"/>
          <w:footerReference w:type="default" r:id="rId25"/>
          <w:footerReference w:type="first" r:id="rId26"/>
          <w:pgSz w:w="11904" w:h="16834"/>
          <w:pgMar w:top="742" w:right="878" w:bottom="533" w:left="1022" w:header="708" w:footer="747" w:gutter="0"/>
          <w:cols w:space="708"/>
        </w:sectPr>
      </w:pPr>
      <w:r>
        <w:rPr>
          <w:sz w:val="16"/>
        </w:rPr>
        <w:t>s</w:t>
      </w:r>
      <w:r>
        <w:rPr>
          <w:sz w:val="16"/>
        </w:rPr>
        <w:t>í</w:t>
      </w:r>
      <w:r>
        <w:rPr>
          <w:sz w:val="16"/>
        </w:rPr>
        <w:t>ť</w:t>
      </w:r>
    </w:p>
    <w:p w:rsidR="00607DB5" w:rsidRDefault="00607DB5">
      <w:pPr>
        <w:spacing w:after="0" w:line="259" w:lineRule="auto"/>
        <w:ind w:left="-1440" w:right="10464" w:firstLine="0"/>
      </w:pPr>
    </w:p>
    <w:sectPr w:rsidR="00607DB5">
      <w:footerReference w:type="even" r:id="rId27"/>
      <w:footerReference w:type="default" r:id="rId28"/>
      <w:footerReference w:type="first" r:id="rId29"/>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87125">
      <w:pPr>
        <w:spacing w:after="0" w:line="240" w:lineRule="auto"/>
      </w:pPr>
      <w:r>
        <w:separator/>
      </w:r>
    </w:p>
  </w:endnote>
  <w:endnote w:type="continuationSeparator" w:id="0">
    <w:p w:rsidR="00000000" w:rsidRDefault="0038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387125">
    <w:pPr>
      <w:spacing w:after="160" w:line="259" w:lineRule="auto"/>
      <w:ind w:left="0" w:right="782" w:firstLine="0"/>
      <w:jc w:val="right"/>
    </w:pP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/3</w:t>
    </w:r>
  </w:p>
  <w:p w:rsidR="00607DB5" w:rsidRDefault="00387125">
    <w:pPr>
      <w:spacing w:after="24" w:line="222" w:lineRule="auto"/>
      <w:ind w:left="3423" w:right="2275" w:hanging="5"/>
    </w:pPr>
    <w:r>
      <w:t>Vodafone Czech Republic a.s.</w:t>
    </w:r>
    <w:r>
      <w:tab/>
    </w:r>
    <w:r>
      <w:rPr>
        <w:sz w:val="16"/>
      </w:rPr>
      <w:t xml:space="preserve">Vodafone </w:t>
    </w:r>
    <w:r>
      <w:t xml:space="preserve">péče o zákazníky: 800 77 </w:t>
    </w:r>
    <w:r>
      <w:tab/>
      <w:t>77 náměstí Junkových 2</w:t>
    </w:r>
    <w:r>
      <w:tab/>
    </w:r>
    <w:r>
      <w:rPr>
        <w:sz w:val="20"/>
      </w:rPr>
      <w:t xml:space="preserve">IČO: </w:t>
    </w:r>
    <w:r>
      <w:t xml:space="preserve">25788001, </w:t>
    </w:r>
    <w:r>
      <w:rPr>
        <w:sz w:val="20"/>
      </w:rPr>
      <w:t>DIČ:</w:t>
    </w:r>
  </w:p>
  <w:p w:rsidR="00607DB5" w:rsidRDefault="00387125">
    <w:pPr>
      <w:tabs>
        <w:tab w:val="center" w:pos="3857"/>
        <w:tab w:val="center" w:pos="9497"/>
      </w:tabs>
      <w:spacing w:after="0" w:line="259" w:lineRule="auto"/>
      <w:ind w:left="0" w:firstLine="0"/>
    </w:pPr>
    <w:r>
      <w:rPr>
        <w:sz w:val="22"/>
      </w:rPr>
      <w:tab/>
    </w:r>
    <w:r>
      <w:t>CZ25788001</w:t>
    </w:r>
    <w:r>
      <w:tab/>
    </w:r>
    <w:r>
      <w:rPr>
        <w:sz w:val="14"/>
      </w:rPr>
      <w:t xml:space="preserve">První zelená </w:t>
    </w:r>
  </w:p>
  <w:p w:rsidR="00607DB5" w:rsidRDefault="00387125">
    <w:pPr>
      <w:spacing w:after="0" w:line="216" w:lineRule="auto"/>
      <w:ind w:left="-48" w:right="3350" w:firstLine="3485"/>
      <w:jc w:val="both"/>
    </w:pPr>
    <w:r>
      <w:t xml:space="preserve">155 </w:t>
    </w:r>
    <w:r>
      <w:rPr>
        <w:sz w:val="14"/>
      </w:rPr>
      <w:t xml:space="preserve">OO </w:t>
    </w:r>
    <w:r>
      <w:t xml:space="preserve">Praha </w:t>
    </w:r>
    <w:r>
      <w:rPr>
        <w:sz w:val="20"/>
      </w:rPr>
      <w:t xml:space="preserve">5 </w:t>
    </w:r>
    <w:r>
      <w:t xml:space="preserve">vodafone.cz </w:t>
    </w:r>
    <w:proofErr w:type="spellStart"/>
    <w:r>
      <w:rPr>
        <w:sz w:val="14"/>
      </w:rPr>
      <w:t>eral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387125">
    <w:pPr>
      <w:spacing w:after="160" w:line="259" w:lineRule="auto"/>
      <w:ind w:left="0" w:right="782" w:firstLine="0"/>
      <w:jc w:val="right"/>
    </w:pP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/3</w:t>
    </w:r>
  </w:p>
  <w:p w:rsidR="00607DB5" w:rsidRDefault="00387125">
    <w:pPr>
      <w:spacing w:after="24" w:line="222" w:lineRule="auto"/>
      <w:ind w:left="3423" w:right="2275" w:hanging="5"/>
    </w:pPr>
    <w:r>
      <w:t>Vodafone Czech Republic a.s.</w:t>
    </w:r>
    <w:r>
      <w:tab/>
    </w:r>
    <w:r>
      <w:rPr>
        <w:sz w:val="16"/>
      </w:rPr>
      <w:t>Vod</w:t>
    </w:r>
    <w:r>
      <w:rPr>
        <w:sz w:val="16"/>
      </w:rPr>
      <w:t xml:space="preserve">afone </w:t>
    </w:r>
    <w:r>
      <w:t xml:space="preserve">péče o zákazníky: 800 77 </w:t>
    </w:r>
    <w:r>
      <w:tab/>
      <w:t>77 náměstí Junkových 2</w:t>
    </w:r>
    <w:r>
      <w:tab/>
    </w:r>
    <w:r>
      <w:rPr>
        <w:sz w:val="20"/>
      </w:rPr>
      <w:t xml:space="preserve">IČO: </w:t>
    </w:r>
    <w:r>
      <w:t xml:space="preserve">25788001, </w:t>
    </w:r>
    <w:r>
      <w:rPr>
        <w:sz w:val="20"/>
      </w:rPr>
      <w:t>DIČ:</w:t>
    </w:r>
  </w:p>
  <w:p w:rsidR="00607DB5" w:rsidRDefault="00387125">
    <w:pPr>
      <w:tabs>
        <w:tab w:val="center" w:pos="3857"/>
        <w:tab w:val="center" w:pos="9497"/>
      </w:tabs>
      <w:spacing w:after="0" w:line="259" w:lineRule="auto"/>
      <w:ind w:left="0" w:firstLine="0"/>
    </w:pPr>
    <w:r>
      <w:rPr>
        <w:sz w:val="22"/>
      </w:rPr>
      <w:tab/>
    </w:r>
    <w:r>
      <w:t>CZ25788001</w:t>
    </w:r>
    <w:r>
      <w:tab/>
    </w:r>
    <w:r>
      <w:rPr>
        <w:sz w:val="14"/>
      </w:rPr>
      <w:t xml:space="preserve">První zelená </w:t>
    </w:r>
  </w:p>
  <w:p w:rsidR="00607DB5" w:rsidRDefault="00387125">
    <w:pPr>
      <w:spacing w:after="0" w:line="216" w:lineRule="auto"/>
      <w:ind w:left="-48" w:right="3350" w:firstLine="3485"/>
      <w:jc w:val="both"/>
    </w:pPr>
    <w:r>
      <w:t xml:space="preserve">155 </w:t>
    </w:r>
    <w:r>
      <w:rPr>
        <w:sz w:val="14"/>
      </w:rPr>
      <w:t xml:space="preserve">OO </w:t>
    </w:r>
    <w:r>
      <w:t xml:space="preserve">Praha </w:t>
    </w:r>
    <w:r>
      <w:rPr>
        <w:sz w:val="20"/>
      </w:rPr>
      <w:t xml:space="preserve">5 </w:t>
    </w:r>
    <w:r>
      <w:t xml:space="preserve">vodafone.cz </w:t>
    </w:r>
    <w:proofErr w:type="spellStart"/>
    <w:r>
      <w:rPr>
        <w:sz w:val="14"/>
      </w:rPr>
      <w:t>eral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387125">
    <w:pPr>
      <w:spacing w:after="160" w:line="259" w:lineRule="auto"/>
      <w:ind w:left="0" w:right="782" w:firstLine="0"/>
      <w:jc w:val="right"/>
    </w:pP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rFonts w:ascii="Calibri" w:eastAsia="Calibri" w:hAnsi="Calibri" w:cs="Calibri"/>
        <w:sz w:val="16"/>
      </w:rPr>
      <w:t>/3</w:t>
    </w:r>
  </w:p>
  <w:p w:rsidR="00607DB5" w:rsidRDefault="00387125">
    <w:pPr>
      <w:spacing w:after="24" w:line="222" w:lineRule="auto"/>
      <w:ind w:left="3423" w:right="2275" w:hanging="5"/>
    </w:pPr>
    <w:r>
      <w:t>Vodafone Czech Republic a.s.</w:t>
    </w:r>
    <w:r>
      <w:tab/>
    </w:r>
    <w:r>
      <w:rPr>
        <w:sz w:val="16"/>
      </w:rPr>
      <w:t xml:space="preserve">Vodafone </w:t>
    </w:r>
    <w:r>
      <w:t xml:space="preserve">péče o zákazníky: 800 77 </w:t>
    </w:r>
    <w:r>
      <w:tab/>
      <w:t>77 náměstí Junkových 2</w:t>
    </w:r>
    <w:r>
      <w:tab/>
    </w:r>
    <w:r>
      <w:rPr>
        <w:sz w:val="20"/>
      </w:rPr>
      <w:t xml:space="preserve">IČO: </w:t>
    </w:r>
    <w:r>
      <w:t xml:space="preserve">25788001, </w:t>
    </w:r>
    <w:r>
      <w:rPr>
        <w:sz w:val="20"/>
      </w:rPr>
      <w:t>DIČ:</w:t>
    </w:r>
  </w:p>
  <w:p w:rsidR="00607DB5" w:rsidRDefault="00387125">
    <w:pPr>
      <w:tabs>
        <w:tab w:val="center" w:pos="3857"/>
        <w:tab w:val="center" w:pos="9497"/>
      </w:tabs>
      <w:spacing w:after="0" w:line="259" w:lineRule="auto"/>
      <w:ind w:left="0" w:firstLine="0"/>
    </w:pPr>
    <w:r>
      <w:rPr>
        <w:sz w:val="22"/>
      </w:rPr>
      <w:tab/>
    </w:r>
    <w:r>
      <w:t>CZ25788001</w:t>
    </w:r>
    <w:r>
      <w:tab/>
    </w:r>
    <w:r>
      <w:rPr>
        <w:sz w:val="14"/>
      </w:rPr>
      <w:t xml:space="preserve">První zelená </w:t>
    </w:r>
  </w:p>
  <w:p w:rsidR="00607DB5" w:rsidRDefault="00387125">
    <w:pPr>
      <w:spacing w:after="0" w:line="216" w:lineRule="auto"/>
      <w:ind w:left="-48" w:right="3350" w:firstLine="3485"/>
      <w:jc w:val="both"/>
    </w:pPr>
    <w:r>
      <w:t xml:space="preserve">155 </w:t>
    </w:r>
    <w:r>
      <w:rPr>
        <w:sz w:val="14"/>
      </w:rPr>
      <w:t xml:space="preserve">OO </w:t>
    </w:r>
    <w:r>
      <w:t xml:space="preserve">Praha </w:t>
    </w:r>
    <w:r>
      <w:rPr>
        <w:sz w:val="20"/>
      </w:rPr>
      <w:t xml:space="preserve">5 </w:t>
    </w:r>
    <w:r>
      <w:t xml:space="preserve">vodafone.cz </w:t>
    </w:r>
    <w:proofErr w:type="spellStart"/>
    <w:r>
      <w:rPr>
        <w:sz w:val="14"/>
      </w:rPr>
      <w:t>eral</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607DB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607DB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DB5" w:rsidRDefault="00607DB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87125">
      <w:pPr>
        <w:spacing w:after="0" w:line="240" w:lineRule="auto"/>
      </w:pPr>
      <w:r>
        <w:separator/>
      </w:r>
    </w:p>
  </w:footnote>
  <w:footnote w:type="continuationSeparator" w:id="0">
    <w:p w:rsidR="00000000" w:rsidRDefault="00387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54E"/>
    <w:multiLevelType w:val="multilevel"/>
    <w:tmpl w:val="F370CDB4"/>
    <w:lvl w:ilvl="0">
      <w:start w:val="3"/>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6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4293E60"/>
    <w:multiLevelType w:val="multilevel"/>
    <w:tmpl w:val="3AA4EFB2"/>
    <w:lvl w:ilvl="0">
      <w:start w:val="3"/>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50247DF"/>
    <w:multiLevelType w:val="hybridMultilevel"/>
    <w:tmpl w:val="E04672AC"/>
    <w:lvl w:ilvl="0" w:tplc="ADEA7D1C">
      <w:start w:val="2"/>
      <w:numFmt w:val="decimal"/>
      <w:lvlText w:val="%1."/>
      <w:lvlJc w:val="left"/>
      <w:pPr>
        <w:ind w:left="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B66500">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6A99EC">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4061FA">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569362">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9A1D0A">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3AE7EA">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008E2E">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D1C27B4">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1zI7RmdQLwnk9nv+gYMsQpHtST3eYHkcIXWIA2V3X12a4YMk/awzPNvI2jXEcQ/gYXUv6iaCgv8IB71N9nOAwA==" w:salt="UZhWM0Wc9g+yNVrSAn6KA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B5"/>
    <w:rsid w:val="00387125"/>
    <w:rsid w:val="003A65B2"/>
    <w:rsid w:val="00607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AE14"/>
  <w15:docId w15:val="{0774F596-930F-4D1C-B804-401AA631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97" w:line="250" w:lineRule="auto"/>
      <w:ind w:left="53" w:firstLine="4"/>
    </w:pPr>
    <w:rPr>
      <w:rFonts w:ascii="Courier New" w:eastAsia="Courier New" w:hAnsi="Courier New" w:cs="Courier New"/>
      <w:color w:val="000000"/>
      <w:sz w:val="18"/>
    </w:rPr>
  </w:style>
  <w:style w:type="paragraph" w:styleId="Nadpis1">
    <w:name w:val="heading 1"/>
    <w:next w:val="Normln"/>
    <w:link w:val="Nadpis1Char"/>
    <w:uiPriority w:val="9"/>
    <w:qFormat/>
    <w:pPr>
      <w:keepNext/>
      <w:keepLines/>
      <w:spacing w:after="0"/>
      <w:ind w:left="-355" w:right="-125"/>
      <w:jc w:val="center"/>
      <w:outlineLvl w:val="0"/>
    </w:pPr>
    <w:rPr>
      <w:rFonts w:ascii="Courier New" w:eastAsia="Courier New" w:hAnsi="Courier New" w:cs="Courier New"/>
      <w:color w:val="000000"/>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387125"/>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87125"/>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7144</Characters>
  <Application>Microsoft Office Word</Application>
  <DocSecurity>8</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Ceska lesnicka akademie Trutnov</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3</cp:revision>
  <cp:lastPrinted>2023-01-04T09:24:00Z</cp:lastPrinted>
  <dcterms:created xsi:type="dcterms:W3CDTF">2023-01-04T09:23:00Z</dcterms:created>
  <dcterms:modified xsi:type="dcterms:W3CDTF">2023-01-04T09:24:00Z</dcterms:modified>
</cp:coreProperties>
</file>