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339"/>
        <w:gridCol w:w="7930"/>
      </w:tblGrid>
      <w:tr>
        <w:trPr>
          <w:trHeight w:val="3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S M L O U V A O D Í L O</w:t>
            </w:r>
          </w:p>
        </w:tc>
      </w:tr>
    </w:tbl>
    <w:p>
      <w:pPr>
        <w:widowControl w:val="0"/>
        <w:spacing w:after="259" w:line="1" w:lineRule="exact"/>
      </w:pP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10"/>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Číslo smlouvy zhotovitele:</w:t>
      </w:r>
    </w:p>
    <w:tbl>
      <w:tblPr>
        <w:tblOverlap w:val="never"/>
        <w:jc w:val="center"/>
        <w:tblLayout w:type="fixed"/>
      </w:tblPr>
      <w:tblGrid>
        <w:gridCol w:w="1339"/>
        <w:gridCol w:w="7930"/>
      </w:tblGrid>
      <w:tr>
        <w:trPr>
          <w:trHeight w:val="68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120" w:line="240" w:lineRule="auto"/>
              <w:ind w:left="2880" w:right="0" w:firstLine="0"/>
              <w:jc w:val="left"/>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0" w:line="240" w:lineRule="auto"/>
              <w:ind w:left="2580" w:right="0" w:firstLine="0"/>
              <w:jc w:val="left"/>
            </w:pPr>
            <w:r>
              <w:rPr>
                <w:b/>
                <w:bCs/>
                <w:color w:val="000000"/>
                <w:spacing w:val="0"/>
                <w:w w:val="100"/>
                <w:position w:val="0"/>
                <w:shd w:val="clear" w:color="auto" w:fill="auto"/>
                <w:lang w:val="cs-CZ" w:eastAsia="cs-CZ" w:bidi="cs-CZ"/>
              </w:rPr>
              <w:t>Smluvní strany</w:t>
            </w:r>
          </w:p>
        </w:tc>
      </w:tr>
      <w:tr>
        <w:trPr>
          <w:trHeight w:val="35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Ing. Radovanem Necidem, ředitelem organizace</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widowControl w:val="0"/>
        <w:spacing w:after="99" w:line="1" w:lineRule="exact"/>
      </w:pPr>
    </w:p>
    <w:tbl>
      <w:tblPr>
        <w:tblOverlap w:val="never"/>
        <w:jc w:val="center"/>
        <w:tblLayout w:type="fixed"/>
      </w:tblPr>
      <w:tblGrid>
        <w:gridCol w:w="1339"/>
        <w:gridCol w:w="7930"/>
      </w:tblGrid>
      <w:tr>
        <w:trPr>
          <w:trHeight w:val="29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33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00090450</w:t>
            </w:r>
          </w:p>
        </w:tc>
      </w:tr>
      <w:tr>
        <w:trPr>
          <w:trHeight w:val="34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10"/>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center"/>
        <w:tblLayout w:type="fixed"/>
      </w:tblPr>
      <w:tblGrid>
        <w:gridCol w:w="1339"/>
        <w:gridCol w:w="7930"/>
      </w:tblGrid>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Ing. Julius Janeba</w:t>
            </w:r>
          </w:p>
        </w:tc>
      </w:tr>
      <w:tr>
        <w:trPr>
          <w:trHeight w:val="3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Rokytno 57, 592 31 Nové Město na Moravě</w:t>
            </w:r>
          </w:p>
        </w:tc>
      </w:tr>
      <w:tr>
        <w:trPr>
          <w:trHeight w:val="31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cs-CZ" w:eastAsia="cs-CZ" w:bidi="cs-CZ"/>
              </w:rPr>
              <w:t>Ing. Juliem Janebou</w:t>
            </w:r>
          </w:p>
        </w:tc>
      </w:tr>
    </w:tbl>
    <w:p>
      <w:pPr>
        <w:widowControl w:val="0"/>
        <w:spacing w:after="99" w:line="1" w:lineRule="exact"/>
      </w:pPr>
    </w:p>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Osoba pověřená jednat jménem zhotovitele ve věcech smluvních:</w:t>
      </w:r>
    </w:p>
    <w:tbl>
      <w:tblPr>
        <w:tblOverlap w:val="never"/>
        <w:jc w:val="center"/>
        <w:tblLayout w:type="fixed"/>
      </w:tblPr>
      <w:tblGrid>
        <w:gridCol w:w="1339"/>
        <w:gridCol w:w="7930"/>
      </w:tblGrid>
      <w:tr>
        <w:trPr>
          <w:trHeight w:val="40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09648593</w:t>
            </w:r>
          </w:p>
        </w:tc>
      </w:tr>
    </w:tbl>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p>
      <w:pPr>
        <w:widowControl w:val="0"/>
        <w:spacing w:after="99" w:line="1" w:lineRule="exact"/>
      </w:pP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10"/>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 xml:space="preserve">Vypracování projektové dokumentace II/354 křiž. II/602 - Ostrov nad Oslavou, úsek II/354 křiž. II/602 - Netín“, </w:t>
      </w:r>
      <w:r>
        <w:rPr>
          <w:color w:val="000000"/>
          <w:spacing w:val="0"/>
          <w:w w:val="100"/>
          <w:position w:val="0"/>
          <w:shd w:val="clear" w:color="auto" w:fill="auto"/>
          <w:lang w:val="cs-CZ" w:eastAsia="cs-CZ" w:bidi="cs-CZ"/>
        </w:rPr>
        <w:t>uzavírají níže uvedeného dne, měsíce a roku tuto Smlouvu o dílo (dále jen „smlouva“).</w:t>
      </w:r>
    </w:p>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Článek 2</w:t>
      </w:r>
      <w:bookmarkEnd w:id="0"/>
      <w:bookmarkEnd w:id="1"/>
    </w:p>
    <w:p>
      <w:pPr>
        <w:pStyle w:val="Style1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10"/>
        <w:keepNext w:val="0"/>
        <w:keepLines w:val="0"/>
        <w:widowControl w:val="0"/>
        <w:numPr>
          <w:ilvl w:val="0"/>
          <w:numId w:val="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w:t>
      </w:r>
      <w:r>
        <w:rPr>
          <w:b/>
          <w:bCs/>
          <w:color w:val="000000"/>
          <w:spacing w:val="0"/>
          <w:w w:val="100"/>
          <w:position w:val="0"/>
          <w:shd w:val="clear" w:color="auto" w:fill="auto"/>
          <w:lang w:val="cs-CZ" w:eastAsia="cs-CZ" w:bidi="cs-CZ"/>
        </w:rPr>
        <w:t xml:space="preserve">vypracování samostatné projektové dokumentace (PD)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 xml:space="preserve">II/354 křiž. II/602 - Ostrov nad Oslavou, úsek II/354 křiž. II/602 - Netín, </w:t>
      </w:r>
      <w:r>
        <w:rPr>
          <w:color w:val="000000"/>
          <w:spacing w:val="0"/>
          <w:w w:val="100"/>
          <w:position w:val="0"/>
          <w:shd w:val="clear" w:color="auto" w:fill="auto"/>
          <w:lang w:val="cs-CZ" w:eastAsia="cs-CZ" w:bidi="cs-CZ"/>
        </w:rPr>
        <w:t xml:space="preserve">a to v souladu s nabídkou zhotovitele podanou v předchozím poptávkovém řízení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mají přednost před ujednáními v této smlouvě.</w:t>
      </w:r>
    </w:p>
    <w:p>
      <w:pPr>
        <w:pStyle w:val="Style10"/>
        <w:keepNext w:val="0"/>
        <w:keepLines w:val="0"/>
        <w:widowControl w:val="0"/>
        <w:numPr>
          <w:ilvl w:val="0"/>
          <w:numId w:val="1"/>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0"/>
        <w:keepNext w:val="0"/>
        <w:keepLines w:val="0"/>
        <w:widowControl w:val="0"/>
        <w:numPr>
          <w:ilvl w:val="0"/>
          <w:numId w:val="1"/>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(Technické podmínky), která je součástí této smlouvy.</w:t>
      </w:r>
    </w:p>
    <w:p>
      <w:pPr>
        <w:pStyle w:val="Style10"/>
        <w:keepNext w:val="0"/>
        <w:keepLines w:val="0"/>
        <w:widowControl w:val="0"/>
        <w:numPr>
          <w:ilvl w:val="0"/>
          <w:numId w:val="1"/>
        </w:numPr>
        <w:shd w:val="clear" w:color="auto" w:fill="auto"/>
        <w:tabs>
          <w:tab w:pos="591" w:val="left"/>
        </w:tabs>
        <w:bidi w:val="0"/>
        <w:spacing w:before="0" w:after="460" w:line="240" w:lineRule="auto"/>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Doba plnění</w:t>
      </w:r>
      <w:bookmarkEnd w:id="4"/>
      <w:bookmarkEnd w:id="5"/>
    </w:p>
    <w:p>
      <w:pPr>
        <w:pStyle w:val="Style10"/>
        <w:keepNext w:val="0"/>
        <w:keepLines w:val="0"/>
        <w:widowControl w:val="0"/>
        <w:numPr>
          <w:ilvl w:val="0"/>
          <w:numId w:val="3"/>
        </w:numPr>
        <w:shd w:val="clear" w:color="auto" w:fill="auto"/>
        <w:tabs>
          <w:tab w:pos="591"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 plnění pro </w:t>
      </w: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(Technické podmínky), která je nedílnou součástí této smlouvy.</w:t>
      </w:r>
    </w:p>
    <w:p>
      <w:pPr>
        <w:pStyle w:val="Style10"/>
        <w:keepNext w:val="0"/>
        <w:keepLines w:val="0"/>
        <w:widowControl w:val="0"/>
        <w:numPr>
          <w:ilvl w:val="0"/>
          <w:numId w:val="3"/>
        </w:numPr>
        <w:shd w:val="clear" w:color="auto" w:fill="auto"/>
        <w:tabs>
          <w:tab w:pos="591"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color w:val="000000"/>
          <w:spacing w:val="0"/>
          <w:w w:val="100"/>
          <w:position w:val="0"/>
          <w:shd w:val="clear" w:color="auto" w:fill="auto"/>
          <w:lang w:val="cs-CZ" w:eastAsia="cs-CZ" w:bidi="cs-CZ"/>
        </w:rPr>
        <w:t xml:space="preserve">odst. 3.1. </w:t>
      </w:r>
      <w:r>
        <w:rPr>
          <w:color w:val="000000"/>
          <w:spacing w:val="0"/>
          <w:w w:val="100"/>
          <w:position w:val="0"/>
          <w:shd w:val="clear" w:color="auto" w:fill="auto"/>
          <w:lang w:val="cs-CZ" w:eastAsia="cs-CZ" w:bidi="cs-CZ"/>
        </w:rPr>
        <w:t>po dobu trvání překážky neběží.</w:t>
      </w:r>
    </w:p>
    <w:p>
      <w:pPr>
        <w:pStyle w:val="Style10"/>
        <w:keepNext w:val="0"/>
        <w:keepLines w:val="0"/>
        <w:widowControl w:val="0"/>
        <w:numPr>
          <w:ilvl w:val="0"/>
          <w:numId w:val="3"/>
        </w:numPr>
        <w:shd w:val="clear" w:color="auto" w:fill="auto"/>
        <w:tabs>
          <w:tab w:pos="591" w:val="left"/>
        </w:tabs>
        <w:bidi w:val="0"/>
        <w:spacing w:before="0" w:line="240" w:lineRule="auto"/>
        <w:ind w:left="660" w:right="0" w:hanging="660"/>
        <w:jc w:val="both"/>
      </w:pPr>
      <w:r>
        <w:rPr>
          <w:color w:val="000000"/>
          <w:spacing w:val="0"/>
          <w:w w:val="100"/>
          <w:position w:val="0"/>
          <w:shd w:val="clear" w:color="auto" w:fill="auto"/>
          <w:lang w:val="cs-CZ" w:eastAsia="cs-CZ" w:bidi="cs-CZ"/>
        </w:rPr>
        <w:t>Žádost o stavění lhůty musí být učiněna bezodkladně, prokazatelným způsobem (prostřednictvím datové schránky, doporučeným dopisem), s podrobným zdůvodněním.</w:t>
      </w:r>
    </w:p>
    <w:p>
      <w:pPr>
        <w:pStyle w:val="Style10"/>
        <w:keepNext w:val="0"/>
        <w:keepLines w:val="0"/>
        <w:widowControl w:val="0"/>
        <w:numPr>
          <w:ilvl w:val="0"/>
          <w:numId w:val="3"/>
        </w:numPr>
        <w:shd w:val="clear" w:color="auto" w:fill="auto"/>
        <w:tabs>
          <w:tab w:pos="591"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pPr>
        <w:pStyle w:val="Style10"/>
        <w:keepNext w:val="0"/>
        <w:keepLines w:val="0"/>
        <w:widowControl w:val="0"/>
        <w:numPr>
          <w:ilvl w:val="0"/>
          <w:numId w:val="3"/>
        </w:numPr>
        <w:shd w:val="clear" w:color="auto" w:fill="auto"/>
        <w:tabs>
          <w:tab w:pos="591" w:val="left"/>
        </w:tabs>
        <w:bidi w:val="0"/>
        <w:spacing w:before="0" w:after="460" w:line="240" w:lineRule="auto"/>
        <w:ind w:left="0" w:right="0" w:firstLine="0"/>
        <w:jc w:val="left"/>
      </w:pPr>
      <w:r>
        <w:rPr>
          <w:color w:val="000000"/>
          <w:spacing w:val="0"/>
          <w:w w:val="100"/>
          <w:position w:val="0"/>
          <w:shd w:val="clear" w:color="auto" w:fill="auto"/>
          <w:lang w:val="cs-CZ" w:eastAsia="cs-CZ" w:bidi="cs-CZ"/>
        </w:rPr>
        <w:t>Nevysloví-li zástupce objednatele souhlas se stavěním lhůty, lhůta běží bez přerušení.</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díla</w:t>
      </w:r>
      <w:bookmarkEnd w:id="6"/>
      <w:bookmarkEnd w:id="7"/>
    </w:p>
    <w:p>
      <w:pPr>
        <w:pStyle w:val="Style10"/>
        <w:keepNext w:val="0"/>
        <w:keepLines w:val="0"/>
        <w:widowControl w:val="0"/>
        <w:numPr>
          <w:ilvl w:val="0"/>
          <w:numId w:val="5"/>
        </w:numPr>
        <w:shd w:val="clear" w:color="auto" w:fill="auto"/>
        <w:tabs>
          <w:tab w:pos="591"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w:t>
      </w:r>
    </w:p>
    <w:p>
      <w:pPr>
        <w:pStyle w:val="Style10"/>
        <w:keepNext w:val="0"/>
        <w:keepLines w:val="0"/>
        <w:widowControl w:val="0"/>
        <w:numPr>
          <w:ilvl w:val="0"/>
          <w:numId w:val="7"/>
        </w:numPr>
        <w:shd w:val="clear" w:color="auto" w:fill="auto"/>
        <w:tabs>
          <w:tab w:pos="1126" w:val="left"/>
        </w:tabs>
        <w:bidi w:val="0"/>
        <w:spacing w:before="0" w:line="240" w:lineRule="auto"/>
        <w:ind w:left="0" w:right="0" w:firstLine="560"/>
        <w:jc w:val="both"/>
      </w:pP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258"/>
        <w:gridCol w:w="3979"/>
      </w:tblGrid>
      <w:tr>
        <w:trPr>
          <w:trHeight w:val="48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69 000 Kč bez DPH</w:t>
            </w:r>
          </w:p>
        </w:tc>
      </w:tr>
      <w:tr>
        <w:trPr>
          <w:trHeight w:val="60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Není plátce DPH</w:t>
            </w:r>
          </w:p>
        </w:tc>
      </w:tr>
      <w:tr>
        <w:trPr>
          <w:trHeight w:val="538"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69 000 Kč včetně DPH</w:t>
            </w:r>
          </w:p>
        </w:tc>
      </w:tr>
    </w:tbl>
    <w:p>
      <w:pPr>
        <w:widowControl w:val="0"/>
        <w:spacing w:after="339" w:line="1" w:lineRule="exact"/>
      </w:pPr>
    </w:p>
    <w:p>
      <w:pPr>
        <w:pStyle w:val="Style10"/>
        <w:keepNext w:val="0"/>
        <w:keepLines w:val="0"/>
        <w:widowControl w:val="0"/>
        <w:numPr>
          <w:ilvl w:val="0"/>
          <w:numId w:val="5"/>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Přílohy č. 2 </w:t>
      </w:r>
      <w:r>
        <w:rPr>
          <w:color w:val="000000"/>
          <w:spacing w:val="0"/>
          <w:w w:val="100"/>
          <w:position w:val="0"/>
          <w:shd w:val="clear" w:color="auto" w:fill="auto"/>
          <w:lang w:val="cs-CZ" w:eastAsia="cs-CZ" w:bidi="cs-CZ"/>
        </w:rPr>
        <w:t>(Kalkulace projekčních prací), které jsou součástí této smlouvy, a odměna za užití nehmotného statku dle odst. 8.7. této smlouvy.</w:t>
      </w:r>
    </w:p>
    <w:p>
      <w:pPr>
        <w:pStyle w:val="Style10"/>
        <w:keepNext w:val="0"/>
        <w:keepLines w:val="0"/>
        <w:widowControl w:val="0"/>
        <w:numPr>
          <w:ilvl w:val="0"/>
          <w:numId w:val="5"/>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10"/>
        <w:keepNext w:val="0"/>
        <w:keepLines w:val="0"/>
        <w:widowControl w:val="0"/>
        <w:numPr>
          <w:ilvl w:val="0"/>
          <w:numId w:val="5"/>
        </w:numPr>
        <w:shd w:val="clear" w:color="auto" w:fill="auto"/>
        <w:tabs>
          <w:tab w:pos="591"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Pro účely této smlouvy jsou dodatečné služby vždy spojeny s výdejem veřejných prostředků a probíhají v souladu s platnými Pravidly Rady Kraje Vysočina pro zadávání veřejných zakázek (dále jen „PRK“) a interními pravidly objednatele.</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platnými PRK a interními pravidly objednatele, jinak je uzavřený dodatek neplatný a zhotovitel nemá právo na úhradu ceny díla sjednané v tomto dodatku.</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PRK, interními pravidly objednatele 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Veškeré dodatečné služby splňující podmínky stanovené v PRK a interními pravidly objednatele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dokončení díla, musí být písemně dohodnuty osobami oprávněnými jednat ve věcech smluvních</w:t>
      </w:r>
      <w:r>
        <w:rPr>
          <w:b/>
          <w:bCs/>
          <w:color w:val="000000"/>
          <w:spacing w:val="0"/>
          <w:w w:val="100"/>
          <w:position w:val="0"/>
          <w:shd w:val="clear" w:color="auto" w:fill="auto"/>
          <w:lang w:val="cs-CZ" w:eastAsia="cs-CZ" w:bidi="cs-CZ"/>
        </w:rPr>
        <w:t>.</w:t>
      </w:r>
    </w:p>
    <w:p>
      <w:pPr>
        <w:pStyle w:val="Style10"/>
        <w:keepNext w:val="0"/>
        <w:keepLines w:val="0"/>
        <w:widowControl w:val="0"/>
        <w:numPr>
          <w:ilvl w:val="0"/>
          <w:numId w:val="5"/>
        </w:numPr>
        <w:shd w:val="clear" w:color="auto" w:fill="auto"/>
        <w:tabs>
          <w:tab w:pos="582"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Způsob provádění díla a dodání díla</w:t>
      </w:r>
      <w:bookmarkEnd w:id="8"/>
      <w:bookmarkEnd w:id="9"/>
    </w:p>
    <w:p>
      <w:pPr>
        <w:pStyle w:val="Style10"/>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0"/>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0"/>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0"/>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0"/>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hd w:val="clear" w:color="auto" w:fill="auto"/>
          <w:lang w:val="cs-CZ" w:eastAsia="cs-CZ" w:bidi="cs-CZ"/>
        </w:rPr>
        <w:t xml:space="preserve">Příloze č. 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a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0"/>
        <w:keepNext w:val="0"/>
        <w:keepLines w:val="0"/>
        <w:widowControl w:val="0"/>
        <w:numPr>
          <w:ilvl w:val="0"/>
          <w:numId w:val="9"/>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10"/>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Kontaktní osoby objednatele, zhotovitele a osoby pověřené provedením díla jsou uvedeny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této smlouvy</w:t>
      </w:r>
      <w:r>
        <w:rPr>
          <w:b/>
          <w:bCs/>
          <w:color w:val="000000"/>
          <w:spacing w:val="0"/>
          <w:w w:val="100"/>
          <w:position w:val="0"/>
          <w:shd w:val="clear" w:color="auto" w:fill="auto"/>
          <w:lang w:val="cs-CZ" w:eastAsia="cs-CZ" w:bidi="cs-CZ"/>
        </w:rPr>
        <w:t>.</w:t>
      </w:r>
    </w:p>
    <w:p>
      <w:pPr>
        <w:pStyle w:val="Style10"/>
        <w:keepNext w:val="0"/>
        <w:keepLines w:val="0"/>
        <w:widowControl w:val="0"/>
        <w:numPr>
          <w:ilvl w:val="0"/>
          <w:numId w:val="9"/>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č. 1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9"/>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10"/>
        <w:keepNext w:val="0"/>
        <w:keepLines w:val="0"/>
        <w:widowControl w:val="0"/>
        <w:numPr>
          <w:ilvl w:val="0"/>
          <w:numId w:val="9"/>
        </w:numPr>
        <w:shd w:val="clear" w:color="auto" w:fill="auto"/>
        <w:tabs>
          <w:tab w:pos="594"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Osoba pověřená převzetím díla za objednatele je uvedena v </w:t>
      </w:r>
      <w:r>
        <w:rPr>
          <w:b/>
          <w:bCs/>
          <w:color w:val="000000"/>
          <w:spacing w:val="0"/>
          <w:w w:val="100"/>
          <w:position w:val="0"/>
          <w:shd w:val="clear" w:color="auto" w:fill="auto"/>
          <w:lang w:val="cs-CZ" w:eastAsia="cs-CZ" w:bidi="cs-CZ"/>
        </w:rPr>
        <w:t xml:space="preserve">Příloze č. 3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9"/>
        </w:numPr>
        <w:shd w:val="clear" w:color="auto" w:fill="auto"/>
        <w:tabs>
          <w:tab w:pos="594" w:val="left"/>
        </w:tabs>
        <w:bidi w:val="0"/>
        <w:spacing w:before="0" w:after="120" w:line="240" w:lineRule="auto"/>
        <w:ind w:left="0" w:right="0" w:firstLine="0"/>
        <w:jc w:val="both"/>
      </w:pPr>
      <w:r>
        <w:rPr>
          <w:color w:val="000000"/>
          <w:spacing w:val="0"/>
          <w:w w:val="100"/>
          <w:position w:val="0"/>
          <w:shd w:val="clear" w:color="auto" w:fill="auto"/>
          <w:lang w:val="cs-CZ" w:eastAsia="cs-CZ" w:bidi="cs-CZ"/>
        </w:rPr>
        <w:t>Místem plnění je:</w:t>
      </w:r>
    </w:p>
    <w:p>
      <w:pPr>
        <w:pStyle w:val="Style10"/>
        <w:keepNext w:val="0"/>
        <w:keepLines w:val="0"/>
        <w:widowControl w:val="0"/>
        <w:numPr>
          <w:ilvl w:val="0"/>
          <w:numId w:val="11"/>
        </w:numPr>
        <w:shd w:val="clear" w:color="auto" w:fill="auto"/>
        <w:tabs>
          <w:tab w:pos="1300" w:val="left"/>
        </w:tabs>
        <w:bidi w:val="0"/>
        <w:spacing w:before="0" w:after="120" w:line="240" w:lineRule="auto"/>
        <w:ind w:left="0" w:right="0" w:firstLine="940"/>
        <w:jc w:val="left"/>
      </w:pPr>
      <w:r>
        <w:rPr>
          <w:color w:val="000000"/>
          <w:spacing w:val="0"/>
          <w:w w:val="100"/>
          <w:position w:val="0"/>
          <w:shd w:val="clear" w:color="auto" w:fill="auto"/>
          <w:lang w:val="cs-CZ" w:eastAsia="cs-CZ" w:bidi="cs-CZ"/>
        </w:rPr>
        <w:t>pro předání dokumentace</w:t>
      </w:r>
    </w:p>
    <w:p>
      <w:pPr>
        <w:pStyle w:val="Style10"/>
        <w:keepNext w:val="0"/>
        <w:keepLines w:val="0"/>
        <w:widowControl w:val="0"/>
        <w:shd w:val="clear" w:color="auto" w:fill="auto"/>
        <w:bidi w:val="0"/>
        <w:spacing w:before="0" w:after="120" w:line="240" w:lineRule="auto"/>
        <w:ind w:left="130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bidi w:val="0"/>
        <w:spacing w:before="0" w:after="120" w:line="240" w:lineRule="auto"/>
        <w:ind w:left="1300" w:right="0" w:firstLine="0"/>
        <w:jc w:val="left"/>
      </w:pPr>
      <w:r>
        <w:rPr>
          <w:color w:val="000000"/>
          <w:spacing w:val="0"/>
          <w:w w:val="100"/>
          <w:position w:val="0"/>
          <w:shd w:val="clear" w:color="auto" w:fill="auto"/>
          <w:lang w:val="cs-CZ" w:eastAsia="cs-CZ" w:bidi="cs-CZ"/>
        </w:rPr>
        <w:t>Kosovská 1122/16, Jihlava, PSČ 586 01</w:t>
      </w:r>
    </w:p>
    <w:p>
      <w:pPr>
        <w:pStyle w:val="Style10"/>
        <w:keepNext w:val="0"/>
        <w:keepLines w:val="0"/>
        <w:widowControl w:val="0"/>
        <w:numPr>
          <w:ilvl w:val="0"/>
          <w:numId w:val="11"/>
        </w:numPr>
        <w:shd w:val="clear" w:color="auto" w:fill="auto"/>
        <w:tabs>
          <w:tab w:pos="1300" w:val="left"/>
        </w:tabs>
        <w:bidi w:val="0"/>
        <w:spacing w:before="0" w:after="120" w:line="240" w:lineRule="auto"/>
        <w:ind w:left="0" w:right="0" w:firstLine="940"/>
        <w:jc w:val="left"/>
      </w:pPr>
      <w:r>
        <w:rPr>
          <w:color w:val="000000"/>
          <w:spacing w:val="0"/>
          <w:w w:val="100"/>
          <w:position w:val="0"/>
          <w:shd w:val="clear" w:color="auto" w:fill="auto"/>
          <w:lang w:val="cs-CZ" w:eastAsia="cs-CZ" w:bidi="cs-CZ"/>
        </w:rPr>
        <w:t>pro práce spojené s vypracováním PD</w:t>
      </w:r>
    </w:p>
    <w:p>
      <w:pPr>
        <w:pStyle w:val="Style10"/>
        <w:keepNext w:val="0"/>
        <w:keepLines w:val="0"/>
        <w:widowControl w:val="0"/>
        <w:shd w:val="clear" w:color="auto" w:fill="auto"/>
        <w:bidi w:val="0"/>
        <w:spacing w:before="0" w:after="460" w:line="240" w:lineRule="auto"/>
        <w:ind w:left="1300" w:right="0" w:firstLine="0"/>
        <w:jc w:val="left"/>
      </w:pPr>
      <w:r>
        <w:rPr>
          <w:b/>
          <w:bCs/>
          <w:color w:val="000000"/>
          <w:spacing w:val="0"/>
          <w:w w:val="100"/>
          <w:position w:val="0"/>
          <w:shd w:val="clear" w:color="auto" w:fill="auto"/>
          <w:lang w:val="cs-CZ" w:eastAsia="cs-CZ" w:bidi="cs-CZ"/>
        </w:rPr>
        <w:t xml:space="preserve">místo stavby uvedené v Příloze č. 1 </w:t>
      </w:r>
      <w:r>
        <w:rPr>
          <w:color w:val="000000"/>
          <w:spacing w:val="0"/>
          <w:w w:val="100"/>
          <w:position w:val="0"/>
          <w:shd w:val="clear" w:color="auto" w:fill="auto"/>
          <w:lang w:val="cs-CZ" w:eastAsia="cs-CZ" w:bidi="cs-CZ"/>
        </w:rPr>
        <w:t>této smlouvy</w:t>
      </w:r>
    </w:p>
    <w:p>
      <w:pPr>
        <w:pStyle w:val="Style10"/>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6"/>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Placení a fakturace</w:t>
      </w:r>
      <w:bookmarkEnd w:id="10"/>
      <w:bookmarkEnd w:id="11"/>
    </w:p>
    <w:p>
      <w:pPr>
        <w:pStyle w:val="Style10"/>
        <w:keepNext w:val="0"/>
        <w:keepLines w:val="0"/>
        <w:widowControl w:val="0"/>
        <w:numPr>
          <w:ilvl w:val="0"/>
          <w:numId w:val="13"/>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Nárok na zaplacení ceny a právo vystavení faktury vzniká:</w:t>
      </w:r>
    </w:p>
    <w:p>
      <w:pPr>
        <w:pStyle w:val="Style10"/>
        <w:keepNext w:val="0"/>
        <w:keepLines w:val="0"/>
        <w:widowControl w:val="0"/>
        <w:shd w:val="clear" w:color="auto" w:fill="auto"/>
        <w:bidi w:val="0"/>
        <w:spacing w:before="0" w:after="120" w:line="240" w:lineRule="auto"/>
        <w:ind w:left="580" w:right="0" w:firstLine="0"/>
        <w:jc w:val="both"/>
      </w:pPr>
      <w:r>
        <w:rPr>
          <w:color w:val="000000"/>
          <w:spacing w:val="0"/>
          <w:w w:val="100"/>
          <w:position w:val="0"/>
          <w:shd w:val="clear" w:color="auto" w:fill="auto"/>
          <w:lang w:val="cs-CZ" w:eastAsia="cs-CZ" w:bidi="cs-CZ"/>
        </w:rPr>
        <w:t>Předáním kompletní projektové dokumentace pro provedení stavby (PDPS) odsouhlasené objednatelem bez výhrad ve formě a v počtu sjednaném v této smlouvě; strany se dohodly, že objednatel zaplatí cenu na základě daňového dokladu vystaveného zhotovitelem ve lhůtě splatnosti 30 dnů od doručení.</w:t>
      </w:r>
    </w:p>
    <w:p>
      <w:pPr>
        <w:pStyle w:val="Style10"/>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10"/>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0"/>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en-US" w:eastAsia="en-US" w:bidi="en-US"/>
        </w:rPr>
        <w:t>ksusv@ksusv.cz</w:t>
      </w:r>
      <w:r>
        <w:rPr>
          <w:color w:val="000000"/>
          <w:spacing w:val="0"/>
          <w:w w:val="100"/>
          <w:position w:val="0"/>
          <w:shd w:val="clear" w:color="auto" w:fill="auto"/>
          <w:lang w:val="en-US" w:eastAsia="en-US" w:bidi="en-US"/>
        </w:rPr>
        <w:t>.</w:t>
      </w:r>
      <w:r>
        <w:fldChar w:fldCharType="end"/>
      </w:r>
    </w:p>
    <w:p>
      <w:pPr>
        <w:pStyle w:val="Style10"/>
        <w:keepNext w:val="0"/>
        <w:keepLines w:val="0"/>
        <w:widowControl w:val="0"/>
        <w:numPr>
          <w:ilvl w:val="0"/>
          <w:numId w:val="13"/>
        </w:numPr>
        <w:shd w:val="clear" w:color="auto" w:fill="auto"/>
        <w:tabs>
          <w:tab w:pos="56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10"/>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10"/>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0"/>
        <w:keepNext w:val="0"/>
        <w:keepLines w:val="0"/>
        <w:widowControl w:val="0"/>
        <w:numPr>
          <w:ilvl w:val="0"/>
          <w:numId w:val="13"/>
        </w:numPr>
        <w:shd w:val="clear" w:color="auto" w:fill="auto"/>
        <w:tabs>
          <w:tab w:pos="566"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0"/>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6"/>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Smluvní pokuty</w:t>
      </w:r>
      <w:bookmarkEnd w:id="12"/>
      <w:bookmarkEnd w:id="13"/>
    </w:p>
    <w:p>
      <w:pPr>
        <w:pStyle w:val="Style10"/>
        <w:keepNext w:val="0"/>
        <w:keepLines w:val="0"/>
        <w:widowControl w:val="0"/>
        <w:numPr>
          <w:ilvl w:val="0"/>
          <w:numId w:val="15"/>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tyto níže uvedené smluvní pokuty, jejichž sjednáním není dle</w:t>
      </w:r>
    </w:p>
    <w:p>
      <w:pPr>
        <w:pStyle w:val="Style10"/>
        <w:keepNext w:val="0"/>
        <w:keepLines w:val="0"/>
        <w:widowControl w:val="0"/>
        <w:shd w:val="clear" w:color="auto" w:fill="auto"/>
        <w:bidi w:val="0"/>
        <w:spacing w:before="0" w:line="240" w:lineRule="auto"/>
        <w:ind w:left="560" w:right="0" w:firstLine="0"/>
        <w:jc w:val="both"/>
      </w:pP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10"/>
        <w:keepNext w:val="0"/>
        <w:keepLines w:val="0"/>
        <w:widowControl w:val="0"/>
        <w:numPr>
          <w:ilvl w:val="0"/>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PDPS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PDPS včetně DPH uvedené v </w:t>
      </w:r>
      <w:r>
        <w:rPr>
          <w:b/>
          <w:bCs/>
          <w:color w:val="000000"/>
          <w:spacing w:val="0"/>
          <w:w w:val="100"/>
          <w:position w:val="0"/>
          <w:shd w:val="clear" w:color="auto" w:fill="auto"/>
          <w:lang w:val="cs-CZ" w:eastAsia="cs-CZ" w:bidi="cs-CZ"/>
        </w:rPr>
        <w:t xml:space="preserve">Příloze č. 2 </w:t>
      </w:r>
      <w:r>
        <w:rPr>
          <w:color w:val="000000"/>
          <w:spacing w:val="0"/>
          <w:w w:val="100"/>
          <w:position w:val="0"/>
          <w:shd w:val="clear" w:color="auto" w:fill="auto"/>
          <w:lang w:val="cs-CZ" w:eastAsia="cs-CZ" w:bidi="cs-CZ"/>
        </w:rPr>
        <w:t>této smlouvy, a to za každý započatý den prodlení.</w:t>
      </w:r>
    </w:p>
    <w:p>
      <w:pPr>
        <w:pStyle w:val="Style10"/>
        <w:keepNext w:val="0"/>
        <w:keepLines w:val="0"/>
        <w:widowControl w:val="0"/>
        <w:numPr>
          <w:ilvl w:val="0"/>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to za každý započatý den prodlení.</w:t>
      </w:r>
    </w:p>
    <w:p>
      <w:pPr>
        <w:pStyle w:val="Style10"/>
        <w:keepNext w:val="0"/>
        <w:keepLines w:val="0"/>
        <w:widowControl w:val="0"/>
        <w:numPr>
          <w:ilvl w:val="0"/>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1 %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a to za každý jednotlivý případ, nejvýše však do výše </w:t>
      </w:r>
      <w:r>
        <w:rPr>
          <w:b/>
          <w:bCs/>
          <w:color w:val="000000"/>
          <w:spacing w:val="0"/>
          <w:w w:val="100"/>
          <w:position w:val="0"/>
          <w:shd w:val="clear" w:color="auto" w:fill="auto"/>
          <w:lang w:val="cs-CZ" w:eastAsia="cs-CZ" w:bidi="cs-CZ"/>
        </w:rPr>
        <w:t xml:space="preserve">20 % </w:t>
      </w:r>
      <w:r>
        <w:rPr>
          <w:color w:val="000000"/>
          <w:spacing w:val="0"/>
          <w:w w:val="100"/>
          <w:position w:val="0"/>
          <w:shd w:val="clear" w:color="auto" w:fill="auto"/>
          <w:lang w:val="cs-CZ" w:eastAsia="cs-CZ" w:bidi="cs-CZ"/>
        </w:rPr>
        <w:t xml:space="preserve">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v souhrnu za všechny takové případy. Jedním případem se rozumí i chyba ve více vzájemně provázaných položkách soupisu stavebních prací, dodávek a služeb s výkazem výměr.</w:t>
      </w:r>
    </w:p>
    <w:p>
      <w:pPr>
        <w:pStyle w:val="Style10"/>
        <w:keepNext w:val="0"/>
        <w:keepLines w:val="0"/>
        <w:widowControl w:val="0"/>
        <w:numPr>
          <w:ilvl w:val="0"/>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nepravdivých nebo zkreslených údajů v žádosti zhotovitele o stavění lhůty dle </w:t>
      </w:r>
      <w:r>
        <w:rPr>
          <w:b/>
          <w:bCs/>
          <w:color w:val="000000"/>
          <w:spacing w:val="0"/>
          <w:w w:val="100"/>
          <w:position w:val="0"/>
          <w:shd w:val="clear" w:color="auto" w:fill="auto"/>
          <w:lang w:val="cs-CZ" w:eastAsia="cs-CZ" w:bidi="cs-CZ"/>
        </w:rPr>
        <w:t xml:space="preserve">odst. 3.3. </w:t>
      </w:r>
      <w:r>
        <w:rPr>
          <w:color w:val="000000"/>
          <w:spacing w:val="0"/>
          <w:w w:val="100"/>
          <w:position w:val="0"/>
          <w:shd w:val="clear" w:color="auto" w:fill="auto"/>
          <w:lang w:val="cs-CZ" w:eastAsia="cs-CZ" w:bidi="cs-CZ"/>
        </w:rPr>
        <w:t xml:space="preserve">je zhotovitel povinen uhradit objednateli smluvní pokutu ve výši </w:t>
      </w:r>
      <w:r>
        <w:rPr>
          <w:b/>
          <w:bCs/>
          <w:color w:val="000000"/>
          <w:spacing w:val="0"/>
          <w:w w:val="100"/>
          <w:position w:val="0"/>
          <w:shd w:val="clear" w:color="auto" w:fill="auto"/>
          <w:lang w:val="cs-CZ" w:eastAsia="cs-CZ" w:bidi="cs-CZ"/>
        </w:rPr>
        <w:t xml:space="preserve">10.000,-- Kč </w:t>
      </w:r>
      <w:r>
        <w:rPr>
          <w:color w:val="000000"/>
          <w:spacing w:val="0"/>
          <w:w w:val="100"/>
          <w:position w:val="0"/>
          <w:shd w:val="clear" w:color="auto" w:fill="auto"/>
          <w:lang w:val="cs-CZ" w:eastAsia="cs-CZ" w:bidi="cs-CZ"/>
        </w:rPr>
        <w:t>vč. DPH za každé zjištění. Tuto pokutu je možné ukládat opakovaně.</w:t>
      </w:r>
    </w:p>
    <w:p>
      <w:pPr>
        <w:pStyle w:val="Style10"/>
        <w:keepNext w:val="0"/>
        <w:keepLines w:val="0"/>
        <w:widowControl w:val="0"/>
        <w:numPr>
          <w:ilvl w:val="0"/>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0"/>
        <w:keepNext w:val="0"/>
        <w:keepLines w:val="0"/>
        <w:widowControl w:val="0"/>
        <w:numPr>
          <w:ilvl w:val="0"/>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0"/>
        <w:keepNext w:val="0"/>
        <w:keepLines w:val="0"/>
        <w:widowControl w:val="0"/>
        <w:numPr>
          <w:ilvl w:val="0"/>
          <w:numId w:val="15"/>
        </w:numPr>
        <w:shd w:val="clear" w:color="auto" w:fill="auto"/>
        <w:tabs>
          <w:tab w:pos="558" w:val="left"/>
        </w:tabs>
        <w:bidi w:val="0"/>
        <w:spacing w:before="0" w:after="460" w:line="240" w:lineRule="auto"/>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8</w:t>
      </w:r>
      <w:bookmarkEnd w:id="14"/>
      <w:bookmarkEnd w:id="15"/>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Další ujednání</w:t>
      </w:r>
      <w:bookmarkEnd w:id="16"/>
      <w:bookmarkEnd w:id="17"/>
    </w:p>
    <w:p>
      <w:pPr>
        <w:pStyle w:val="Style10"/>
        <w:keepNext w:val="0"/>
        <w:keepLines w:val="0"/>
        <w:widowControl w:val="0"/>
        <w:numPr>
          <w:ilvl w:val="1"/>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6"/>
        <w:keepNext/>
        <w:keepLines/>
        <w:widowControl w:val="0"/>
        <w:numPr>
          <w:ilvl w:val="1"/>
          <w:numId w:val="15"/>
        </w:numPr>
        <w:shd w:val="clear" w:color="auto" w:fill="auto"/>
        <w:tabs>
          <w:tab w:pos="558" w:val="left"/>
        </w:tabs>
        <w:bidi w:val="0"/>
        <w:spacing w:before="0" w:line="240" w:lineRule="auto"/>
        <w:ind w:left="560" w:right="0" w:hanging="560"/>
        <w:jc w:val="both"/>
      </w:pPr>
      <w:bookmarkStart w:id="18" w:name="bookmark18"/>
      <w:bookmarkStart w:id="19" w:name="bookmark19"/>
      <w:r>
        <w:rPr>
          <w:b w:val="0"/>
          <w:bCs w:val="0"/>
          <w:color w:val="000000"/>
          <w:spacing w:val="0"/>
          <w:w w:val="100"/>
          <w:position w:val="0"/>
          <w:shd w:val="clear" w:color="auto" w:fill="auto"/>
          <w:lang w:val="cs-CZ" w:eastAsia="cs-CZ" w:bidi="cs-CZ"/>
        </w:rPr>
        <w:t xml:space="preserve">Zhotovitel se zavazuje spolupůsobit jako osoba povinná ve smyslu </w:t>
      </w:r>
      <w:r>
        <w:rPr>
          <w:color w:val="000000"/>
          <w:spacing w:val="0"/>
          <w:w w:val="100"/>
          <w:position w:val="0"/>
          <w:shd w:val="clear" w:color="auto" w:fill="auto"/>
          <w:lang w:val="cs-CZ" w:eastAsia="cs-CZ" w:bidi="cs-CZ"/>
        </w:rPr>
        <w:t>§ 2 písm. e) zákona č. 320/2001 Sb., o finanční kontrole ve veřejné správě a o změně některých zákonů (zákon o finanční kontrole) v platném znění</w:t>
      </w:r>
      <w:r>
        <w:rPr>
          <w:b w:val="0"/>
          <w:bCs w:val="0"/>
          <w:color w:val="000000"/>
          <w:spacing w:val="0"/>
          <w:w w:val="100"/>
          <w:position w:val="0"/>
          <w:shd w:val="clear" w:color="auto" w:fill="auto"/>
          <w:lang w:val="cs-CZ" w:eastAsia="cs-CZ" w:bidi="cs-CZ"/>
        </w:rPr>
        <w:t>.</w:t>
      </w:r>
      <w:bookmarkEnd w:id="18"/>
      <w:bookmarkEnd w:id="19"/>
    </w:p>
    <w:p>
      <w:pPr>
        <w:pStyle w:val="Style10"/>
        <w:keepNext w:val="0"/>
        <w:keepLines w:val="0"/>
        <w:widowControl w:val="0"/>
        <w:numPr>
          <w:ilvl w:val="1"/>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0"/>
        <w:keepNext w:val="0"/>
        <w:keepLines w:val="0"/>
        <w:widowControl w:val="0"/>
        <w:numPr>
          <w:ilvl w:val="1"/>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0"/>
        <w:keepNext w:val="0"/>
        <w:keepLines w:val="0"/>
        <w:widowControl w:val="0"/>
        <w:numPr>
          <w:ilvl w:val="1"/>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0"/>
        <w:keepNext w:val="0"/>
        <w:keepLines w:val="0"/>
        <w:widowControl w:val="0"/>
        <w:numPr>
          <w:ilvl w:val="1"/>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0"/>
        <w:keepNext w:val="0"/>
        <w:keepLines w:val="0"/>
        <w:widowControl w:val="0"/>
        <w:numPr>
          <w:ilvl w:val="1"/>
          <w:numId w:val="15"/>
        </w:numPr>
        <w:shd w:val="clear" w:color="auto" w:fill="auto"/>
        <w:tabs>
          <w:tab w:pos="558"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zákona č. 121/2000 Sb., o právu autorském, o právech souvisejících s právem autorským a o změně některých zákonů (autorský zákon)</w:t>
      </w:r>
      <w:r>
        <w:rPr>
          <w:color w:val="000000"/>
          <w:spacing w:val="0"/>
          <w:w w:val="100"/>
          <w:position w:val="0"/>
          <w:shd w:val="clear" w:color="auto" w:fill="auto"/>
          <w:lang w:val="cs-CZ" w:eastAsia="cs-CZ" w:bidi="cs-CZ"/>
        </w:rP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w:t>
      </w:r>
      <w:r>
        <w:rPr>
          <w:color w:val="000000"/>
          <w:spacing w:val="0"/>
          <w:w w:val="100"/>
          <w:position w:val="0"/>
          <w:shd w:val="clear" w:color="auto" w:fill="auto"/>
          <w:lang w:val="cs-CZ" w:eastAsia="cs-CZ" w:bidi="cs-CZ"/>
        </w:rPr>
        <w:t xml:space="preserve">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10"/>
        <w:keepNext w:val="0"/>
        <w:keepLines w:val="0"/>
        <w:widowControl w:val="0"/>
        <w:numPr>
          <w:ilvl w:val="1"/>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základě něhož byla se zhotovitelem, jakožto vybraným dodavatelem uzavřena příslušná smlouva na předmět plnění veřejné zakázky.</w:t>
      </w:r>
    </w:p>
    <w:p>
      <w:pPr>
        <w:pStyle w:val="Style10"/>
        <w:keepNext w:val="0"/>
        <w:keepLines w:val="0"/>
        <w:widowControl w:val="0"/>
        <w:numPr>
          <w:ilvl w:val="1"/>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0"/>
        <w:keepNext w:val="0"/>
        <w:keepLines w:val="0"/>
        <w:widowControl w:val="0"/>
        <w:numPr>
          <w:ilvl w:val="1"/>
          <w:numId w:val="15"/>
        </w:numPr>
        <w:shd w:val="clear" w:color="auto" w:fill="auto"/>
        <w:tabs>
          <w:tab w:pos="582" w:val="left"/>
        </w:tabs>
        <w:bidi w:val="0"/>
        <w:spacing w:before="0" w:after="460" w:line="240" w:lineRule="auto"/>
        <w:ind w:left="580" w:right="0" w:hanging="580"/>
        <w:jc w:val="both"/>
      </w:pPr>
      <w:r>
        <w:rPr>
          <w:b/>
          <w:bCs/>
          <w:color w:val="000000"/>
          <w:spacing w:val="0"/>
          <w:w w:val="100"/>
          <w:position w:val="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v </w:t>
      </w:r>
      <w:r>
        <w:rPr>
          <w:b/>
          <w:bCs/>
          <w:color w:val="000000"/>
          <w:spacing w:val="0"/>
          <w:w w:val="100"/>
          <w:position w:val="0"/>
          <w:shd w:val="clear" w:color="auto" w:fill="auto"/>
          <w:lang w:val="cs-CZ" w:eastAsia="cs-CZ" w:bidi="cs-CZ"/>
        </w:rPr>
        <w:t xml:space="preserve">součtu </w:t>
      </w:r>
      <w:r>
        <w:rPr>
          <w:color w:val="000000"/>
          <w:spacing w:val="0"/>
          <w:w w:val="100"/>
          <w:position w:val="0"/>
          <w:shd w:val="clear" w:color="auto" w:fill="auto"/>
          <w:lang w:val="cs-CZ" w:eastAsia="cs-CZ" w:bidi="cs-CZ"/>
        </w:rPr>
        <w:t>nabídkových cen za zpracování kompletní projektové dokumentace v Kč vč. DPH, uvedených v příloze č. 1 této smlouvy. Za účelem prokázání splnění tohoto požadavku je zhotovitel povinen doložit objednateli do 3 pracovních dnů od doručení výzvy doklad osvědčující uzavření pojistné smlouvy v požadovaném rozsahu.</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6"/>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Zvláštní ujednání</w:t>
      </w:r>
      <w:bookmarkEnd w:id="20"/>
      <w:bookmarkEnd w:id="21"/>
    </w:p>
    <w:p>
      <w:pPr>
        <w:pStyle w:val="Style10"/>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0"/>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0"/>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0"/>
        <w:keepNext w:val="0"/>
        <w:keepLines w:val="0"/>
        <w:widowControl w:val="0"/>
        <w:numPr>
          <w:ilvl w:val="0"/>
          <w:numId w:val="17"/>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10"/>
        <w:keepNext w:val="0"/>
        <w:keepLines w:val="0"/>
        <w:widowControl w:val="0"/>
        <w:numPr>
          <w:ilvl w:val="0"/>
          <w:numId w:val="19"/>
        </w:numPr>
        <w:shd w:val="clear" w:color="auto" w:fill="auto"/>
        <w:tabs>
          <w:tab w:pos="888" w:val="left"/>
        </w:tabs>
        <w:bidi w:val="0"/>
        <w:spacing w:before="0" w:line="240" w:lineRule="auto"/>
        <w:ind w:left="860" w:right="0" w:hanging="28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10"/>
        <w:keepNext w:val="0"/>
        <w:keepLines w:val="0"/>
        <w:widowControl w:val="0"/>
        <w:numPr>
          <w:ilvl w:val="0"/>
          <w:numId w:val="19"/>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dílo neodpovídají požadavkům objednatele stanoveným v zadávací dokumentaci; a nebo</w:t>
      </w:r>
    </w:p>
    <w:p>
      <w:pPr>
        <w:pStyle w:val="Style10"/>
        <w:keepNext w:val="0"/>
        <w:keepLines w:val="0"/>
        <w:widowControl w:val="0"/>
        <w:numPr>
          <w:ilvl w:val="0"/>
          <w:numId w:val="19"/>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0"/>
        <w:keepNext w:val="0"/>
        <w:keepLines w:val="0"/>
        <w:widowControl w:val="0"/>
        <w:numPr>
          <w:ilvl w:val="0"/>
          <w:numId w:val="19"/>
        </w:numPr>
        <w:shd w:val="clear" w:color="auto" w:fill="auto"/>
        <w:tabs>
          <w:tab w:pos="898" w:val="left"/>
        </w:tabs>
        <w:bidi w:val="0"/>
        <w:spacing w:before="0" w:line="240" w:lineRule="auto"/>
        <w:ind w:left="86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10"/>
        <w:keepNext w:val="0"/>
        <w:keepLines w:val="0"/>
        <w:widowControl w:val="0"/>
        <w:numPr>
          <w:ilvl w:val="0"/>
          <w:numId w:val="17"/>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má nárok na uplatnění náhrady škody v případě, že zhotovitel dílo řádně nedokončí. </w:t>
      </w:r>
      <w:r>
        <w:rPr>
          <w:color w:val="000000"/>
          <w:spacing w:val="0"/>
          <w:w w:val="100"/>
          <w:position w:val="0"/>
          <w:shd w:val="clear" w:color="auto" w:fill="auto"/>
          <w:lang w:val="cs-CZ" w:eastAsia="cs-CZ" w:bidi="cs-CZ"/>
        </w:rPr>
        <w:t>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0"/>
        <w:keepNext w:val="0"/>
        <w:keepLines w:val="0"/>
        <w:widowControl w:val="0"/>
        <w:numPr>
          <w:ilvl w:val="0"/>
          <w:numId w:val="17"/>
        </w:numPr>
        <w:shd w:val="clear" w:color="auto" w:fill="auto"/>
        <w:tabs>
          <w:tab w:pos="56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0"/>
        <w:keepNext w:val="0"/>
        <w:keepLines w:val="0"/>
        <w:widowControl w:val="0"/>
        <w:numPr>
          <w:ilvl w:val="0"/>
          <w:numId w:val="17"/>
        </w:numPr>
        <w:shd w:val="clear" w:color="auto" w:fill="auto"/>
        <w:tabs>
          <w:tab w:pos="56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p>
    <w:p>
      <w:pPr>
        <w:pStyle w:val="Style10"/>
        <w:keepNext w:val="0"/>
        <w:keepLines w:val="0"/>
        <w:widowControl w:val="0"/>
        <w:numPr>
          <w:ilvl w:val="0"/>
          <w:numId w:val="21"/>
        </w:numPr>
        <w:shd w:val="clear" w:color="auto" w:fill="auto"/>
        <w:tabs>
          <w:tab w:pos="898" w:val="left"/>
        </w:tabs>
        <w:bidi w:val="0"/>
        <w:spacing w:before="0" w:line="240" w:lineRule="auto"/>
        <w:ind w:left="0" w:right="0" w:firstLine="58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10"/>
        <w:keepNext w:val="0"/>
        <w:keepLines w:val="0"/>
        <w:widowControl w:val="0"/>
        <w:numPr>
          <w:ilvl w:val="0"/>
          <w:numId w:val="21"/>
        </w:numPr>
        <w:shd w:val="clear" w:color="auto" w:fill="auto"/>
        <w:tabs>
          <w:tab w:pos="898" w:val="left"/>
        </w:tabs>
        <w:bidi w:val="0"/>
        <w:spacing w:before="0" w:line="240" w:lineRule="auto"/>
        <w:ind w:left="720" w:right="0" w:hanging="14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10"/>
        <w:keepNext w:val="0"/>
        <w:keepLines w:val="0"/>
        <w:widowControl w:val="0"/>
        <w:numPr>
          <w:ilvl w:val="0"/>
          <w:numId w:val="21"/>
        </w:numPr>
        <w:shd w:val="clear" w:color="auto" w:fill="auto"/>
        <w:tabs>
          <w:tab w:pos="898" w:val="left"/>
        </w:tabs>
        <w:bidi w:val="0"/>
        <w:spacing w:before="0" w:line="240" w:lineRule="auto"/>
        <w:ind w:left="720" w:right="0" w:hanging="14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10"/>
        <w:keepNext w:val="0"/>
        <w:keepLines w:val="0"/>
        <w:widowControl w:val="0"/>
        <w:numPr>
          <w:ilvl w:val="0"/>
          <w:numId w:val="17"/>
        </w:numPr>
        <w:shd w:val="clear" w:color="auto" w:fill="auto"/>
        <w:tabs>
          <w:tab w:pos="562"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Objednatel je oprávněn od smlouvy odstoupit v případě, kdy Zhotovitel nesplní povinnost uvedenou v odst. 9.6. a 9.7. této smlouvy.</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6"/>
        <w:keepNext/>
        <w:keepLines/>
        <w:widowControl w:val="0"/>
        <w:shd w:val="clear" w:color="auto" w:fill="auto"/>
        <w:bidi w:val="0"/>
        <w:spacing w:before="0" w:after="22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Platnost a účinnost smlouvy</w:t>
      </w:r>
      <w:bookmarkEnd w:id="22"/>
      <w:bookmarkEnd w:id="23"/>
    </w:p>
    <w:p>
      <w:pPr>
        <w:pStyle w:val="Style10"/>
        <w:keepNext w:val="0"/>
        <w:keepLines w:val="0"/>
        <w:widowControl w:val="0"/>
        <w:numPr>
          <w:ilvl w:val="0"/>
          <w:numId w:val="23"/>
        </w:numPr>
        <w:shd w:val="clear" w:color="auto" w:fill="auto"/>
        <w:tabs>
          <w:tab w:pos="582" w:val="left"/>
        </w:tabs>
        <w:bidi w:val="0"/>
        <w:spacing w:before="0" w:after="34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10"/>
        <w:keepNext w:val="0"/>
        <w:keepLines w:val="0"/>
        <w:widowControl w:val="0"/>
        <w:numPr>
          <w:ilvl w:val="0"/>
          <w:numId w:val="23"/>
        </w:numPr>
        <w:shd w:val="clear" w:color="auto" w:fill="auto"/>
        <w:tabs>
          <w:tab w:pos="582" w:val="left"/>
        </w:tabs>
        <w:bidi w:val="0"/>
        <w:spacing w:before="0" w:after="340" w:line="240" w:lineRule="auto"/>
        <w:ind w:left="580" w:right="0" w:hanging="58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0"/>
        <w:keepNext w:val="0"/>
        <w:keepLines w:val="0"/>
        <w:widowControl w:val="0"/>
        <w:numPr>
          <w:ilvl w:val="0"/>
          <w:numId w:val="23"/>
        </w:numPr>
        <w:shd w:val="clear" w:color="auto" w:fill="auto"/>
        <w:tabs>
          <w:tab w:pos="582" w:val="left"/>
        </w:tabs>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ujednání</w:t>
      </w:r>
      <w:bookmarkEnd w:id="24"/>
      <w:bookmarkEnd w:id="25"/>
    </w:p>
    <w:p>
      <w:pPr>
        <w:pStyle w:val="Style10"/>
        <w:keepNext w:val="0"/>
        <w:keepLines w:val="0"/>
        <w:widowControl w:val="0"/>
        <w:numPr>
          <w:ilvl w:val="0"/>
          <w:numId w:val="25"/>
        </w:numPr>
        <w:shd w:val="clear" w:color="auto" w:fill="auto"/>
        <w:tabs>
          <w:tab w:pos="562" w:val="left"/>
        </w:tabs>
        <w:bidi w:val="0"/>
        <w:spacing w:before="0" w:after="220" w:line="240" w:lineRule="auto"/>
        <w:ind w:left="580" w:right="0" w:hanging="58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0"/>
        <w:keepNext w:val="0"/>
        <w:keepLines w:val="0"/>
        <w:widowControl w:val="0"/>
        <w:numPr>
          <w:ilvl w:val="0"/>
          <w:numId w:val="25"/>
        </w:numPr>
        <w:shd w:val="clear" w:color="auto" w:fill="auto"/>
        <w:tabs>
          <w:tab w:pos="562" w:val="left"/>
        </w:tabs>
        <w:bidi w:val="0"/>
        <w:spacing w:before="0" w:line="240" w:lineRule="auto"/>
        <w:ind w:left="580" w:right="0" w:hanging="580"/>
        <w:jc w:val="both"/>
        <w:sectPr>
          <w:headerReference w:type="default" r:id="rId5"/>
          <w:footerReference w:type="default" r:id="rId6"/>
          <w:footnotePr>
            <w:pos w:val="pageBottom"/>
            <w:numFmt w:val="decimal"/>
            <w:numRestart w:val="continuous"/>
          </w:footnotePr>
          <w:pgSz w:w="11900" w:h="16840"/>
          <w:pgMar w:top="1983" w:left="1347" w:right="1151" w:bottom="1263" w:header="0" w:footer="3" w:gutter="0"/>
          <w:pgNumType w:start="1"/>
          <w:cols w:space="720"/>
          <w:noEndnote/>
          <w:rtlGutter w:val="0"/>
          <w:docGrid w:linePitch="360"/>
        </w:sectPr>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w:t>
      </w:r>
    </w:p>
    <w:p>
      <w:pPr>
        <w:pStyle w:val="Style10"/>
        <w:keepNext w:val="0"/>
        <w:keepLines w:val="0"/>
        <w:widowControl w:val="0"/>
        <w:shd w:val="clear" w:color="auto" w:fill="auto"/>
        <w:bidi w:val="0"/>
        <w:spacing w:before="0" w:after="220" w:line="240" w:lineRule="auto"/>
        <w:ind w:left="700" w:right="0" w:firstLine="0"/>
        <w:jc w:val="left"/>
      </w:pPr>
      <w:r>
        <w:rPr>
          <w:color w:val="000000"/>
          <w:spacing w:val="0"/>
          <w:w w:val="100"/>
          <w:position w:val="0"/>
          <w:shd w:val="clear" w:color="auto" w:fill="auto"/>
          <w:lang w:val="cs-CZ" w:eastAsia="cs-CZ" w:bidi="cs-CZ"/>
        </w:rPr>
        <w:t>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10"/>
        <w:keepNext w:val="0"/>
        <w:keepLines w:val="0"/>
        <w:widowControl w:val="0"/>
        <w:numPr>
          <w:ilvl w:val="0"/>
          <w:numId w:val="25"/>
        </w:numPr>
        <w:shd w:val="clear" w:color="auto" w:fill="auto"/>
        <w:tabs>
          <w:tab w:pos="582" w:val="left"/>
        </w:tabs>
        <w:bidi w:val="0"/>
        <w:spacing w:before="0" w:after="120" w:line="240" w:lineRule="auto"/>
        <w:ind w:left="700" w:right="0" w:hanging="700"/>
        <w:jc w:val="left"/>
      </w:pPr>
      <w:r>
        <w:rPr>
          <w:color w:val="000000"/>
          <w:spacing w:val="0"/>
          <w:w w:val="100"/>
          <w:position w:val="0"/>
          <w:shd w:val="clear" w:color="auto" w:fill="auto"/>
          <w:lang w:val="cs-CZ" w:eastAsia="cs-CZ" w:bidi="cs-CZ"/>
        </w:rP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0"/>
        <w:keepNext w:val="0"/>
        <w:keepLines w:val="0"/>
        <w:widowControl w:val="0"/>
        <w:numPr>
          <w:ilvl w:val="0"/>
          <w:numId w:val="25"/>
        </w:numPr>
        <w:shd w:val="clear" w:color="auto" w:fill="auto"/>
        <w:tabs>
          <w:tab w:pos="582" w:val="left"/>
        </w:tabs>
        <w:bidi w:val="0"/>
        <w:spacing w:before="0" w:after="120" w:line="240" w:lineRule="auto"/>
        <w:ind w:left="700" w:right="0" w:hanging="700"/>
        <w:jc w:val="left"/>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0"/>
        <w:keepNext w:val="0"/>
        <w:keepLines w:val="0"/>
        <w:widowControl w:val="0"/>
        <w:numPr>
          <w:ilvl w:val="0"/>
          <w:numId w:val="25"/>
        </w:numPr>
        <w:shd w:val="clear" w:color="auto" w:fill="auto"/>
        <w:tabs>
          <w:tab w:pos="582" w:val="left"/>
        </w:tabs>
        <w:bidi w:val="0"/>
        <w:spacing w:before="0" w:after="120" w:line="240" w:lineRule="auto"/>
        <w:ind w:left="700" w:right="0" w:hanging="700"/>
        <w:jc w:val="left"/>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0"/>
        <w:keepNext w:val="0"/>
        <w:keepLines w:val="0"/>
        <w:widowControl w:val="0"/>
        <w:numPr>
          <w:ilvl w:val="0"/>
          <w:numId w:val="25"/>
        </w:numPr>
        <w:shd w:val="clear" w:color="auto" w:fill="auto"/>
        <w:tabs>
          <w:tab w:pos="582" w:val="left"/>
        </w:tabs>
        <w:bidi w:val="0"/>
        <w:spacing w:before="0" w:after="120" w:line="240" w:lineRule="auto"/>
        <w:ind w:left="700" w:right="0" w:hanging="70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platnými PRK a interními pravidly objednatele.</w:t>
      </w:r>
    </w:p>
    <w:p>
      <w:pPr>
        <w:pStyle w:val="Style16"/>
        <w:keepNext/>
        <w:keepLines/>
        <w:widowControl w:val="0"/>
        <w:numPr>
          <w:ilvl w:val="0"/>
          <w:numId w:val="25"/>
        </w:numPr>
        <w:shd w:val="clear" w:color="auto" w:fill="auto"/>
        <w:tabs>
          <w:tab w:pos="582" w:val="left"/>
        </w:tabs>
        <w:bidi w:val="0"/>
        <w:spacing w:before="0" w:after="120" w:line="240" w:lineRule="auto"/>
        <w:ind w:left="0" w:right="0" w:firstLine="0"/>
        <w:jc w:val="left"/>
      </w:pPr>
      <w:bookmarkStart w:id="26" w:name="bookmark26"/>
      <w:bookmarkStart w:id="27" w:name="bookmark2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26"/>
      <w:bookmarkEnd w:id="27"/>
    </w:p>
    <w:p>
      <w:pPr>
        <w:pStyle w:val="Style10"/>
        <w:keepNext w:val="0"/>
        <w:keepLines w:val="0"/>
        <w:widowControl w:val="0"/>
        <w:numPr>
          <w:ilvl w:val="0"/>
          <w:numId w:val="25"/>
        </w:numPr>
        <w:shd w:val="clear" w:color="auto" w:fill="auto"/>
        <w:tabs>
          <w:tab w:pos="582" w:val="left"/>
        </w:tabs>
        <w:bidi w:val="0"/>
        <w:spacing w:before="0" w:after="120" w:line="240" w:lineRule="auto"/>
        <w:ind w:left="700" w:right="0" w:hanging="70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1 - Technické podmínky</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2 - Kalkulace projekčních prací</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Příloha č. 3 - Údaje, které jsou součástí ujednání a nebudou zveřejněny v Registru smluv</w:t>
      </w:r>
    </w:p>
    <w:p>
      <w:pPr>
        <w:pStyle w:val="Style10"/>
        <w:keepNext w:val="0"/>
        <w:keepLines w:val="0"/>
        <w:widowControl w:val="0"/>
        <w:shd w:val="clear" w:color="auto" w:fill="auto"/>
        <w:bidi w:val="0"/>
        <w:spacing w:before="0" w:after="740" w:line="276" w:lineRule="auto"/>
        <w:ind w:left="0" w:right="0" w:firstLine="14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0"/>
        <w:keepNext w:val="0"/>
        <w:keepLines w:val="0"/>
        <w:widowControl w:val="0"/>
        <w:shd w:val="clear" w:color="auto" w:fill="auto"/>
        <w:tabs>
          <w:tab w:pos="5478" w:val="left"/>
        </w:tabs>
        <w:bidi w:val="0"/>
        <w:spacing w:before="0" w:after="2260" w:line="276" w:lineRule="auto"/>
        <w:ind w:left="0" w:right="0" w:firstLine="860"/>
        <w:jc w:val="left"/>
      </w:pPr>
      <w:r>
        <w:rPr>
          <w:color w:val="000000"/>
          <w:spacing w:val="0"/>
          <w:w w:val="100"/>
          <w:position w:val="0"/>
          <w:shd w:val="clear" w:color="auto" w:fill="auto"/>
          <w:lang w:val="cs-CZ" w:eastAsia="cs-CZ" w:bidi="cs-CZ"/>
        </w:rPr>
        <w:t>V Novém Městě na Moravě, dne: viz podpis</w:t>
        <w:tab/>
        <w:t>V Jihlavě, dne: viz podpis</w:t>
      </w:r>
    </w:p>
    <w:tbl>
      <w:tblPr>
        <w:tblOverlap w:val="never"/>
        <w:jc w:val="center"/>
        <w:tblLayout w:type="fixed"/>
      </w:tblPr>
      <w:tblGrid>
        <w:gridCol w:w="3542"/>
        <w:gridCol w:w="7104"/>
      </w:tblGrid>
      <w:tr>
        <w:trPr>
          <w:trHeight w:val="58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1720" w:right="0" w:firstLine="0"/>
              <w:jc w:val="left"/>
              <w:rPr>
                <w:sz w:val="16"/>
                <w:szCs w:val="16"/>
              </w:rPr>
            </w:pPr>
            <w:r>
              <w:rPr>
                <w:color w:val="000000"/>
                <w:spacing w:val="0"/>
                <w:w w:val="100"/>
                <w:position w:val="0"/>
                <w:sz w:val="16"/>
                <w:szCs w:val="16"/>
                <w:shd w:val="clear" w:color="auto" w:fill="auto"/>
                <w:lang w:val="cs-CZ" w:eastAsia="cs-CZ" w:bidi="cs-CZ"/>
              </w:rPr>
              <w:t>Ing. Julius Janeba</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1940" w:right="0" w:firstLine="0"/>
              <w:jc w:val="left"/>
              <w:rPr>
                <w:sz w:val="16"/>
                <w:szCs w:val="16"/>
              </w:rPr>
            </w:pPr>
            <w:r>
              <w:rPr>
                <w:color w:val="000000"/>
                <w:spacing w:val="0"/>
                <w:w w:val="100"/>
                <w:position w:val="0"/>
                <w:sz w:val="16"/>
                <w:szCs w:val="16"/>
                <w:shd w:val="clear" w:color="auto" w:fill="auto"/>
                <w:lang w:val="cs-CZ" w:eastAsia="cs-CZ" w:bidi="cs-CZ"/>
              </w:rPr>
              <w:t>Ing. Radovan Necid, ředitel organizace Krajská správa a údržba silnic Vysočiny, příspěvková organizace</w:t>
            </w:r>
          </w:p>
        </w:tc>
      </w:tr>
    </w:tbl>
    <w:p>
      <w:pPr>
        <w:sectPr>
          <w:footnotePr>
            <w:pos w:val="pageBottom"/>
            <w:numFmt w:val="decimal"/>
            <w:numRestart w:val="continuous"/>
          </w:footnotePr>
          <w:pgSz w:w="11900" w:h="16840"/>
          <w:pgMar w:top="1988" w:left="1254" w:right="0" w:bottom="1546" w:header="0" w:footer="3" w:gutter="0"/>
          <w:cols w:space="720"/>
          <w:noEndnote/>
          <w:rtlGutter w:val="0"/>
          <w:docGrid w:linePitch="360"/>
        </w:sectPr>
      </w:pPr>
    </w:p>
    <w:p>
      <w:pPr>
        <w:pStyle w:val="Style23"/>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Příloha č.1</w:t>
      </w:r>
    </w:p>
    <w:p>
      <w:pPr>
        <w:pStyle w:val="Style10"/>
        <w:keepNext w:val="0"/>
        <w:keepLines w:val="0"/>
        <w:widowControl w:val="0"/>
        <w:shd w:val="clear" w:color="auto" w:fill="auto"/>
        <w:bidi w:val="0"/>
        <w:spacing w:before="0" w:after="280" w:line="240" w:lineRule="auto"/>
        <w:ind w:left="3540" w:right="0" w:firstLine="0"/>
        <w:jc w:val="left"/>
        <w:rPr>
          <w:sz w:val="22"/>
          <w:szCs w:val="22"/>
        </w:rPr>
      </w:pPr>
      <w:r>
        <w:rPr>
          <w:b/>
          <w:bCs/>
          <w:color w:val="000000"/>
          <w:spacing w:val="0"/>
          <w:w w:val="100"/>
          <w:position w:val="0"/>
          <w:sz w:val="22"/>
          <w:szCs w:val="22"/>
          <w:shd w:val="clear" w:color="auto" w:fill="auto"/>
          <w:lang w:val="cs-CZ" w:eastAsia="cs-CZ" w:bidi="cs-CZ"/>
        </w:rPr>
        <w:t>Technické podmínky</w:t>
      </w:r>
    </w:p>
    <w:p>
      <w:pPr>
        <w:pStyle w:val="Style10"/>
        <w:keepNext w:val="0"/>
        <w:keepLines w:val="0"/>
        <w:widowControl w:val="0"/>
        <w:shd w:val="clear" w:color="auto" w:fill="auto"/>
        <w:bidi w:val="0"/>
        <w:spacing w:before="0" w:after="280" w:line="240" w:lineRule="auto"/>
        <w:ind w:left="3400" w:right="0" w:firstLine="0"/>
        <w:jc w:val="left"/>
        <w:rPr>
          <w:sz w:val="22"/>
          <w:szCs w:val="22"/>
        </w:rPr>
      </w:pPr>
      <w:r>
        <w:rPr>
          <w:b/>
          <w:bCs/>
          <w:color w:val="000000"/>
          <w:spacing w:val="0"/>
          <w:w w:val="100"/>
          <w:position w:val="0"/>
          <w:sz w:val="22"/>
          <w:szCs w:val="22"/>
          <w:u w:val="single"/>
          <w:shd w:val="clear" w:color="auto" w:fill="auto"/>
          <w:lang w:val="cs-CZ" w:eastAsia="cs-CZ" w:bidi="cs-CZ"/>
        </w:rPr>
        <w:t>II/354 křiž. 11/602 - Netín</w:t>
      </w:r>
    </w:p>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Předmětem plnění projekčních prací je návrh opravy dílčího úseku silnice II/354, okr. Žďár nad Sázavou, Kraj Vysočina. Začátek opravovaného úseku je v obci Netín na pracovní spáře u křižovatky se silnicí III/35433 ve staničení 59,256 km. Konec opravovaného úseku se nachází na křižovatce silnice II/354 se silnicí II/602,ve staničení 63,517 km. Průměrná šířka silnice v předmětném úseku se pohybuje od 5,30 do 7,50 m.</w:t>
      </w:r>
    </w:p>
    <w:p>
      <w:pPr>
        <w:pStyle w:val="Style10"/>
        <w:keepNext w:val="0"/>
        <w:keepLines w:val="0"/>
        <w:widowControl w:val="0"/>
        <w:shd w:val="clear" w:color="auto" w:fill="auto"/>
        <w:bidi w:val="0"/>
        <w:spacing w:before="0" w:after="460" w:line="240" w:lineRule="auto"/>
        <w:ind w:left="0" w:right="0" w:firstLine="140"/>
        <w:jc w:val="both"/>
      </w:pPr>
      <w:r>
        <w:rPr>
          <w:color w:val="000000"/>
          <w:spacing w:val="0"/>
          <w:w w:val="100"/>
          <w:position w:val="0"/>
          <w:shd w:val="clear" w:color="auto" w:fill="auto"/>
          <w:lang w:val="cs-CZ" w:eastAsia="cs-CZ" w:bidi="cs-CZ"/>
        </w:rPr>
        <w:t>Při opravě silnice se nepředpokládá změna šířkového uspořádání. Součástí návrhu opravy bude řešení povrchového odvodnění silnice včetně řešení příkopů, krajnic a přilehlých propustků.</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Předmětem plnění je:</w:t>
      </w:r>
    </w:p>
    <w:p>
      <w:pPr>
        <w:pStyle w:val="Style10"/>
        <w:keepNext w:val="0"/>
        <w:keepLines w:val="0"/>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vypracování projektové dokumentace PDPS včetně oceněného a neoceněného soupisu prací</w:t>
      </w:r>
    </w:p>
    <w:p>
      <w:pPr>
        <w:pStyle w:val="Style10"/>
        <w:keepNext w:val="0"/>
        <w:keepLines w:val="0"/>
        <w:widowControl w:val="0"/>
        <w:shd w:val="clear" w:color="auto" w:fill="auto"/>
        <w:bidi w:val="0"/>
        <w:spacing w:before="0" w:after="220" w:line="240" w:lineRule="auto"/>
        <w:ind w:left="840" w:right="0" w:hanging="360"/>
        <w:jc w:val="both"/>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zajištění vyjádření dotčených správců inženýrských sítí, vyjádření spec.stav.úřadu a v případě dotčení intravilánu obce i její vyjádření.</w:t>
      </w:r>
    </w:p>
    <w:p>
      <w:pPr>
        <w:pStyle w:val="Style10"/>
        <w:keepNext w:val="0"/>
        <w:keepLines w:val="0"/>
        <w:widowControl w:val="0"/>
        <w:shd w:val="clear" w:color="auto" w:fill="auto"/>
        <w:tabs>
          <w:tab w:pos="3639" w:val="left"/>
        </w:tabs>
        <w:bidi w:val="0"/>
        <w:spacing w:before="0" w:after="0" w:line="240" w:lineRule="auto"/>
        <w:ind w:left="840" w:right="0" w:hanging="700"/>
        <w:jc w:val="left"/>
      </w:pPr>
      <w:r>
        <w:rPr>
          <w:color w:val="000000"/>
          <w:spacing w:val="0"/>
          <w:w w:val="100"/>
          <w:position w:val="0"/>
          <w:shd w:val="clear" w:color="auto" w:fill="auto"/>
          <w:lang w:val="cs-CZ" w:eastAsia="cs-CZ" w:bidi="cs-CZ"/>
        </w:rPr>
        <w:t>Základní údaje: délka úseku</w:t>
        <w:tab/>
        <w:t>4,261 km</w:t>
      </w:r>
    </w:p>
    <w:p>
      <w:pPr>
        <w:pStyle w:val="Style10"/>
        <w:keepNext w:val="0"/>
        <w:keepLines w:val="0"/>
        <w:widowControl w:val="0"/>
        <w:shd w:val="clear" w:color="auto" w:fill="auto"/>
        <w:tabs>
          <w:tab w:pos="3639" w:val="left"/>
        </w:tabs>
        <w:bidi w:val="0"/>
        <w:spacing w:before="0" w:after="460" w:line="240" w:lineRule="auto"/>
        <w:ind w:left="0" w:right="0" w:firstLine="840"/>
        <w:jc w:val="left"/>
      </w:pPr>
      <w:r>
        <w:rPr>
          <w:color w:val="000000"/>
          <w:spacing w:val="0"/>
          <w:w w:val="100"/>
          <w:position w:val="0"/>
          <w:shd w:val="clear" w:color="auto" w:fill="auto"/>
          <w:lang w:val="cs-CZ" w:eastAsia="cs-CZ" w:bidi="cs-CZ"/>
        </w:rPr>
        <w:t>průměrná šířka vozovky</w:t>
        <w:tab/>
        <w:t>6,5 m</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cs-CZ" w:eastAsia="cs-CZ" w:bidi="cs-CZ"/>
        </w:rPr>
        <w:t>S ohledem na rozsah stavby, vedení v intravilánu a extravilánu, dopravní obslužnost a různé techologie opravy, bude stavba rozdělena na 3 stavební objekty:</w:t>
      </w:r>
    </w:p>
    <w:p>
      <w:pPr>
        <w:pStyle w:val="Style10"/>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xml:space="preserve">SO 101.1 </w:t>
      </w:r>
      <w:r>
        <w:rPr>
          <w:color w:val="000000"/>
          <w:spacing w:val="0"/>
          <w:w w:val="100"/>
          <w:position w:val="0"/>
          <w:shd w:val="clear" w:color="auto" w:fill="auto"/>
          <w:lang w:val="cs-CZ" w:eastAsia="cs-CZ" w:bidi="cs-CZ"/>
        </w:rPr>
        <w:t>59,256 km - 59,650 km (prac.spára v křižovatce - konec obce Netín). Délka 394 m.</w:t>
      </w:r>
    </w:p>
    <w:p>
      <w:pPr>
        <w:pStyle w:val="Style10"/>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xml:space="preserve">SO 101.2 </w:t>
      </w:r>
      <w:r>
        <w:rPr>
          <w:color w:val="000000"/>
          <w:spacing w:val="0"/>
          <w:w w:val="100"/>
          <w:position w:val="0"/>
          <w:shd w:val="clear" w:color="auto" w:fill="auto"/>
          <w:lang w:val="cs-CZ" w:eastAsia="cs-CZ" w:bidi="cs-CZ"/>
        </w:rPr>
        <w:t>59,650 km - 61,100km (konec obce Netín - konec lesa u plynové stanice). Délka 1 450 m.</w:t>
      </w:r>
    </w:p>
    <w:p>
      <w:pPr>
        <w:pStyle w:val="Style10"/>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hd w:val="clear" w:color="auto" w:fill="auto"/>
          <w:lang w:val="cs-CZ" w:eastAsia="cs-CZ" w:bidi="cs-CZ"/>
        </w:rPr>
        <w:t xml:space="preserve">SO 101.3 </w:t>
      </w:r>
      <w:r>
        <w:rPr>
          <w:color w:val="000000"/>
          <w:spacing w:val="0"/>
          <w:w w:val="100"/>
          <w:position w:val="0"/>
          <w:shd w:val="clear" w:color="auto" w:fill="auto"/>
          <w:lang w:val="cs-CZ" w:eastAsia="cs-CZ" w:bidi="cs-CZ"/>
        </w:rPr>
        <w:t>61,100 km - 63,517 km (plynová stanice - křižovatka s II/602). Délka 2 417 m.</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 pro zachování obslužnosti obce Kochánov bude dopravní řešení stavby řešeno na 2 etapy:</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Etapa 1: prac. spára v Netíně - polovina křiž. v obci Kochánov</w:t>
      </w:r>
    </w:p>
    <w:p>
      <w:pPr>
        <w:pStyle w:val="Style10"/>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Etapa 2: polovina křiž. v obci Kochánov - křižovatka s II/602</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cs-CZ" w:eastAsia="cs-CZ" w:bidi="cs-CZ"/>
        </w:rPr>
        <w:t>Návrh opravy bude určen na základě místního šetření a odborné vizuální prohlídky za účasti investora, následně bude návrh opravy projednán se zástupci obcí, vlastníky a správci inženýrských sítí.</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u w:val="single"/>
          <w:shd w:val="clear" w:color="auto" w:fill="auto"/>
          <w:lang w:val="cs-CZ" w:eastAsia="cs-CZ" w:bidi="cs-CZ"/>
        </w:rPr>
        <w:t>Technologie opravy</w:t>
      </w:r>
      <w:r>
        <w:rPr>
          <w:color w:val="000000"/>
          <w:spacing w:val="0"/>
          <w:w w:val="100"/>
          <w:position w:val="0"/>
          <w:shd w:val="clear" w:color="auto" w:fill="auto"/>
          <w:lang w:val="cs-CZ" w:eastAsia="cs-CZ" w:bidi="cs-CZ"/>
        </w:rPr>
        <w:t xml:space="preserve"> - bude odlišná v jednotlivých etapách, toto bude upřesněno na vstupním výrobním výboru.</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cs-CZ" w:eastAsia="cs-CZ" w:bidi="cs-CZ"/>
        </w:rPr>
        <w:t>Bude se jednat o odfrézování obrusné vrstvy a sanace v ložné vrstvě, nebo odfrézování obrusné i ložné vrstvy (celkem 100 mm), v případě rozpadů nebo poruch v podkladní vrstvě návrhu míst pro sanace (za použití vhodných geomříží), provedení recyklace za studena s vhodnými pojivy, aplikaci postřiků a následně pokládky ložné a obrusné vrstvy.</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cs-CZ" w:eastAsia="cs-CZ" w:bidi="cs-CZ"/>
        </w:rPr>
        <w:t>S ohledem na zachování nivelety silnice v intravilánu obce Netín bude nutné frézování, popř. přesun přebytečného materiálu do úseků v extravilánech, nebo jeho využití na zřízení nových krajnic.</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cs-CZ" w:eastAsia="cs-CZ" w:bidi="cs-CZ"/>
        </w:rPr>
        <w:t>Rozbory na PAU látky dodá objednatel PD. Kopané sondy byly provedeny, objednatel dodá fotodokumentaci vítěznému zhotoviteli.</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cs-CZ" w:eastAsia="cs-CZ" w:bidi="cs-CZ"/>
        </w:rPr>
        <w:t>Navrh musí zohlednit napojení místních komunikací, výškové úpravy všech vnějších znaků sítí. Součástí prováděných prací je i dosypání krajnic, zajištění dostatečného odvodnění vod z vozovky, ošetření všech prac. spár a napojení vhodnou zálivkou.</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Součástí projektu bude i oprava propustků (354-108P až 354-112P).</w:t>
      </w:r>
    </w:p>
    <w:p>
      <w:pPr>
        <w:pStyle w:val="Style10"/>
        <w:keepNext w:val="0"/>
        <w:keepLines w:val="0"/>
        <w:widowControl w:val="0"/>
        <w:shd w:val="clear" w:color="auto" w:fill="auto"/>
        <w:bidi w:val="0"/>
        <w:spacing w:before="0" w:after="340" w:line="240" w:lineRule="auto"/>
        <w:ind w:left="0" w:right="0" w:firstLine="8260"/>
        <w:jc w:val="both"/>
      </w:pPr>
      <w:r>
        <w:rPr>
          <w:rFonts w:ascii="Calibri" w:eastAsia="Calibri" w:hAnsi="Calibri" w:cs="Calibri"/>
          <w:color w:val="000000"/>
          <w:spacing w:val="0"/>
          <w:w w:val="100"/>
          <w:position w:val="0"/>
          <w:sz w:val="22"/>
          <w:szCs w:val="22"/>
          <w:shd w:val="clear" w:color="auto" w:fill="auto"/>
          <w:lang w:val="cs-CZ" w:eastAsia="cs-CZ" w:bidi="cs-CZ"/>
        </w:rPr>
        <w:t xml:space="preserve">Příloha č.1 </w:t>
      </w:r>
      <w:r>
        <w:rPr>
          <w:color w:val="000000"/>
          <w:spacing w:val="0"/>
          <w:w w:val="100"/>
          <w:position w:val="0"/>
          <w:shd w:val="clear" w:color="auto" w:fill="auto"/>
          <w:lang w:val="cs-CZ" w:eastAsia="cs-CZ" w:bidi="cs-CZ"/>
        </w:rPr>
        <w:t>Vodorovné dopravní značení bude provedeno plastem, svislé dopravní značení bude ponecháno stávající.</w:t>
      </w:r>
    </w:p>
    <w:p>
      <w:pPr>
        <w:pStyle w:val="Style16"/>
        <w:keepNext/>
        <w:keepLines/>
        <w:widowControl w:val="0"/>
        <w:shd w:val="clear" w:color="auto" w:fill="auto"/>
        <w:bidi w:val="0"/>
        <w:spacing w:before="0" w:line="240" w:lineRule="auto"/>
        <w:ind w:left="0" w:right="0" w:firstLine="0"/>
        <w:jc w:val="left"/>
      </w:pPr>
      <w:bookmarkStart w:id="28" w:name="bookmark28"/>
      <w:bookmarkStart w:id="29" w:name="bookmark29"/>
      <w:r>
        <w:rPr>
          <w:color w:val="000000"/>
          <w:spacing w:val="0"/>
          <w:w w:val="100"/>
          <w:position w:val="0"/>
          <w:u w:val="single"/>
          <w:shd w:val="clear" w:color="auto" w:fill="auto"/>
          <w:lang w:val="cs-CZ" w:eastAsia="cs-CZ" w:bidi="cs-CZ"/>
        </w:rPr>
        <w:t>Veřejný provoz:</w:t>
      </w:r>
      <w:bookmarkEnd w:id="28"/>
      <w:bookmarkEnd w:id="29"/>
    </w:p>
    <w:p>
      <w:pPr>
        <w:pStyle w:val="Style10"/>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Objednatel požaduje provádět veškeré práce s vyloučením veškerého provozu, tzn. v celkové uzavírce. Pokládka bude probíhat v celé šíři vozovky bez pracovní spáry.</w:t>
      </w:r>
    </w:p>
    <w:p>
      <w:pPr>
        <w:pStyle w:val="Style10"/>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Předpokládaný termín realizace stavebních prací - rok 2023.</w:t>
      </w:r>
    </w:p>
    <w:p>
      <w:pPr>
        <w:pStyle w:val="Style16"/>
        <w:keepNext/>
        <w:keepLines/>
        <w:widowControl w:val="0"/>
        <w:shd w:val="clear" w:color="auto" w:fill="auto"/>
        <w:bidi w:val="0"/>
        <w:spacing w:before="0" w:line="240" w:lineRule="auto"/>
        <w:ind w:left="0" w:right="0" w:firstLine="0"/>
        <w:jc w:val="left"/>
      </w:pPr>
      <w:bookmarkStart w:id="30" w:name="bookmark30"/>
      <w:bookmarkStart w:id="31" w:name="bookmark31"/>
      <w:r>
        <w:rPr>
          <w:color w:val="000000"/>
          <w:spacing w:val="0"/>
          <w:w w:val="100"/>
          <w:position w:val="0"/>
          <w:u w:val="single"/>
          <w:shd w:val="clear" w:color="auto" w:fill="auto"/>
          <w:lang w:val="cs-CZ" w:eastAsia="cs-CZ" w:bidi="cs-CZ"/>
        </w:rPr>
        <w:t>Technické podmínky:</w:t>
      </w:r>
      <w:bookmarkEnd w:id="30"/>
      <w:bookmarkEnd w:id="31"/>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Rozsah, obsah a skladba dokumentace:</w:t>
      </w:r>
    </w:p>
    <w:p>
      <w:pPr>
        <w:pStyle w:val="Style10"/>
        <w:keepNext w:val="0"/>
        <w:keepLines w:val="0"/>
        <w:widowControl w:val="0"/>
        <w:numPr>
          <w:ilvl w:val="0"/>
          <w:numId w:val="27"/>
        </w:numPr>
        <w:shd w:val="clear" w:color="auto" w:fill="auto"/>
        <w:tabs>
          <w:tab w:pos="878" w:val="left"/>
        </w:tabs>
        <w:bidi w:val="0"/>
        <w:spacing w:before="0" w:after="0" w:line="240" w:lineRule="auto"/>
        <w:ind w:left="840" w:right="0" w:hanging="360"/>
        <w:jc w:val="left"/>
      </w:pPr>
      <w:r>
        <w:rPr>
          <w:color w:val="000000"/>
          <w:spacing w:val="0"/>
          <w:w w:val="100"/>
          <w:position w:val="0"/>
          <w:shd w:val="clear" w:color="auto" w:fill="auto"/>
          <w:lang w:val="cs-CZ" w:eastAsia="cs-CZ" w:bidi="cs-CZ"/>
        </w:rPr>
        <w:t>Průvodní a technická zpráva</w:t>
      </w:r>
    </w:p>
    <w:p>
      <w:pPr>
        <w:pStyle w:val="Style10"/>
        <w:keepNext w:val="0"/>
        <w:keepLines w:val="0"/>
        <w:widowControl w:val="0"/>
        <w:numPr>
          <w:ilvl w:val="0"/>
          <w:numId w:val="27"/>
        </w:numPr>
        <w:shd w:val="clear" w:color="auto" w:fill="auto"/>
        <w:tabs>
          <w:tab w:pos="878" w:val="left"/>
        </w:tabs>
        <w:bidi w:val="0"/>
        <w:spacing w:before="0" w:after="0" w:line="240" w:lineRule="auto"/>
        <w:ind w:left="840" w:right="0" w:hanging="360"/>
        <w:jc w:val="left"/>
      </w:pPr>
      <w:r>
        <w:rPr>
          <w:color w:val="000000"/>
          <w:spacing w:val="0"/>
          <w:w w:val="100"/>
          <w:position w:val="0"/>
          <w:shd w:val="clear" w:color="auto" w:fill="auto"/>
          <w:lang w:val="cs-CZ" w:eastAsia="cs-CZ" w:bidi="cs-CZ"/>
        </w:rPr>
        <w:t>Souhrnné řešení stavby -Přehledná situace stavby -Návrh objízdné trasy</w:t>
      </w:r>
    </w:p>
    <w:p>
      <w:pPr>
        <w:pStyle w:val="Style10"/>
        <w:keepNext w:val="0"/>
        <w:keepLines w:val="0"/>
        <w:widowControl w:val="0"/>
        <w:numPr>
          <w:ilvl w:val="0"/>
          <w:numId w:val="27"/>
        </w:numPr>
        <w:shd w:val="clear" w:color="auto" w:fill="auto"/>
        <w:tabs>
          <w:tab w:pos="878" w:val="left"/>
        </w:tabs>
        <w:bidi w:val="0"/>
        <w:spacing w:before="0" w:after="0" w:line="240" w:lineRule="auto"/>
        <w:ind w:left="0" w:right="0" w:firstLine="480"/>
        <w:jc w:val="left"/>
      </w:pPr>
      <w:r>
        <w:rPr>
          <w:color w:val="000000"/>
          <w:spacing w:val="0"/>
          <w:w w:val="100"/>
          <w:position w:val="0"/>
          <w:shd w:val="clear" w:color="auto" w:fill="auto"/>
          <w:lang w:val="cs-CZ" w:eastAsia="cs-CZ" w:bidi="cs-CZ"/>
        </w:rPr>
        <w:t>Stavební část</w:t>
      </w:r>
    </w:p>
    <w:p>
      <w:pPr>
        <w:pStyle w:val="Style10"/>
        <w:keepNext w:val="0"/>
        <w:keepLines w:val="0"/>
        <w:widowControl w:val="0"/>
        <w:numPr>
          <w:ilvl w:val="0"/>
          <w:numId w:val="29"/>
        </w:numPr>
        <w:shd w:val="clear" w:color="auto" w:fill="auto"/>
        <w:tabs>
          <w:tab w:pos="1056" w:val="left"/>
        </w:tabs>
        <w:bidi w:val="0"/>
        <w:spacing w:before="0" w:after="0" w:line="240" w:lineRule="auto"/>
        <w:ind w:left="0" w:right="0" w:firstLine="840"/>
        <w:jc w:val="both"/>
      </w:pPr>
      <w:r>
        <w:rPr>
          <w:color w:val="000000"/>
          <w:spacing w:val="0"/>
          <w:w w:val="100"/>
          <w:position w:val="0"/>
          <w:shd w:val="clear" w:color="auto" w:fill="auto"/>
          <w:lang w:val="cs-CZ" w:eastAsia="cs-CZ" w:bidi="cs-CZ"/>
        </w:rPr>
        <w:t>Koordinační situace M 1:500</w:t>
      </w:r>
    </w:p>
    <w:p>
      <w:pPr>
        <w:pStyle w:val="Style10"/>
        <w:keepNext w:val="0"/>
        <w:keepLines w:val="0"/>
        <w:widowControl w:val="0"/>
        <w:numPr>
          <w:ilvl w:val="0"/>
          <w:numId w:val="29"/>
        </w:numPr>
        <w:shd w:val="clear" w:color="auto" w:fill="auto"/>
        <w:tabs>
          <w:tab w:pos="1056" w:val="left"/>
        </w:tabs>
        <w:bidi w:val="0"/>
        <w:spacing w:before="0" w:after="0" w:line="240" w:lineRule="auto"/>
        <w:ind w:left="0" w:right="0" w:firstLine="840"/>
        <w:jc w:val="both"/>
      </w:pPr>
      <w:r>
        <w:rPr>
          <w:color w:val="000000"/>
          <w:spacing w:val="0"/>
          <w:w w:val="100"/>
          <w:position w:val="0"/>
          <w:shd w:val="clear" w:color="auto" w:fill="auto"/>
          <w:lang w:val="cs-CZ" w:eastAsia="cs-CZ" w:bidi="cs-CZ"/>
        </w:rPr>
        <w:t>Vzorové příčné řezy M 1:50 (ke každé skladbě 1 vzorový řez)</w:t>
      </w:r>
    </w:p>
    <w:p>
      <w:pPr>
        <w:pStyle w:val="Style10"/>
        <w:keepNext w:val="0"/>
        <w:keepLines w:val="0"/>
        <w:widowControl w:val="0"/>
        <w:numPr>
          <w:ilvl w:val="0"/>
          <w:numId w:val="29"/>
        </w:numPr>
        <w:shd w:val="clear" w:color="auto" w:fill="auto"/>
        <w:tabs>
          <w:tab w:pos="1056" w:val="left"/>
        </w:tabs>
        <w:bidi w:val="0"/>
        <w:spacing w:before="0" w:after="0" w:line="240" w:lineRule="auto"/>
        <w:ind w:left="0" w:right="0" w:firstLine="840"/>
        <w:jc w:val="both"/>
      </w:pPr>
      <w:r>
        <w:rPr>
          <w:color w:val="000000"/>
          <w:spacing w:val="0"/>
          <w:w w:val="100"/>
          <w:position w:val="0"/>
          <w:shd w:val="clear" w:color="auto" w:fill="auto"/>
          <w:lang w:val="cs-CZ" w:eastAsia="cs-CZ" w:bidi="cs-CZ"/>
        </w:rPr>
        <w:t>Vzorový příčný řez M 1:50 (při rozšíření vozovky, zúžení vozovky, sanace atd.)</w:t>
      </w:r>
    </w:p>
    <w:p>
      <w:pPr>
        <w:pStyle w:val="Style10"/>
        <w:keepNext w:val="0"/>
        <w:keepLines w:val="0"/>
        <w:widowControl w:val="0"/>
        <w:numPr>
          <w:ilvl w:val="0"/>
          <w:numId w:val="29"/>
        </w:numPr>
        <w:shd w:val="clear" w:color="auto" w:fill="auto"/>
        <w:tabs>
          <w:tab w:pos="1056" w:val="left"/>
        </w:tabs>
        <w:bidi w:val="0"/>
        <w:spacing w:before="0" w:after="220" w:line="240" w:lineRule="auto"/>
        <w:ind w:left="0" w:right="0" w:firstLine="840"/>
        <w:jc w:val="left"/>
      </w:pPr>
      <w:r>
        <w:rPr>
          <w:color w:val="000000"/>
          <w:spacing w:val="0"/>
          <w:w w:val="100"/>
          <w:position w:val="0"/>
          <w:shd w:val="clear" w:color="auto" w:fill="auto"/>
          <w:lang w:val="cs-CZ" w:eastAsia="cs-CZ" w:bidi="cs-CZ"/>
        </w:rPr>
        <w:t>Vzorový řez propustkem</w:t>
      </w:r>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Dokumentace bude obsahovat zejména:</w:t>
      </w:r>
    </w:p>
    <w:p>
      <w:pPr>
        <w:pStyle w:val="Style10"/>
        <w:keepNext w:val="0"/>
        <w:keepLines w:val="0"/>
        <w:widowControl w:val="0"/>
        <w:numPr>
          <w:ilvl w:val="0"/>
          <w:numId w:val="31"/>
        </w:numPr>
        <w:shd w:val="clear" w:color="auto" w:fill="auto"/>
        <w:tabs>
          <w:tab w:pos="878" w:val="left"/>
        </w:tabs>
        <w:bidi w:val="0"/>
        <w:spacing w:before="0" w:line="240" w:lineRule="auto"/>
        <w:ind w:left="0" w:right="0" w:firstLine="480"/>
        <w:jc w:val="left"/>
      </w:pPr>
      <w:r>
        <w:rPr>
          <w:color w:val="000000"/>
          <w:spacing w:val="0"/>
          <w:w w:val="100"/>
          <w:position w:val="0"/>
          <w:shd w:val="clear" w:color="auto" w:fill="auto"/>
          <w:lang w:val="cs-CZ" w:eastAsia="cs-CZ" w:bidi="cs-CZ"/>
        </w:rPr>
        <w:t>Zjištění a ověření průběhu inženýrských sítí včetně zakreslení do situace.</w:t>
      </w:r>
    </w:p>
    <w:p>
      <w:pPr>
        <w:pStyle w:val="Style10"/>
        <w:keepNext w:val="0"/>
        <w:keepLines w:val="0"/>
        <w:widowControl w:val="0"/>
        <w:numPr>
          <w:ilvl w:val="0"/>
          <w:numId w:val="31"/>
        </w:numPr>
        <w:shd w:val="clear" w:color="auto" w:fill="auto"/>
        <w:tabs>
          <w:tab w:pos="878" w:val="left"/>
        </w:tabs>
        <w:bidi w:val="0"/>
        <w:spacing w:before="0" w:line="240" w:lineRule="auto"/>
        <w:ind w:left="840" w:right="0" w:hanging="360"/>
        <w:jc w:val="both"/>
      </w:pPr>
      <w:r>
        <w:rPr>
          <w:color w:val="000000"/>
          <w:spacing w:val="0"/>
          <w:w w:val="100"/>
          <w:position w:val="0"/>
          <w:shd w:val="clear" w:color="auto" w:fill="auto"/>
          <w:lang w:val="cs-CZ" w:eastAsia="cs-CZ" w:bidi="cs-CZ"/>
        </w:rPr>
        <w:t>Vypracování projektové dokumentace, která bude zahrnovat návrh opravy konstrukce vozovky vč. návrhu případných sanací a šířkového uspořádání vozovky (předpokládáme jednotnou šířkovou úpravu), řešení odvodnění silnice v předmětném úseku (stávající dešťové vpusti budou upraveny dle nového návrhu konstrukce vč. případného doplnění nových uličních vpustí, výškové vyrovnání stávajících povrchových znaků inženýrských sítí, včetně opravy nebo přestavby stávajících propustků (354-108P až 354-112P)). Pro každý úsek dle skladby konstrukce vozovky bude zpracován vzorový řez. Koordinační situace v intravilánu obce bude v měřítku 1:250 nebo 1:500. Součástí projektové dokumentace rovněž bude výkaz výměr (bilance stavebních prací).</w:t>
      </w:r>
    </w:p>
    <w:p>
      <w:pPr>
        <w:pStyle w:val="Style10"/>
        <w:keepNext w:val="0"/>
        <w:keepLines w:val="0"/>
        <w:widowControl w:val="0"/>
        <w:shd w:val="clear" w:color="auto" w:fill="auto"/>
        <w:bidi w:val="0"/>
        <w:spacing w:before="0" w:line="240" w:lineRule="auto"/>
        <w:ind w:left="0" w:right="0" w:firstLine="840"/>
        <w:jc w:val="both"/>
      </w:pPr>
      <w:r>
        <w:rPr>
          <w:color w:val="000000"/>
          <w:spacing w:val="0"/>
          <w:w w:val="100"/>
          <w:position w:val="0"/>
          <w:shd w:val="clear" w:color="auto" w:fill="auto"/>
          <w:lang w:val="cs-CZ" w:eastAsia="cs-CZ" w:bidi="cs-CZ"/>
        </w:rPr>
        <w:t xml:space="preserve">Rozsah stavebních prací bude projednán a upřesněn </w:t>
      </w:r>
      <w:r>
        <w:rPr>
          <w:color w:val="000000"/>
          <w:spacing w:val="0"/>
          <w:w w:val="100"/>
          <w:position w:val="0"/>
          <w:u w:val="single"/>
          <w:shd w:val="clear" w:color="auto" w:fill="auto"/>
          <w:lang w:val="cs-CZ" w:eastAsia="cs-CZ" w:bidi="cs-CZ"/>
        </w:rPr>
        <w:t>na vstupním výrobním výboru</w:t>
      </w:r>
      <w:r>
        <w:rPr>
          <w:color w:val="000000"/>
          <w:spacing w:val="0"/>
          <w:w w:val="100"/>
          <w:position w:val="0"/>
          <w:shd w:val="clear" w:color="auto" w:fill="auto"/>
          <w:lang w:val="cs-CZ" w:eastAsia="cs-CZ" w:bidi="cs-CZ"/>
        </w:rPr>
        <w:t>.</w:t>
      </w:r>
    </w:p>
    <w:p>
      <w:pPr>
        <w:pStyle w:val="Style10"/>
        <w:keepNext w:val="0"/>
        <w:keepLines w:val="0"/>
        <w:widowControl w:val="0"/>
        <w:numPr>
          <w:ilvl w:val="0"/>
          <w:numId w:val="31"/>
        </w:numPr>
        <w:shd w:val="clear" w:color="auto" w:fill="auto"/>
        <w:tabs>
          <w:tab w:pos="878" w:val="left"/>
        </w:tabs>
        <w:bidi w:val="0"/>
        <w:spacing w:before="0" w:line="240" w:lineRule="auto"/>
        <w:ind w:left="840" w:right="0" w:hanging="420"/>
        <w:jc w:val="both"/>
      </w:pPr>
      <w:r>
        <w:rPr>
          <w:color w:val="000000"/>
          <w:spacing w:val="0"/>
          <w:w w:val="100"/>
          <w:position w:val="0"/>
          <w:shd w:val="clear" w:color="auto" w:fill="auto"/>
          <w:lang w:val="cs-CZ" w:eastAsia="cs-CZ" w:bidi="cs-CZ"/>
        </w:rPr>
        <w:t>DIO v rozsahu návrhu objízdné trasy bude projednáno s Policií ČR a doloženo souhlasným stanoviskem.</w:t>
      </w:r>
    </w:p>
    <w:p>
      <w:pPr>
        <w:pStyle w:val="Style10"/>
        <w:keepNext w:val="0"/>
        <w:keepLines w:val="0"/>
        <w:widowControl w:val="0"/>
        <w:numPr>
          <w:ilvl w:val="0"/>
          <w:numId w:val="31"/>
        </w:numPr>
        <w:shd w:val="clear" w:color="auto" w:fill="auto"/>
        <w:tabs>
          <w:tab w:pos="878" w:val="left"/>
        </w:tabs>
        <w:bidi w:val="0"/>
        <w:spacing w:before="0" w:line="240" w:lineRule="auto"/>
        <w:ind w:left="840" w:right="0" w:hanging="420"/>
        <w:jc w:val="both"/>
      </w:pPr>
      <w:r>
        <w:rPr>
          <w:color w:val="000000"/>
          <w:spacing w:val="0"/>
          <w:w w:val="100"/>
          <w:position w:val="0"/>
          <w:shd w:val="clear" w:color="auto" w:fill="auto"/>
          <w:lang w:val="cs-CZ" w:eastAsia="cs-CZ" w:bidi="cs-CZ"/>
        </w:rPr>
        <w:t>Dokladová část - vyjádření provozovatelů inženýrských sítí, projednání s obcemi a příslušným speciálním stavebním úřadem a získání jejich kladných vyjádření a stanovisek k opravě.</w:t>
      </w:r>
    </w:p>
    <w:p>
      <w:pPr>
        <w:pStyle w:val="Style10"/>
        <w:keepNext w:val="0"/>
        <w:keepLines w:val="0"/>
        <w:widowControl w:val="0"/>
        <w:numPr>
          <w:ilvl w:val="0"/>
          <w:numId w:val="31"/>
        </w:numPr>
        <w:shd w:val="clear" w:color="auto" w:fill="auto"/>
        <w:tabs>
          <w:tab w:pos="878" w:val="left"/>
        </w:tabs>
        <w:bidi w:val="0"/>
        <w:spacing w:before="0" w:line="240" w:lineRule="auto"/>
        <w:ind w:left="840" w:right="0" w:hanging="36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souladu s vyhláškou č. 499/2006 Sb. o dokumentaci staveb, v platném znění; a vyhláškou č. 169/2016 Sb., o stanovení rozsahu dokumentace veřejné zakázky na stavební práce a soupisu stavebních prací, dodávek a služeb, v platném znění. Datová základna bude určena či dodána v průběhu projekčních prací (předpoklad OTSKP 2022 Expertní ceny).</w:t>
      </w:r>
    </w:p>
    <w:p>
      <w:pPr>
        <w:pStyle w:val="Style10"/>
        <w:keepNext w:val="0"/>
        <w:keepLines w:val="0"/>
        <w:widowControl w:val="0"/>
        <w:shd w:val="clear" w:color="auto" w:fill="auto"/>
        <w:bidi w:val="0"/>
        <w:spacing w:before="0" w:after="480" w:line="240" w:lineRule="auto"/>
        <w:ind w:left="0" w:right="0" w:firstLine="140"/>
        <w:jc w:val="both"/>
      </w:pPr>
      <w:r>
        <w:rPr>
          <w:color w:val="000000"/>
          <w:spacing w:val="0"/>
          <w:w w:val="100"/>
          <w:position w:val="0"/>
          <w:shd w:val="clear" w:color="auto" w:fill="auto"/>
          <w:lang w:val="cs-CZ" w:eastAsia="cs-CZ" w:bidi="cs-CZ"/>
        </w:rPr>
        <w:t>Dokumentace bude projednána na výrobních výborech (minimálně 3x). Výrobní výbory svolává a zápis vyhotovuje zhotovitel projektové dokumentace.</w:t>
      </w:r>
    </w:p>
    <w:p>
      <w:pPr>
        <w:pStyle w:val="Style10"/>
        <w:keepNext w:val="0"/>
        <w:keepLines w:val="0"/>
        <w:widowControl w:val="0"/>
        <w:shd w:val="clear" w:color="auto" w:fill="auto"/>
        <w:bidi w:val="0"/>
        <w:spacing w:before="0" w:line="240" w:lineRule="auto"/>
        <w:ind w:left="0" w:right="0" w:firstLine="140"/>
        <w:jc w:val="both"/>
      </w:pPr>
      <w:r>
        <w:rPr>
          <w:color w:val="000000"/>
          <w:spacing w:val="0"/>
          <w:w w:val="100"/>
          <w:position w:val="0"/>
          <w:shd w:val="clear" w:color="auto" w:fill="auto"/>
          <w:lang w:val="cs-CZ" w:eastAsia="cs-CZ" w:bidi="cs-CZ"/>
        </w:rPr>
        <w:t>Po definitivním odsouhlasení zadavatelem bude následně projektová dokumentace předána zadavateli v tištěné podobě a na CD (v plném rozsahu tištěné podoby) v následujícím počtu:</w:t>
      </w:r>
    </w:p>
    <w:p>
      <w:pPr>
        <w:pStyle w:val="Style10"/>
        <w:keepNext w:val="0"/>
        <w:keepLines w:val="0"/>
        <w:widowControl w:val="0"/>
        <w:numPr>
          <w:ilvl w:val="0"/>
          <w:numId w:val="29"/>
        </w:numPr>
        <w:shd w:val="clear" w:color="auto" w:fill="auto"/>
        <w:tabs>
          <w:tab w:pos="702" w:val="left"/>
        </w:tabs>
        <w:bidi w:val="0"/>
        <w:spacing w:before="0" w:after="0" w:line="240" w:lineRule="auto"/>
        <w:ind w:left="700" w:right="0" w:hanging="420"/>
        <w:jc w:val="both"/>
      </w:pPr>
      <w:r>
        <w:rPr>
          <w:color w:val="000000"/>
          <w:spacing w:val="0"/>
          <w:w w:val="100"/>
          <w:position w:val="0"/>
          <w:shd w:val="clear" w:color="auto" w:fill="auto"/>
          <w:lang w:val="cs-CZ" w:eastAsia="cs-CZ" w:bidi="cs-CZ"/>
        </w:rPr>
        <w:t>PD - 6x v tištěné podobě, vč. dokladové části ve 2 paré, v digitální v otevřeném formátu (*.dwg, *.doc(x), *.xls(x)) a v uzavřeném formátu *.pdf</w:t>
      </w:r>
    </w:p>
    <w:p>
      <w:pPr>
        <w:pStyle w:val="Style10"/>
        <w:keepNext w:val="0"/>
        <w:keepLines w:val="0"/>
        <w:widowControl w:val="0"/>
        <w:numPr>
          <w:ilvl w:val="0"/>
          <w:numId w:val="29"/>
        </w:numPr>
        <w:shd w:val="clear" w:color="auto" w:fill="auto"/>
        <w:tabs>
          <w:tab w:pos="702" w:val="left"/>
        </w:tabs>
        <w:bidi w:val="0"/>
        <w:spacing w:before="0" w:after="0" w:line="240" w:lineRule="auto"/>
        <w:ind w:left="700" w:right="0" w:hanging="420"/>
        <w:jc w:val="both"/>
      </w:pPr>
      <w:r>
        <w:rPr>
          <w:color w:val="000000"/>
          <w:spacing w:val="0"/>
          <w:w w:val="100"/>
          <w:position w:val="0"/>
          <w:shd w:val="clear" w:color="auto" w:fill="auto"/>
          <w:lang w:val="cs-CZ" w:eastAsia="cs-CZ" w:bidi="cs-CZ"/>
        </w:rPr>
        <w:t>Oceněný soupis prací - 1x v tištěné podobě, v digitální ve formátu *.xls(x), *.pdf a *.xml (exportní soubor z Aspe ve formátu XC4)</w:t>
      </w:r>
    </w:p>
    <w:p>
      <w:pPr>
        <w:pStyle w:val="Style10"/>
        <w:keepNext w:val="0"/>
        <w:keepLines w:val="0"/>
        <w:widowControl w:val="0"/>
        <w:numPr>
          <w:ilvl w:val="0"/>
          <w:numId w:val="29"/>
        </w:numPr>
        <w:shd w:val="clear" w:color="auto" w:fill="auto"/>
        <w:tabs>
          <w:tab w:pos="702" w:val="left"/>
        </w:tabs>
        <w:bidi w:val="0"/>
        <w:spacing w:before="0" w:line="240" w:lineRule="auto"/>
        <w:ind w:left="700" w:right="0" w:hanging="420"/>
        <w:jc w:val="both"/>
      </w:pPr>
      <w:r>
        <w:rPr>
          <w:color w:val="000000"/>
          <w:spacing w:val="0"/>
          <w:w w:val="100"/>
          <w:position w:val="0"/>
          <w:shd w:val="clear" w:color="auto" w:fill="auto"/>
          <w:lang w:val="cs-CZ" w:eastAsia="cs-CZ" w:bidi="cs-CZ"/>
        </w:rPr>
        <w:t>Neoceněný soupis prací - 1x v tištěné podobě, v digitální ve formátu *.xls(x), *.pdf a *.xml (exportní soubor z Aspe ve formátu XC4)</w:t>
      </w:r>
    </w:p>
    <w:p>
      <w:pPr>
        <w:pStyle w:val="Style10"/>
        <w:keepNext w:val="0"/>
        <w:keepLines w:val="0"/>
        <w:widowControl w:val="0"/>
        <w:shd w:val="clear" w:color="auto" w:fill="auto"/>
        <w:bidi w:val="0"/>
        <w:spacing w:before="0" w:after="500" w:line="240" w:lineRule="auto"/>
        <w:ind w:left="380" w:right="0" w:firstLine="8140"/>
        <w:jc w:val="left"/>
      </w:pPr>
      <w:r>
        <w:rPr>
          <w:rFonts w:ascii="Calibri" w:eastAsia="Calibri" w:hAnsi="Calibri" w:cs="Calibri"/>
          <w:color w:val="000000"/>
          <w:spacing w:val="0"/>
          <w:w w:val="100"/>
          <w:position w:val="0"/>
          <w:sz w:val="22"/>
          <w:szCs w:val="22"/>
          <w:shd w:val="clear" w:color="auto" w:fill="auto"/>
          <w:lang w:val="cs-CZ" w:eastAsia="cs-CZ" w:bidi="cs-CZ"/>
        </w:rPr>
        <w:t xml:space="preserve">Příloha č.1 </w:t>
      </w:r>
      <w:r>
        <w:rPr>
          <w:color w:val="000000"/>
          <w:spacing w:val="0"/>
          <w:w w:val="100"/>
          <w:position w:val="0"/>
          <w:shd w:val="clear" w:color="auto" w:fill="auto"/>
          <w:lang w:val="cs-CZ" w:eastAsia="cs-CZ" w:bidi="cs-CZ"/>
        </w:rPr>
        <w:t>Digitální podoba projektové dokumentace včetně soupisu prací a rozpočtu bude předána na nosiči CD/ flash disk v plném rozsahu tištěné podoby v počtu 2ks CD/flash disk.</w:t>
      </w:r>
    </w:p>
    <w:p>
      <w:pPr>
        <w:pStyle w:val="Style10"/>
        <w:keepNext w:val="0"/>
        <w:keepLines w:val="0"/>
        <w:widowControl w:val="0"/>
        <w:shd w:val="clear" w:color="auto" w:fill="auto"/>
        <w:bidi w:val="0"/>
        <w:spacing w:before="0" w:after="500" w:line="240" w:lineRule="auto"/>
        <w:ind w:left="0" w:right="0" w:firstLine="380"/>
        <w:jc w:val="left"/>
        <w:rPr>
          <w:sz w:val="22"/>
          <w:szCs w:val="22"/>
        </w:rPr>
      </w:pPr>
      <w:r>
        <w:rPr>
          <w:b/>
          <w:bCs/>
          <w:color w:val="000000"/>
          <w:spacing w:val="0"/>
          <w:w w:val="100"/>
          <w:position w:val="0"/>
          <w:sz w:val="22"/>
          <w:szCs w:val="22"/>
          <w:u w:val="single"/>
          <w:shd w:val="clear" w:color="auto" w:fill="auto"/>
          <w:lang w:val="cs-CZ" w:eastAsia="cs-CZ" w:bidi="cs-CZ"/>
        </w:rPr>
        <w:t>II/354 křiž. 11/602 - Netín</w:t>
      </w:r>
    </w:p>
    <w:tbl>
      <w:tblPr>
        <w:tblOverlap w:val="never"/>
        <w:jc w:val="center"/>
        <w:tblLayout w:type="fixed"/>
      </w:tblPr>
      <w:tblGrid>
        <w:gridCol w:w="5395"/>
        <w:gridCol w:w="4651"/>
      </w:tblGrid>
      <w:tr>
        <w:trPr>
          <w:trHeight w:val="619" w:hRule="exact"/>
        </w:trPr>
        <w:tc>
          <w:tcPr>
            <w:gridSpan w:val="2"/>
            <w:tcBorders>
              <w:top w:val="single" w:sz="4"/>
              <w:left w:val="single" w:sz="4"/>
              <w:right w:val="single" w:sz="4"/>
            </w:tcBorders>
            <w:shd w:val="clear" w:color="auto" w:fill="EDF0DF"/>
            <w:vAlign w:val="top"/>
          </w:tcPr>
          <w:p>
            <w:pPr>
              <w:pStyle w:val="Style2"/>
              <w:keepNext w:val="0"/>
              <w:keepLines w:val="0"/>
              <w:widowControl w:val="0"/>
              <w:shd w:val="clear" w:color="auto" w:fill="auto"/>
              <w:bidi w:val="0"/>
              <w:spacing w:before="80" w:after="0" w:line="240" w:lineRule="auto"/>
              <w:ind w:left="0" w:right="0" w:firstLine="0"/>
              <w:jc w:val="center"/>
            </w:pPr>
            <w:r>
              <w:rPr>
                <w:b/>
                <w:bCs/>
                <w:color w:val="000000"/>
                <w:spacing w:val="0"/>
                <w:w w:val="100"/>
                <w:position w:val="0"/>
                <w:shd w:val="clear" w:color="auto" w:fill="auto"/>
                <w:lang w:val="cs-CZ" w:eastAsia="cs-CZ" w:bidi="cs-CZ"/>
              </w:rPr>
              <w:t>Lhůty plnění</w:t>
            </w:r>
          </w:p>
        </w:tc>
      </w:tr>
      <w:tr>
        <w:trPr>
          <w:trHeight w:val="475"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realizace:</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ihned po nabytí účinnosti smlouvy</w:t>
            </w:r>
          </w:p>
        </w:tc>
      </w:tr>
      <w:tr>
        <w:trPr>
          <w:trHeight w:val="475"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Návrh technického řešení: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 měsíce od podpisu smlouvy</w:t>
            </w:r>
          </w:p>
        </w:tc>
      </w:tr>
      <w:tr>
        <w:trPr>
          <w:trHeight w:val="475"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Koncept dokumentace k odsouhlasení: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 měsíce od návrhu technického řešení</w:t>
            </w:r>
          </w:p>
        </w:tc>
      </w:tr>
      <w:tr>
        <w:trPr>
          <w:trHeight w:val="749"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Předání dokončené dokumentace, včetně projednání s dotčenými orgány státní správy a samosprávy:</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30 dnů od předání konceptu dokumentace</w:t>
            </w:r>
          </w:p>
        </w:tc>
      </w:tr>
    </w:tbl>
    <w:p>
      <w:pPr>
        <w:sectPr>
          <w:headerReference w:type="default" r:id="rId7"/>
          <w:footerReference w:type="default" r:id="rId8"/>
          <w:footnotePr>
            <w:pos w:val="pageBottom"/>
            <w:numFmt w:val="decimal"/>
            <w:numRestart w:val="continuous"/>
          </w:footnotePr>
          <w:pgSz w:w="11900" w:h="16840"/>
          <w:pgMar w:top="687" w:left="1169" w:right="84" w:bottom="1476" w:header="259" w:footer="3" w:gutter="0"/>
          <w:cols w:space="720"/>
          <w:noEndnote/>
          <w:rtlGutter w:val="0"/>
          <w:docGrid w:linePitch="360"/>
        </w:sectPr>
      </w:pPr>
    </w:p>
    <w:p>
      <w:pPr>
        <w:pStyle w:val="Style32"/>
        <w:keepNext w:val="0"/>
        <w:keepLines w:val="0"/>
        <w:widowControl w:val="0"/>
        <w:pBdr>
          <w:bottom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č. 2</w:t>
      </w:r>
    </w:p>
    <w:p>
      <w:pPr>
        <w:pStyle w:val="Style34"/>
        <w:keepNext/>
        <w:keepLines/>
        <w:widowControl w:val="0"/>
        <w:shd w:val="clear" w:color="auto" w:fill="auto"/>
        <w:bidi w:val="0"/>
        <w:spacing w:before="0" w:line="240" w:lineRule="auto"/>
        <w:ind w:right="0" w:firstLine="0"/>
        <w:jc w:val="left"/>
      </w:pPr>
      <w:bookmarkStart w:id="32" w:name="bookmark32"/>
      <w:bookmarkStart w:id="33" w:name="bookmark33"/>
      <w:r>
        <w:rPr>
          <w:color w:val="000000"/>
          <w:spacing w:val="0"/>
          <w:w w:val="100"/>
          <w:position w:val="0"/>
          <w:shd w:val="clear" w:color="auto" w:fill="auto"/>
          <w:lang w:val="cs-CZ" w:eastAsia="cs-CZ" w:bidi="cs-CZ"/>
        </w:rPr>
        <w:t>Kalkulace projekčních prací</w:t>
      </w:r>
      <w:bookmarkEnd w:id="32"/>
      <w:bookmarkEnd w:id="33"/>
    </w:p>
    <w:tbl>
      <w:tblPr>
        <w:tblOverlap w:val="never"/>
        <w:jc w:val="center"/>
        <w:tblLayout w:type="fixed"/>
      </w:tblPr>
      <w:tblGrid>
        <w:gridCol w:w="624"/>
        <w:gridCol w:w="7498"/>
        <w:gridCol w:w="1675"/>
      </w:tblGrid>
      <w:tr>
        <w:trPr>
          <w:trHeight w:val="514" w:hRule="exact"/>
        </w:trPr>
        <w:tc>
          <w:tcPr>
            <w:gridSpan w:val="3"/>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Název akce: II/354 křiž. II/602 - Netín</w:t>
            </w:r>
          </w:p>
        </w:tc>
      </w:tr>
      <w:tr>
        <w:trPr>
          <w:trHeight w:val="494" w:hRule="exact"/>
        </w:trPr>
        <w:tc>
          <w:tcPr>
            <w:tcBorders>
              <w:top w:val="single" w:sz="4"/>
              <w:left w:val="single" w:sz="4"/>
            </w:tcBorders>
            <w:shd w:val="clear" w:color="auto" w:fill="EDF0DF"/>
            <w:vAlign w:val="bottom"/>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cs-CZ" w:eastAsia="cs-CZ" w:bidi="cs-CZ"/>
              </w:rPr>
              <w:t>Č.</w:t>
            </w:r>
          </w:p>
        </w:tc>
        <w:tc>
          <w:tcPr>
            <w:tcBorders>
              <w:top w:val="single" w:sz="4"/>
              <w:left w:val="single" w:sz="4"/>
            </w:tcBorders>
            <w:shd w:val="clear" w:color="auto" w:fill="EDF0DF"/>
            <w:vAlign w:val="bottom"/>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cs-CZ" w:eastAsia="cs-CZ" w:bidi="cs-CZ"/>
              </w:rPr>
              <w:t>Popis prací</w:t>
            </w:r>
          </w:p>
        </w:tc>
        <w:tc>
          <w:tcPr>
            <w:tcBorders>
              <w:top w:val="single" w:sz="4"/>
              <w:left w:val="single" w:sz="4"/>
              <w:right w:val="single" w:sz="4"/>
            </w:tcBorders>
            <w:shd w:val="clear" w:color="auto" w:fill="EDF0DF"/>
            <w:vAlign w:val="bottom"/>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cs-CZ" w:eastAsia="cs-CZ" w:bidi="cs-CZ"/>
              </w:rPr>
              <w:t>Cena bez DPH</w:t>
            </w:r>
          </w:p>
        </w:tc>
      </w:tr>
      <w:tr>
        <w:trPr>
          <w:trHeight w:val="235" w:hRule="exact"/>
        </w:trPr>
        <w:tc>
          <w:tcPr>
            <w:tcBorders>
              <w:top w:val="single" w:sz="4"/>
              <w:left w:val="single" w:sz="4"/>
            </w:tcBorders>
            <w:shd w:val="clear" w:color="auto" w:fill="EDF0DF"/>
            <w:vAlign w:val="bottom"/>
          </w:tcPr>
          <w:p>
            <w:pPr>
              <w:pStyle w:val="Style2"/>
              <w:keepNext w:val="0"/>
              <w:keepLines w:val="0"/>
              <w:widowControl w:val="0"/>
              <w:shd w:val="clear" w:color="auto" w:fill="auto"/>
              <w:bidi w:val="0"/>
              <w:spacing w:before="0" w:after="0" w:line="240" w:lineRule="auto"/>
              <w:ind w:left="0" w:right="0" w:firstLine="20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EDF0D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Zjištění a ověření průběhu inženýrských sítí, včetně zakreslení do situace.</w:t>
            </w:r>
          </w:p>
        </w:tc>
        <w:tc>
          <w:tcPr>
            <w:tcBorders>
              <w:top w:val="single" w:sz="4"/>
              <w:left w:val="single" w:sz="4"/>
              <w:right w:val="single" w:sz="4"/>
            </w:tcBorders>
            <w:shd w:val="clear" w:color="auto" w:fill="EDF0DF"/>
            <w:vAlign w:val="bottom"/>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3 000,00 Kč</w:t>
            </w:r>
          </w:p>
        </w:tc>
      </w:tr>
      <w:tr>
        <w:trPr>
          <w:trHeight w:val="2165" w:hRule="exact"/>
        </w:trPr>
        <w:tc>
          <w:tcPr>
            <w:tcBorders>
              <w:top w:val="single" w:sz="4"/>
              <w:lef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EDF0DF"/>
            <w:vAlign w:val="center"/>
          </w:tcPr>
          <w:p>
            <w:pPr>
              <w:pStyle w:val="Style2"/>
              <w:keepNext w:val="0"/>
              <w:keepLines w:val="0"/>
              <w:widowControl w:val="0"/>
              <w:shd w:val="clear" w:color="auto" w:fill="auto"/>
              <w:bidi w:val="0"/>
              <w:spacing w:before="0" w:after="0" w:line="264"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Vypracování projektové dokumentace (PDPS), která bude zahrnovat návrh opravy konstrukce vozovky vč. návrhu případných sanací a šířkového uspořádání vozovky (předpokládáme stávající šířkovou úpravu), řešení odvodnění silnice v předmětném úseku (stávající dešťové vpusti budou upraveny dle nového návrhu konstrukce vozovky vč. případného doplnění nových uličních vpustí, výškové vyrovnání stávajících povrchových znaků inženýrských sítí a včetně opravy nebo přestavby stávajících propustků (354-108P až 354-112P)). Vzorové řezy budou provedeny v intravilánu, v místě propustků, a dále v místě napojení sjezdů a místních komunikací. Koordinační situace bude v měřítku 1:250 nebo 1:500 v intravilánu. Součástí projektové dokumentace rovněž bude výkaz výměr (bilance stavebních prací).</w:t>
            </w:r>
          </w:p>
        </w:tc>
        <w:tc>
          <w:tcPr>
            <w:tcBorders>
              <w:top w:val="single" w:sz="4"/>
              <w:left w:val="single" w:sz="4"/>
              <w:righ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55 000,00 Kč</w:t>
            </w:r>
          </w:p>
        </w:tc>
      </w:tr>
      <w:tr>
        <w:trPr>
          <w:trHeight w:val="677" w:hRule="exact"/>
        </w:trPr>
        <w:tc>
          <w:tcPr>
            <w:tcBorders>
              <w:top w:val="single" w:sz="4"/>
              <w:lef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EDF0DF"/>
            <w:vAlign w:val="bottom"/>
          </w:tcPr>
          <w:p>
            <w:pPr>
              <w:pStyle w:val="Style2"/>
              <w:keepNext w:val="0"/>
              <w:keepLines w:val="0"/>
              <w:widowControl w:val="0"/>
              <w:shd w:val="clear" w:color="auto" w:fill="auto"/>
              <w:bidi w:val="0"/>
              <w:spacing w:before="0" w:after="0" w:line="262"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DIO, dopravní značení po dobu stavby, návrh objízdných tras včetně příslušných projednání. Svislé dopravní značení pro dopravní opatření (zřízení + odstranění) bude navrženo dle TP 66 pro provizorní dopravní značení a bude projednáno s Policií ČR a doloženo souhlasným stanoviskem.</w:t>
            </w:r>
          </w:p>
        </w:tc>
        <w:tc>
          <w:tcPr>
            <w:tcBorders>
              <w:top w:val="single" w:sz="4"/>
              <w:left w:val="single" w:sz="4"/>
              <w:righ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4 000,00 Kč</w:t>
            </w:r>
          </w:p>
        </w:tc>
      </w:tr>
      <w:tr>
        <w:trPr>
          <w:trHeight w:val="552" w:hRule="exact"/>
        </w:trPr>
        <w:tc>
          <w:tcPr>
            <w:tcBorders>
              <w:top w:val="single" w:sz="4"/>
              <w:lef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EDF0DF"/>
            <w:vAlign w:val="center"/>
          </w:tcPr>
          <w:p>
            <w:pPr>
              <w:pStyle w:val="Style2"/>
              <w:keepNext w:val="0"/>
              <w:keepLines w:val="0"/>
              <w:widowControl w:val="0"/>
              <w:shd w:val="clear" w:color="auto" w:fill="auto"/>
              <w:bidi w:val="0"/>
              <w:spacing w:before="0" w:after="0" w:line="259"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Dokladová část - vyjádření provozovatelů inženýrských sítí, projednání s příslušným speciálním stavebním úřadem a získání jejich kladných vyjádření a stanovisek k opravě.</w:t>
            </w:r>
          </w:p>
        </w:tc>
        <w:tc>
          <w:tcPr>
            <w:tcBorders>
              <w:top w:val="single" w:sz="4"/>
              <w:left w:val="single" w:sz="4"/>
              <w:righ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2 000,00 Kč</w:t>
            </w:r>
          </w:p>
        </w:tc>
      </w:tr>
      <w:tr>
        <w:trPr>
          <w:trHeight w:val="1349" w:hRule="exact"/>
        </w:trPr>
        <w:tc>
          <w:tcPr>
            <w:tcBorders>
              <w:top w:val="single" w:sz="4"/>
              <w:lef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5.</w:t>
            </w:r>
          </w:p>
        </w:tc>
        <w:tc>
          <w:tcPr>
            <w:tcBorders>
              <w:top w:val="single" w:sz="4"/>
              <w:left w:val="single" w:sz="4"/>
            </w:tcBorders>
            <w:shd w:val="clear" w:color="auto" w:fill="EDF0DF"/>
            <w:vAlign w:val="center"/>
          </w:tcPr>
          <w:p>
            <w:pPr>
              <w:pStyle w:val="Style2"/>
              <w:keepNext w:val="0"/>
              <w:keepLines w:val="0"/>
              <w:widowControl w:val="0"/>
              <w:shd w:val="clear" w:color="auto" w:fill="auto"/>
              <w:bidi w:val="0"/>
              <w:spacing w:before="0" w:after="0" w:line="262"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Neoceněný soupis prací, oceněný soupis prací (kontrolní rozpočet pro potřeby zadavatele), soupis prací bude zpracován v rozpočtovém programu Aspe, v souladu s vyhláškou č. 499/2006 Sb. o dokumentaci staveb, v platném znění; a vyhláškou č. 169/2016 Sb., o stanovení rozsahu dokumentace veřejné zakázky na stavební práce a soupisu stavebních prací, dodávek a služeb, v platném znění. Datová základna bude určena či dodána v průběhu projekčních prací (předpoklad OTSKP 2022 Expertní ceny).</w:t>
            </w:r>
          </w:p>
        </w:tc>
        <w:tc>
          <w:tcPr>
            <w:tcBorders>
              <w:top w:val="single" w:sz="4"/>
              <w:left w:val="single" w:sz="4"/>
              <w:right w:val="single" w:sz="4"/>
            </w:tcBorders>
            <w:shd w:val="clear" w:color="auto" w:fill="EDF0D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5 000,00 Kč</w:t>
            </w:r>
          </w:p>
        </w:tc>
      </w:tr>
      <w:tr>
        <w:trPr>
          <w:trHeight w:val="499" w:hRule="exact"/>
        </w:trPr>
        <w:tc>
          <w:tcPr>
            <w:gridSpan w:val="2"/>
            <w:tcBorders>
              <w:top w:val="single" w:sz="4"/>
              <w:left w:val="single" w:sz="4"/>
            </w:tcBorders>
            <w:shd w:val="clear" w:color="auto" w:fill="C3D79A"/>
            <w:vAlign w:val="bottom"/>
          </w:tcPr>
          <w:p>
            <w:pPr>
              <w:pStyle w:val="Style2"/>
              <w:keepNext w:val="0"/>
              <w:keepLines w:val="0"/>
              <w:widowControl w:val="0"/>
              <w:shd w:val="clear" w:color="auto" w:fill="auto"/>
              <w:bidi w:val="0"/>
              <w:spacing w:before="0" w:after="0" w:line="240" w:lineRule="auto"/>
              <w:ind w:left="0" w:right="620" w:firstLine="0"/>
              <w:jc w:val="right"/>
            </w:pPr>
            <w:r>
              <w:rPr>
                <w:rFonts w:ascii="Times New Roman" w:eastAsia="Times New Roman" w:hAnsi="Times New Roman" w:cs="Times New Roman"/>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69 000,00 Kč</w:t>
            </w:r>
          </w:p>
        </w:tc>
      </w:tr>
      <w:tr>
        <w:trPr>
          <w:trHeight w:val="504" w:hRule="exact"/>
        </w:trPr>
        <w:tc>
          <w:tcPr>
            <w:gridSpan w:val="2"/>
            <w:tcBorders>
              <w:top w:val="single" w:sz="4"/>
              <w:left w:val="single" w:sz="4"/>
            </w:tcBorders>
            <w:shd w:val="clear" w:color="auto" w:fill="C3D79A"/>
            <w:vAlign w:val="bottom"/>
          </w:tcPr>
          <w:p>
            <w:pPr>
              <w:pStyle w:val="Style2"/>
              <w:keepNext w:val="0"/>
              <w:keepLines w:val="0"/>
              <w:widowControl w:val="0"/>
              <w:shd w:val="clear" w:color="auto" w:fill="auto"/>
              <w:bidi w:val="0"/>
              <w:spacing w:before="0" w:after="0" w:line="240" w:lineRule="auto"/>
              <w:ind w:left="0" w:right="620" w:firstLine="0"/>
              <w:jc w:val="right"/>
            </w:pPr>
            <w:r>
              <w:rPr>
                <w:rFonts w:ascii="Times New Roman" w:eastAsia="Times New Roman" w:hAnsi="Times New Roman" w:cs="Times New Roman"/>
                <w:b/>
                <w:bCs/>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0,00 Kč</w:t>
            </w:r>
          </w:p>
        </w:tc>
      </w:tr>
      <w:tr>
        <w:trPr>
          <w:trHeight w:val="523" w:hRule="exact"/>
        </w:trPr>
        <w:tc>
          <w:tcPr>
            <w:gridSpan w:val="2"/>
            <w:tcBorders>
              <w:top w:val="single" w:sz="4"/>
              <w:left w:val="single" w:sz="4"/>
              <w:bottom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620" w:firstLine="0"/>
              <w:jc w:val="right"/>
            </w:pPr>
            <w:r>
              <w:rPr>
                <w:rFonts w:ascii="Times New Roman" w:eastAsia="Times New Roman" w:hAnsi="Times New Roman" w:cs="Times New Roman"/>
                <w:b/>
                <w:bCs/>
                <w:color w:val="000000"/>
                <w:spacing w:val="0"/>
                <w:w w:val="100"/>
                <w:position w:val="0"/>
                <w:shd w:val="clear" w:color="auto" w:fill="auto"/>
                <w:lang w:val="cs-CZ" w:eastAsia="cs-CZ" w:bidi="cs-CZ"/>
              </w:rPr>
              <w:t>CENA CELKEM VČETNĚ DPH</w:t>
            </w:r>
          </w:p>
        </w:tc>
        <w:tc>
          <w:tcPr>
            <w:tcBorders>
              <w:top w:val="single" w:sz="4"/>
              <w:left w:val="single" w:sz="4"/>
              <w:bottom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69 000,00 Kč</w:t>
            </w:r>
          </w:p>
        </w:tc>
      </w:tr>
    </w:tbl>
    <w:p>
      <w:pPr>
        <w:sectPr>
          <w:headerReference w:type="default" r:id="rId9"/>
          <w:footerReference w:type="default" r:id="rId10"/>
          <w:footnotePr>
            <w:pos w:val="pageBottom"/>
            <w:numFmt w:val="decimal"/>
            <w:numRestart w:val="continuous"/>
          </w:footnotePr>
          <w:pgSz w:w="11900" w:h="16840"/>
          <w:pgMar w:top="1131" w:left="880" w:right="373" w:bottom="1131" w:header="703" w:footer="703" w:gutter="0"/>
          <w:cols w:space="720"/>
          <w:noEndnote/>
          <w:rtlGutter w:val="0"/>
          <w:docGrid w:linePitch="360"/>
        </w:sectPr>
      </w:pPr>
    </w:p>
    <w:p>
      <w:pPr>
        <w:pStyle w:val="Style10"/>
        <w:keepNext w:val="0"/>
        <w:keepLines w:val="0"/>
        <w:widowControl w:val="0"/>
        <w:shd w:val="clear" w:color="auto" w:fill="auto"/>
        <w:bidi w:val="0"/>
        <w:spacing w:before="0" w:after="440" w:line="240" w:lineRule="auto"/>
        <w:ind w:left="0" w:right="0" w:firstLine="500"/>
        <w:jc w:val="left"/>
      </w:pPr>
      <w:r>
        <w:rPr>
          <w:color w:val="000000"/>
          <w:spacing w:val="0"/>
          <w:w w:val="100"/>
          <w:position w:val="0"/>
          <w:shd w:val="clear" w:color="auto" w:fill="auto"/>
          <w:lang w:val="cs-CZ" w:eastAsia="cs-CZ" w:bidi="cs-CZ"/>
        </w:rPr>
        <w:t>Příloha č.3 SoD</w:t>
      </w:r>
    </w:p>
    <w:p>
      <w:pPr>
        <w:pStyle w:val="Style10"/>
        <w:keepNext w:val="0"/>
        <w:keepLines w:val="0"/>
        <w:widowControl w:val="0"/>
        <w:shd w:val="clear" w:color="auto" w:fill="auto"/>
        <w:bidi w:val="0"/>
        <w:spacing w:before="0" w:after="440" w:line="240" w:lineRule="auto"/>
        <w:ind w:left="0" w:right="0" w:firstLine="0"/>
        <w:jc w:val="center"/>
      </w:pPr>
      <w:r>
        <w:rPr>
          <w:b/>
          <w:bCs/>
          <w:color w:val="000000"/>
          <w:spacing w:val="0"/>
          <w:w w:val="100"/>
          <w:position w:val="0"/>
          <w:shd w:val="clear" w:color="auto" w:fill="auto"/>
          <w:lang w:val="cs-CZ" w:eastAsia="cs-CZ" w:bidi="cs-CZ"/>
        </w:rPr>
        <w:t>Údaje, které jsou součástí ujednání a nebudou zveřejněny v Registru smluv:</w:t>
      </w:r>
    </w:p>
    <w:p>
      <w:pPr>
        <w:pStyle w:val="Style10"/>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Objednatel:</w:t>
      </w:r>
    </w:p>
    <w:p>
      <w:pPr>
        <w:pStyle w:val="Style10"/>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bidi w:val="0"/>
        <w:spacing w:before="0" w:after="220" w:line="240" w:lineRule="auto"/>
        <w:ind w:left="0" w:right="0" w:firstLine="500"/>
        <w:jc w:val="left"/>
      </w:pPr>
      <w:r>
        <w:rPr>
          <w:color w:val="000000"/>
          <w:spacing w:val="0"/>
          <w:w w:val="100"/>
          <w:position w:val="0"/>
          <w:shd w:val="clear" w:color="auto" w:fill="auto"/>
          <w:lang w:val="cs-CZ" w:eastAsia="cs-CZ" w:bidi="cs-CZ"/>
        </w:rPr>
        <w:t>Číslo účtu:</w:t>
      </w:r>
    </w:p>
    <w:p>
      <w:pPr>
        <w:pStyle w:val="Style10"/>
        <w:keepNext w:val="0"/>
        <w:keepLines w:val="0"/>
        <w:widowControl w:val="0"/>
        <w:shd w:val="clear" w:color="auto" w:fill="auto"/>
        <w:bidi w:val="0"/>
        <w:spacing w:before="0" w:after="1640" w:line="240" w:lineRule="auto"/>
        <w:ind w:left="500" w:right="0" w:firstLine="20"/>
        <w:jc w:val="left"/>
      </w:pPr>
      <w:r>
        <w:rPr>
          <w:color w:val="000000"/>
          <w:spacing w:val="0"/>
          <w:w w:val="100"/>
          <w:position w:val="0"/>
          <w:u w:val="single"/>
          <w:shd w:val="clear" w:color="auto" w:fill="auto"/>
          <w:lang w:val="cs-CZ" w:eastAsia="cs-CZ" w:bidi="cs-CZ"/>
        </w:rPr>
        <w:t>Osoby pověřené jednat jménem objednatele ve věcech technických a k převzetí projektové dokumentace:</w:t>
      </w:r>
    </w:p>
    <w:p>
      <w:pPr>
        <w:pStyle w:val="Style10"/>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Zhotovitel:</w:t>
      </w:r>
    </w:p>
    <w:p>
      <w:pPr>
        <w:pStyle w:val="Style10"/>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Ing. Julius Janeba</w:t>
      </w:r>
    </w:p>
    <w:p>
      <w:pPr>
        <w:pStyle w:val="Style10"/>
        <w:keepNext w:val="0"/>
        <w:keepLines w:val="0"/>
        <w:widowControl w:val="0"/>
        <w:shd w:val="clear" w:color="auto" w:fill="auto"/>
        <w:tabs>
          <w:tab w:pos="1998" w:val="left"/>
        </w:tabs>
        <w:bidi w:val="0"/>
        <w:spacing w:before="0" w:after="220" w:line="240" w:lineRule="auto"/>
        <w:ind w:left="0" w:right="0" w:firstLine="500"/>
        <w:jc w:val="left"/>
      </w:pPr>
      <w:r>
        <w:rPr>
          <w:color w:val="000000"/>
          <w:spacing w:val="0"/>
          <w:w w:val="100"/>
          <w:position w:val="0"/>
          <w:shd w:val="clear" w:color="auto" w:fill="auto"/>
          <w:lang w:val="cs-CZ" w:eastAsia="cs-CZ" w:bidi="cs-CZ"/>
        </w:rPr>
        <w:t>Číslo účtu:</w:t>
        <w:tab/>
        <w:t>912282063/0800</w:t>
      </w:r>
    </w:p>
    <w:p>
      <w:pPr>
        <w:pStyle w:val="Style10"/>
        <w:keepNext w:val="0"/>
        <w:keepLines w:val="0"/>
        <w:widowControl w:val="0"/>
        <w:shd w:val="clear" w:color="auto" w:fill="auto"/>
        <w:bidi w:val="0"/>
        <w:spacing w:before="0" w:after="220" w:line="240" w:lineRule="auto"/>
        <w:ind w:left="0" w:right="0" w:firstLine="500"/>
        <w:jc w:val="left"/>
      </w:pPr>
      <w:r>
        <w:rPr>
          <w:color w:val="000000"/>
          <w:spacing w:val="0"/>
          <w:w w:val="100"/>
          <w:position w:val="0"/>
          <w:u w:val="single"/>
          <w:shd w:val="clear" w:color="auto" w:fill="auto"/>
          <w:lang w:val="cs-CZ" w:eastAsia="cs-CZ" w:bidi="cs-CZ"/>
        </w:rPr>
        <w:t>Osoby pověřené jednat jménem zhotovitele:</w:t>
      </w:r>
    </w:p>
    <w:p>
      <w:pPr>
        <w:pStyle w:val="Style10"/>
        <w:keepNext w:val="0"/>
        <w:keepLines w:val="0"/>
        <w:widowControl w:val="0"/>
        <w:shd w:val="clear" w:color="auto" w:fill="auto"/>
        <w:bidi w:val="0"/>
        <w:spacing w:before="0" w:after="700" w:line="240" w:lineRule="auto"/>
        <w:ind w:left="0" w:right="0" w:firstLine="500"/>
        <w:jc w:val="left"/>
      </w:pPr>
      <w:r>
        <w:rPr>
          <w:color w:val="000000"/>
          <w:spacing w:val="0"/>
          <w:w w:val="100"/>
          <w:position w:val="0"/>
          <w:shd w:val="clear" w:color="auto" w:fill="auto"/>
          <w:lang w:val="cs-CZ" w:eastAsia="cs-CZ" w:bidi="cs-CZ"/>
        </w:rPr>
        <w:t xml:space="preserve">Zástupci zhotovitele </w:t>
      </w:r>
      <w:r>
        <w:rPr>
          <w:b/>
          <w:bCs/>
          <w:color w:val="000000"/>
          <w:spacing w:val="0"/>
          <w:w w:val="100"/>
          <w:position w:val="0"/>
          <w:shd w:val="clear" w:color="auto" w:fill="auto"/>
          <w:lang w:val="cs-CZ" w:eastAsia="cs-CZ" w:bidi="cs-CZ"/>
        </w:rPr>
        <w:t>ve věcech technických</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440" w:line="240" w:lineRule="auto"/>
        <w:ind w:left="0" w:right="0" w:firstLine="500"/>
        <w:jc w:val="left"/>
      </w:pPr>
      <w:r>
        <w:rPr>
          <w:color w:val="000000"/>
          <w:spacing w:val="0"/>
          <w:w w:val="100"/>
          <w:position w:val="0"/>
          <w:shd w:val="clear" w:color="auto" w:fill="auto"/>
          <w:lang w:val="cs-CZ" w:eastAsia="cs-CZ" w:bidi="cs-CZ"/>
        </w:rPr>
        <w:t xml:space="preserve">Zástupce zhotovitele, který </w:t>
      </w:r>
      <w:r>
        <w:rPr>
          <w:b/>
          <w:bCs/>
          <w:color w:val="000000"/>
          <w:spacing w:val="0"/>
          <w:w w:val="100"/>
          <w:position w:val="0"/>
          <w:shd w:val="clear" w:color="auto" w:fill="auto"/>
          <w:lang w:val="cs-CZ" w:eastAsia="cs-CZ" w:bidi="cs-CZ"/>
        </w:rPr>
        <w:t>vypracuje projektovou dokumentaci a je autorizovanou osobou</w:t>
      </w:r>
      <w:r>
        <w:rPr>
          <w:color w:val="000000"/>
          <w:spacing w:val="0"/>
          <w:w w:val="100"/>
          <w:position w:val="0"/>
          <w:shd w:val="clear" w:color="auto" w:fill="auto"/>
          <w:lang w:val="cs-CZ" w:eastAsia="cs-CZ" w:bidi="cs-CZ"/>
        </w:rPr>
        <w:t>:</w:t>
      </w:r>
    </w:p>
    <w:sectPr>
      <w:headerReference w:type="default" r:id="rId11"/>
      <w:footerReference w:type="default" r:id="rId12"/>
      <w:footnotePr>
        <w:pos w:val="pageBottom"/>
        <w:numFmt w:val="decimal"/>
        <w:numRestart w:val="continuous"/>
      </w:footnotePr>
      <w:pgSz w:w="11900" w:h="16840"/>
      <w:pgMar w:top="1993" w:left="877" w:right="377" w:bottom="199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3467100</wp:posOffset>
              </wp:positionH>
              <wp:positionV relativeFrom="page">
                <wp:posOffset>10266045</wp:posOffset>
              </wp:positionV>
              <wp:extent cx="655320" cy="91440"/>
              <wp:wrapNone/>
              <wp:docPr id="3" name="Shape 3"/>
              <a:graphic xmlns:a="http://schemas.openxmlformats.org/drawingml/2006/main">
                <a:graphicData uri="http://schemas.microsoft.com/office/word/2010/wordprocessingShape">
                  <wps:wsp>
                    <wps:cNvSpPr txBox="1"/>
                    <wps:spPr>
                      <a:xfrm>
                        <a:ext cx="655320" cy="914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14</w:t>
                          </w:r>
                        </w:p>
                      </w:txbxContent>
                    </wps:txbx>
                    <wps:bodyPr wrap="none" lIns="0" tIns="0" rIns="0" bIns="0">
                      <a:spAutoFit/>
                    </wps:bodyPr>
                  </wps:wsp>
                </a:graphicData>
              </a:graphic>
            </wp:anchor>
          </w:drawing>
        </mc:Choice>
        <mc:Fallback>
          <w:pict>
            <v:shape id="_x0000_s1029" type="#_x0000_t202" style="position:absolute;margin-left:273.pt;margin-top:808.35000000000002pt;width:51.600000000000001pt;height:7.20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894715</wp:posOffset>
              </wp:positionH>
              <wp:positionV relativeFrom="page">
                <wp:posOffset>10227945</wp:posOffset>
              </wp:positionV>
              <wp:extent cx="5891530" cy="0"/>
              <wp:wrapNone/>
              <wp:docPr id="5" name="Shape 5"/>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70.450000000000003pt;margin-top:805.35000000000002pt;width:463.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5801995</wp:posOffset>
              </wp:positionH>
              <wp:positionV relativeFrom="page">
                <wp:posOffset>9930765</wp:posOffset>
              </wp:positionV>
              <wp:extent cx="798830" cy="128270"/>
              <wp:wrapNone/>
              <wp:docPr id="6" name="Shape 6"/>
              <a:graphic xmlns:a="http://schemas.openxmlformats.org/drawingml/2006/main">
                <a:graphicData uri="http://schemas.microsoft.com/office/word/2010/wordprocessingShape">
                  <wps:wsp>
                    <wps:cNvSpPr txBox="1"/>
                    <wps:spPr>
                      <a:xfrm>
                        <a:ext cx="79883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r>
                            <w:rPr>
                              <w:b/>
                              <w:bCs/>
                              <w:color w:val="000000"/>
                              <w:spacing w:val="0"/>
                              <w:w w:val="100"/>
                              <w:position w:val="0"/>
                              <w:sz w:val="24"/>
                              <w:szCs w:val="24"/>
                              <w:shd w:val="clear" w:color="auto" w:fill="auto"/>
                              <w:lang w:val="cs-CZ" w:eastAsia="cs-CZ" w:bidi="cs-CZ"/>
                            </w:rPr>
                            <w:t xml:space="preserve">1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3</w:t>
                          </w:r>
                        </w:p>
                      </w:txbxContent>
                    </wps:txbx>
                    <wps:bodyPr wrap="none" lIns="0" tIns="0" rIns="0" bIns="0">
                      <a:spAutoFit/>
                    </wps:bodyPr>
                  </wps:wsp>
                </a:graphicData>
              </a:graphic>
            </wp:anchor>
          </w:drawing>
        </mc:Choice>
        <mc:Fallback>
          <w:pict>
            <v:shape id="_x0000_s1032" type="#_x0000_t202" style="position:absolute;margin-left:456.85000000000002pt;margin-top:781.95000000000005pt;width:62.899999999999999pt;height:1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r>
                      <w:rPr>
                        <w:b/>
                        <w:bCs/>
                        <w:color w:val="000000"/>
                        <w:spacing w:val="0"/>
                        <w:w w:val="100"/>
                        <w:position w:val="0"/>
                        <w:sz w:val="24"/>
                        <w:szCs w:val="24"/>
                        <w:shd w:val="clear" w:color="auto" w:fill="auto"/>
                        <w:lang w:val="cs-CZ" w:eastAsia="cs-CZ" w:bidi="cs-CZ"/>
                      </w:rPr>
                      <w:t xml:space="preserve">1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3422015</wp:posOffset>
              </wp:positionH>
              <wp:positionV relativeFrom="page">
                <wp:posOffset>10266045</wp:posOffset>
              </wp:positionV>
              <wp:extent cx="713105" cy="91440"/>
              <wp:wrapNone/>
              <wp:docPr id="10" name="Shape 10"/>
              <a:graphic xmlns:a="http://schemas.openxmlformats.org/drawingml/2006/main">
                <a:graphicData uri="http://schemas.microsoft.com/office/word/2010/wordprocessingShape">
                  <wps:wsp>
                    <wps:cNvSpPr txBox="1"/>
                    <wps:spPr>
                      <a:xfrm>
                        <a:ext cx="713105" cy="914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14</w:t>
                          </w:r>
                        </w:p>
                      </w:txbxContent>
                    </wps:txbx>
                    <wps:bodyPr wrap="none" lIns="0" tIns="0" rIns="0" bIns="0">
                      <a:spAutoFit/>
                    </wps:bodyPr>
                  </wps:wsp>
                </a:graphicData>
              </a:graphic>
            </wp:anchor>
          </w:drawing>
        </mc:Choice>
        <mc:Fallback>
          <w:pict>
            <v:shape id="_x0000_s1036" type="#_x0000_t202" style="position:absolute;margin-left:269.44999999999999pt;margin-top:808.35000000000002pt;width:56.149999999999999pt;height:7.2000000000000002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876935</wp:posOffset>
              </wp:positionH>
              <wp:positionV relativeFrom="page">
                <wp:posOffset>10227945</wp:posOffset>
              </wp:positionV>
              <wp:extent cx="5891530" cy="0"/>
              <wp:wrapNone/>
              <wp:docPr id="12" name="Shape 12"/>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9.049999999999997pt;margin-top:805.35000000000002pt;width:463.8999999999999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879475</wp:posOffset>
              </wp:positionH>
              <wp:positionV relativeFrom="page">
                <wp:posOffset>576580</wp:posOffset>
              </wp:positionV>
              <wp:extent cx="3947160" cy="252730"/>
              <wp:wrapNone/>
              <wp:docPr id="1" name="Shape 1"/>
              <a:graphic xmlns:a="http://schemas.openxmlformats.org/drawingml/2006/main">
                <a:graphicData uri="http://schemas.microsoft.com/office/word/2010/wordprocessingShape">
                  <wps:wsp>
                    <wps:cNvSpPr txBox="1"/>
                    <wps:spPr>
                      <a:xfrm>
                        <a:ext cx="3947160" cy="2527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Vypracování projektové dokumentace II/354 křiž. II/602 - Ostrov nad Oslavou,</w:t>
                          </w:r>
                        </w:p>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úsek II/354 křiž. II/602 - Netín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25pt;margin-top:45.399999999999999pt;width:310.80000000000001pt;height:19.899999999999999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Vypracování projektové dokumentace II/354 křiž. II/602 - Ostrov nad Oslavou,</w:t>
                    </w:r>
                  </w:p>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úsek II/354 křiž. II/602 - Netín</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895350</wp:posOffset>
              </wp:positionH>
              <wp:positionV relativeFrom="page">
                <wp:posOffset>576580</wp:posOffset>
              </wp:positionV>
              <wp:extent cx="3947160" cy="255905"/>
              <wp:wrapNone/>
              <wp:docPr id="8" name="Shape 8"/>
              <a:graphic xmlns:a="http://schemas.openxmlformats.org/drawingml/2006/main">
                <a:graphicData uri="http://schemas.microsoft.com/office/word/2010/wordprocessingShape">
                  <wps:wsp>
                    <wps:cNvSpPr txBox="1"/>
                    <wps:spPr>
                      <a:xfrm>
                        <a:ext cx="3947160" cy="2559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Vypracování projektové dokumentace II/354 křiž. II/602 - Ostrov nad Oslavou,</w:t>
                          </w:r>
                        </w:p>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úsek II/354 křiž. II/602 - Netín</w:t>
                          </w:r>
                        </w:p>
                      </w:txbxContent>
                    </wps:txbx>
                    <wps:bodyPr wrap="none" lIns="0" tIns="0" rIns="0" bIns="0">
                      <a:spAutoFit/>
                    </wps:bodyPr>
                  </wps:wsp>
                </a:graphicData>
              </a:graphic>
            </wp:anchor>
          </w:drawing>
        </mc:Choice>
        <mc:Fallback>
          <w:pict>
            <v:shape id="_x0000_s1034" type="#_x0000_t202" style="position:absolute;margin-left:70.5pt;margin-top:45.399999999999999pt;width:310.80000000000001pt;height:20.149999999999999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Vypracování projektové dokumentace II/354 křiž. II/602 - Ostrov nad Oslavou,</w:t>
                    </w:r>
                  </w:p>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úsek II/354 křiž. II/602 - Netín</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upp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Základní text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20"/>
      <w:szCs w:val="20"/>
      <w:u w:val="none"/>
    </w:rPr>
  </w:style>
  <w:style w:type="character" w:customStyle="1" w:styleId="CharStyle24">
    <w:name w:val="Základní text (3)_"/>
    <w:basedOn w:val="DefaultParagraphFont"/>
    <w:link w:val="Style23"/>
    <w:rPr>
      <w:rFonts w:ascii="Calibri" w:eastAsia="Calibri" w:hAnsi="Calibri" w:cs="Calibri"/>
      <w:b w:val="0"/>
      <w:bCs w:val="0"/>
      <w:i w:val="0"/>
      <w:iCs w:val="0"/>
      <w:smallCaps w:val="0"/>
      <w:strike w:val="0"/>
      <w:sz w:val="22"/>
      <w:szCs w:val="22"/>
      <w:u w:val="none"/>
    </w:rPr>
  </w:style>
  <w:style w:type="character" w:customStyle="1" w:styleId="CharStyle33">
    <w:name w:val="Základní text (2)_"/>
    <w:basedOn w:val="DefaultParagraphFont"/>
    <w:link w:val="Style32"/>
    <w:rPr>
      <w:rFonts w:ascii="Calibri" w:eastAsia="Calibri" w:hAnsi="Calibri" w:cs="Calibri"/>
      <w:b/>
      <w:bCs/>
      <w:i w:val="0"/>
      <w:iCs w:val="0"/>
      <w:smallCaps w:val="0"/>
      <w:strike w:val="0"/>
      <w:sz w:val="26"/>
      <w:szCs w:val="26"/>
      <w:u w:val="none"/>
    </w:rPr>
  </w:style>
  <w:style w:type="character" w:customStyle="1" w:styleId="CharStyle35">
    <w:name w:val="Nadpis #1_"/>
    <w:basedOn w:val="DefaultParagraphFont"/>
    <w:link w:val="Style34"/>
    <w:rPr>
      <w:rFonts w:ascii="Calibri" w:eastAsia="Calibri" w:hAnsi="Calibri" w:cs="Calibri"/>
      <w:b/>
      <w:bCs/>
      <w:i w:val="0"/>
      <w:iCs w:val="0"/>
      <w:smallCaps w:val="0"/>
      <w:strike w:val="0"/>
      <w:sz w:val="28"/>
      <w:szCs w:val="28"/>
      <w:u w:val="none"/>
    </w:rPr>
  </w:style>
  <w:style w:type="paragraph" w:customStyle="1" w:styleId="Style2">
    <w:name w:val="Jiné"/>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Základní text"/>
    <w:basedOn w:val="Normal"/>
    <w:link w:val="CharStyle11"/>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300" w:lineRule="auto"/>
    </w:pPr>
    <w:rPr>
      <w:rFonts w:ascii="Arial" w:eastAsia="Arial" w:hAnsi="Arial" w:cs="Arial"/>
      <w:b w:val="0"/>
      <w:bCs w:val="0"/>
      <w:i w:val="0"/>
      <w:iCs w:val="0"/>
      <w:smallCaps w:val="0"/>
      <w:strike w:val="0"/>
      <w:sz w:val="20"/>
      <w:szCs w:val="20"/>
      <w:u w:val="none"/>
    </w:rPr>
  </w:style>
  <w:style w:type="paragraph" w:customStyle="1" w:styleId="Style16">
    <w:name w:val="Nadpis #2"/>
    <w:basedOn w:val="Normal"/>
    <w:link w:val="CharStyle17"/>
    <w:pPr>
      <w:widowControl w:val="0"/>
      <w:shd w:val="clear" w:color="auto" w:fill="FFFFFF"/>
      <w:spacing w:after="100"/>
      <w:jc w:val="center"/>
      <w:outlineLvl w:val="1"/>
    </w:pPr>
    <w:rPr>
      <w:rFonts w:ascii="Arial" w:eastAsia="Arial" w:hAnsi="Arial" w:cs="Arial"/>
      <w:b/>
      <w:bCs/>
      <w:i w:val="0"/>
      <w:iCs w:val="0"/>
      <w:smallCaps w:val="0"/>
      <w:strike w:val="0"/>
      <w:sz w:val="20"/>
      <w:szCs w:val="20"/>
      <w:u w:val="none"/>
    </w:rPr>
  </w:style>
  <w:style w:type="paragraph" w:customStyle="1" w:styleId="Style23">
    <w:name w:val="Základní text (3)"/>
    <w:basedOn w:val="Normal"/>
    <w:link w:val="CharStyle24"/>
    <w:pPr>
      <w:widowControl w:val="0"/>
      <w:shd w:val="clear" w:color="auto" w:fill="FFFFFF"/>
      <w:ind w:left="8280"/>
    </w:pPr>
    <w:rPr>
      <w:rFonts w:ascii="Calibri" w:eastAsia="Calibri" w:hAnsi="Calibri" w:cs="Calibri"/>
      <w:b w:val="0"/>
      <w:bCs w:val="0"/>
      <w:i w:val="0"/>
      <w:iCs w:val="0"/>
      <w:smallCaps w:val="0"/>
      <w:strike w:val="0"/>
      <w:sz w:val="22"/>
      <w:szCs w:val="22"/>
      <w:u w:val="none"/>
    </w:rPr>
  </w:style>
  <w:style w:type="paragraph" w:customStyle="1" w:styleId="Style32">
    <w:name w:val="Základní text (2)"/>
    <w:basedOn w:val="Normal"/>
    <w:link w:val="CharStyle33"/>
    <w:pPr>
      <w:widowControl w:val="0"/>
      <w:shd w:val="clear" w:color="auto" w:fill="FFFFFF"/>
      <w:spacing w:after="40"/>
    </w:pPr>
    <w:rPr>
      <w:rFonts w:ascii="Calibri" w:eastAsia="Calibri" w:hAnsi="Calibri" w:cs="Calibri"/>
      <w:b/>
      <w:bCs/>
      <w:i w:val="0"/>
      <w:iCs w:val="0"/>
      <w:smallCaps w:val="0"/>
      <w:strike w:val="0"/>
      <w:sz w:val="26"/>
      <w:szCs w:val="26"/>
      <w:u w:val="none"/>
    </w:rPr>
  </w:style>
  <w:style w:type="paragraph" w:customStyle="1" w:styleId="Style34">
    <w:name w:val="Nadpis #1"/>
    <w:basedOn w:val="Normal"/>
    <w:link w:val="CharStyle35"/>
    <w:pPr>
      <w:widowControl w:val="0"/>
      <w:shd w:val="clear" w:color="auto" w:fill="FFFFFF"/>
      <w:spacing w:after="40"/>
      <w:ind w:left="286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Miluše</dc:creator>
  <cp:keywords/>
</cp:coreProperties>
</file>