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CE" w:rsidRDefault="004B0F1F">
      <w:pPr>
        <w:pStyle w:val="Nadpis1"/>
        <w:spacing w:before="14"/>
      </w:pPr>
      <w:r>
        <w:t>DODATEK č.4</w:t>
      </w:r>
    </w:p>
    <w:p w:rsidR="001E0FCE" w:rsidRDefault="004B0F1F">
      <w:pPr>
        <w:spacing w:before="1" w:line="341" w:lineRule="exact"/>
        <w:ind w:left="3056" w:right="2957"/>
        <w:jc w:val="center"/>
        <w:rPr>
          <w:b/>
          <w:sz w:val="28"/>
        </w:rPr>
      </w:pPr>
      <w:r>
        <w:rPr>
          <w:b/>
          <w:sz w:val="28"/>
        </w:rPr>
        <w:t xml:space="preserve">KUPNÍ SMLOUVY- </w:t>
      </w:r>
      <w:proofErr w:type="spellStart"/>
      <w:r>
        <w:rPr>
          <w:b/>
          <w:sz w:val="28"/>
        </w:rPr>
        <w:t>část</w:t>
      </w:r>
      <w:proofErr w:type="spellEnd"/>
      <w:r>
        <w:rPr>
          <w:b/>
          <w:sz w:val="28"/>
        </w:rPr>
        <w:t xml:space="preserve"> A </w:t>
      </w:r>
      <w:proofErr w:type="gramStart"/>
      <w:r>
        <w:rPr>
          <w:b/>
          <w:sz w:val="28"/>
        </w:rPr>
        <w:t>( ZZS</w:t>
      </w:r>
      <w:proofErr w:type="gramEnd"/>
      <w:r>
        <w:rPr>
          <w:b/>
          <w:sz w:val="28"/>
        </w:rPr>
        <w:t>/K/2/2013)</w:t>
      </w:r>
    </w:p>
    <w:p w:rsidR="001E0FCE" w:rsidRDefault="004B0F1F">
      <w:pPr>
        <w:pStyle w:val="Zkladntext"/>
        <w:spacing w:line="268" w:lineRule="exact"/>
        <w:ind w:left="22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dodávky</w:t>
      </w:r>
      <w:proofErr w:type="spellEnd"/>
      <w:r>
        <w:t xml:space="preserve"> </w:t>
      </w:r>
      <w:proofErr w:type="spellStart"/>
      <w:r>
        <w:t>medicinálních</w:t>
      </w:r>
      <w:proofErr w:type="spellEnd"/>
      <w:r>
        <w:t xml:space="preserve"> </w:t>
      </w:r>
      <w:proofErr w:type="spellStart"/>
      <w:r>
        <w:t>plynů</w:t>
      </w:r>
      <w:proofErr w:type="spellEnd"/>
      <w:r>
        <w:t xml:space="preserve"> </w:t>
      </w:r>
      <w:proofErr w:type="spellStart"/>
      <w:r>
        <w:t>uzavřené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17.5.2013</w:t>
      </w:r>
    </w:p>
    <w:p w:rsidR="001E0FCE" w:rsidRDefault="001E0FCE">
      <w:pPr>
        <w:pStyle w:val="Zkladntext"/>
      </w:pPr>
    </w:p>
    <w:p w:rsidR="001E0FCE" w:rsidRDefault="004B0F1F">
      <w:pPr>
        <w:pStyle w:val="Nadpis2"/>
        <w:ind w:right="2952"/>
      </w:pPr>
      <w:r>
        <w:t>I.</w:t>
      </w:r>
    </w:p>
    <w:p w:rsidR="001E0FCE" w:rsidRDefault="004B0F1F">
      <w:pPr>
        <w:ind w:left="3056" w:right="2957"/>
        <w:jc w:val="center"/>
        <w:rPr>
          <w:b/>
        </w:rPr>
      </w:pPr>
      <w:proofErr w:type="spellStart"/>
      <w:r>
        <w:rPr>
          <w:b/>
        </w:rPr>
        <w:t>Smluvní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strany</w:t>
      </w:r>
      <w:proofErr w:type="spellEnd"/>
    </w:p>
    <w:p w:rsidR="001E0FCE" w:rsidRDefault="004B0F1F">
      <w:pPr>
        <w:ind w:left="220"/>
        <w:jc w:val="both"/>
        <w:rPr>
          <w:b/>
        </w:rPr>
      </w:pPr>
      <w:proofErr w:type="spellStart"/>
      <w:r>
        <w:rPr>
          <w:b/>
        </w:rPr>
        <w:t>Zdravotnická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záchranná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Moravskoslezského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příspěvková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organizace</w:t>
      </w:r>
      <w:proofErr w:type="spellEnd"/>
    </w:p>
    <w:p w:rsidR="001E0FCE" w:rsidRDefault="004B0F1F">
      <w:pPr>
        <w:pStyle w:val="Zkladntext"/>
        <w:tabs>
          <w:tab w:val="left" w:pos="1636"/>
        </w:tabs>
        <w:ind w:left="220"/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>:</w:t>
      </w:r>
      <w:r>
        <w:tab/>
      </w:r>
      <w:proofErr w:type="spellStart"/>
      <w:r>
        <w:t>Výškovická</w:t>
      </w:r>
      <w:proofErr w:type="spellEnd"/>
      <w:r>
        <w:t xml:space="preserve"> 2995/40, </w:t>
      </w:r>
      <w:proofErr w:type="spellStart"/>
      <w:r>
        <w:t>Zábřeh</w:t>
      </w:r>
      <w:proofErr w:type="spellEnd"/>
      <w:r>
        <w:t>, 700 30</w:t>
      </w:r>
      <w:r>
        <w:rPr>
          <w:spacing w:val="-16"/>
        </w:rPr>
        <w:t xml:space="preserve"> </w:t>
      </w:r>
      <w:r>
        <w:t>Ostrava</w:t>
      </w:r>
    </w:p>
    <w:p w:rsidR="001E0FCE" w:rsidRDefault="004B0F1F">
      <w:pPr>
        <w:pStyle w:val="Zkladntext"/>
        <w:tabs>
          <w:tab w:val="left" w:pos="1636"/>
        </w:tabs>
        <w:ind w:left="220"/>
        <w:jc w:val="both"/>
      </w:pPr>
      <w:r>
        <w:t>IČ:</w:t>
      </w:r>
      <w:r>
        <w:tab/>
        <w:t>48804525</w:t>
      </w:r>
    </w:p>
    <w:p w:rsidR="001E0FCE" w:rsidRDefault="004B0F1F">
      <w:pPr>
        <w:pStyle w:val="Zkladntext"/>
        <w:tabs>
          <w:tab w:val="left" w:pos="1636"/>
        </w:tabs>
        <w:spacing w:before="1" w:line="237" w:lineRule="auto"/>
        <w:ind w:left="270" w:right="5130" w:hanging="51"/>
      </w:pPr>
      <w:proofErr w:type="spellStart"/>
      <w:r>
        <w:t>Zastoupené</w:t>
      </w:r>
      <w:proofErr w:type="spellEnd"/>
      <w:r>
        <w:t>:</w:t>
      </w:r>
      <w:r>
        <w:tab/>
      </w:r>
      <w:proofErr w:type="spellStart"/>
      <w:r>
        <w:t>MUDr</w:t>
      </w:r>
      <w:proofErr w:type="spellEnd"/>
      <w:r>
        <w:t xml:space="preserve">. </w:t>
      </w:r>
      <w:proofErr w:type="spellStart"/>
      <w:r>
        <w:t>Romanem</w:t>
      </w:r>
      <w:proofErr w:type="spellEnd"/>
      <w:r>
        <w:t xml:space="preserve"> </w:t>
      </w:r>
      <w:proofErr w:type="spellStart"/>
      <w:r>
        <w:t>Gřegořem</w:t>
      </w:r>
      <w:proofErr w:type="spellEnd"/>
      <w:r>
        <w:t>,</w:t>
      </w:r>
      <w:r>
        <w:rPr>
          <w:spacing w:val="-6"/>
        </w:rPr>
        <w:t xml:space="preserve"> </w:t>
      </w:r>
      <w:r>
        <w:t>MBA,</w:t>
      </w:r>
      <w:r>
        <w:rPr>
          <w:spacing w:val="-1"/>
        </w:rPr>
        <w:t xml:space="preserve"> </w:t>
      </w:r>
      <w:proofErr w:type="spellStart"/>
      <w:r>
        <w:t>ředitelem</w:t>
      </w:r>
      <w:proofErr w:type="spellEnd"/>
      <w:r>
        <w:t xml:space="preserve"> </w:t>
      </w: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t>„</w:t>
      </w:r>
      <w:proofErr w:type="spellStart"/>
      <w:r>
        <w:t>kupující</w:t>
      </w:r>
      <w:proofErr w:type="spellEnd"/>
      <w:r>
        <w:t>“)</w:t>
      </w:r>
    </w:p>
    <w:p w:rsidR="001E0FCE" w:rsidRDefault="001E0FCE">
      <w:pPr>
        <w:pStyle w:val="Zkladntext"/>
      </w:pPr>
    </w:p>
    <w:p w:rsidR="001E0FCE" w:rsidRDefault="004B0F1F">
      <w:pPr>
        <w:pStyle w:val="Zkladntext"/>
        <w:ind w:left="220"/>
        <w:jc w:val="both"/>
      </w:pPr>
      <w:proofErr w:type="gramStart"/>
      <w:r>
        <w:t>a</w:t>
      </w:r>
      <w:proofErr w:type="gramEnd"/>
    </w:p>
    <w:p w:rsidR="001E0FCE" w:rsidRDefault="004B0F1F">
      <w:pPr>
        <w:ind w:left="220"/>
        <w:jc w:val="both"/>
        <w:rPr>
          <w:b/>
          <w:i/>
        </w:rPr>
      </w:pPr>
      <w:proofErr w:type="gramStart"/>
      <w:r>
        <w:rPr>
          <w:b/>
        </w:rPr>
        <w:t>firma</w:t>
      </w:r>
      <w:proofErr w:type="gramEnd"/>
      <w:r>
        <w:rPr>
          <w:b/>
        </w:rPr>
        <w:t xml:space="preserve">:        </w:t>
      </w:r>
      <w:r>
        <w:rPr>
          <w:b/>
          <w:i/>
        </w:rPr>
        <w:t xml:space="preserve">SIAD Czech </w:t>
      </w:r>
      <w:proofErr w:type="spellStart"/>
      <w:r>
        <w:rPr>
          <w:b/>
          <w:i/>
        </w:rPr>
        <w:t>spol</w:t>
      </w:r>
      <w:proofErr w:type="spellEnd"/>
      <w:r>
        <w:rPr>
          <w:b/>
          <w:i/>
        </w:rPr>
        <w:t xml:space="preserve">. </w:t>
      </w:r>
      <w:proofErr w:type="gramStart"/>
      <w:r>
        <w:rPr>
          <w:b/>
          <w:i/>
        </w:rPr>
        <w:t>s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r.o</w:t>
      </w:r>
      <w:proofErr w:type="spellEnd"/>
      <w:r>
        <w:rPr>
          <w:b/>
          <w:i/>
        </w:rPr>
        <w:t>.</w:t>
      </w:r>
    </w:p>
    <w:p w:rsidR="001E0FCE" w:rsidRDefault="004B0F1F">
      <w:pPr>
        <w:pStyle w:val="Zkladntext"/>
        <w:ind w:left="220"/>
        <w:jc w:val="both"/>
      </w:pPr>
      <w:proofErr w:type="gramStart"/>
      <w:r>
        <w:t>se</w:t>
      </w:r>
      <w:proofErr w:type="gramEnd"/>
      <w:r>
        <w:t xml:space="preserve"> </w:t>
      </w:r>
      <w:proofErr w:type="spellStart"/>
      <w:r>
        <w:t>sídlem</w:t>
      </w:r>
      <w:proofErr w:type="spellEnd"/>
      <w:r>
        <w:t xml:space="preserve">: K </w:t>
      </w:r>
      <w:proofErr w:type="spellStart"/>
      <w:r>
        <w:t>Hájům</w:t>
      </w:r>
      <w:proofErr w:type="spellEnd"/>
      <w:r>
        <w:t xml:space="preserve"> 2606/2b, 155 00 Praha</w:t>
      </w:r>
    </w:p>
    <w:p w:rsidR="001E0FCE" w:rsidRDefault="004B0F1F">
      <w:pPr>
        <w:pStyle w:val="Zkladntext"/>
        <w:tabs>
          <w:tab w:val="left" w:pos="1148"/>
        </w:tabs>
        <w:ind w:left="220"/>
        <w:jc w:val="both"/>
      </w:pPr>
      <w:r>
        <w:t>IČ:</w:t>
      </w:r>
      <w:r>
        <w:tab/>
        <w:t>48117153</w:t>
      </w:r>
    </w:p>
    <w:p w:rsidR="001E0FCE" w:rsidRDefault="004B0F1F">
      <w:pPr>
        <w:pStyle w:val="Zkladntext"/>
        <w:spacing w:before="1"/>
        <w:ind w:left="220"/>
        <w:jc w:val="both"/>
      </w:pPr>
      <w:proofErr w:type="spellStart"/>
      <w:proofErr w:type="gramStart"/>
      <w:r>
        <w:t>společnost</w:t>
      </w:r>
      <w:proofErr w:type="spellEnd"/>
      <w:proofErr w:type="gramEnd"/>
      <w:r>
        <w:t xml:space="preserve"> </w:t>
      </w: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MS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16942</w:t>
      </w:r>
    </w:p>
    <w:p w:rsidR="001E0FCE" w:rsidRDefault="004B0F1F">
      <w:pPr>
        <w:pStyle w:val="Zkladntext"/>
        <w:ind w:left="220"/>
        <w:jc w:val="both"/>
      </w:pPr>
      <w:proofErr w:type="spellStart"/>
      <w:proofErr w:type="gramStart"/>
      <w:r>
        <w:t>jednající</w:t>
      </w:r>
      <w:proofErr w:type="spellEnd"/>
      <w:proofErr w:type="gramEnd"/>
      <w:r>
        <w:t xml:space="preserve">:   </w:t>
      </w:r>
      <w:proofErr w:type="spellStart"/>
      <w:r>
        <w:t>Alessio</w:t>
      </w:r>
      <w:proofErr w:type="spellEnd"/>
      <w:r>
        <w:t xml:space="preserve"> </w:t>
      </w:r>
      <w:proofErr w:type="spellStart"/>
      <w:r>
        <w:t>Conton</w:t>
      </w:r>
      <w:proofErr w:type="spellEnd"/>
      <w:r>
        <w:t xml:space="preserve">, </w:t>
      </w:r>
      <w:proofErr w:type="spellStart"/>
      <w:r>
        <w:t>jednatel</w:t>
      </w:r>
      <w:proofErr w:type="spellEnd"/>
    </w:p>
    <w:p w:rsidR="001E0FCE" w:rsidRDefault="004B0F1F">
      <w:pPr>
        <w:pStyle w:val="Zkladntext"/>
        <w:ind w:left="220"/>
        <w:jc w:val="both"/>
      </w:pPr>
      <w:r>
        <w:t>(</w:t>
      </w:r>
      <w:proofErr w:type="spellStart"/>
      <w:proofErr w:type="gramStart"/>
      <w:r>
        <w:t>dále</w:t>
      </w:r>
      <w:proofErr w:type="spellEnd"/>
      <w:proofErr w:type="gram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prodávající</w:t>
      </w:r>
      <w:proofErr w:type="spellEnd"/>
      <w:r>
        <w:t>“)</w:t>
      </w:r>
    </w:p>
    <w:p w:rsidR="001E0FCE" w:rsidRDefault="001E0FCE">
      <w:pPr>
        <w:pStyle w:val="Zkladntext"/>
        <w:spacing w:before="10"/>
        <w:rPr>
          <w:sz w:val="21"/>
        </w:rPr>
      </w:pPr>
    </w:p>
    <w:p w:rsidR="001E0FCE" w:rsidRDefault="004B0F1F">
      <w:pPr>
        <w:pStyle w:val="Zkladntext"/>
        <w:ind w:left="220" w:right="112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– </w:t>
      </w:r>
      <w:proofErr w:type="spellStart"/>
      <w:r>
        <w:t>část</w:t>
      </w:r>
      <w:proofErr w:type="spellEnd"/>
      <w:r>
        <w:t xml:space="preserve"> A v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Přílohy</w:t>
      </w:r>
      <w:proofErr w:type="spellEnd"/>
      <w:r>
        <w:t xml:space="preserve"> č.1-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, a to z </w:t>
      </w:r>
      <w:proofErr w:type="spellStart"/>
      <w:r>
        <w:t>dů</w:t>
      </w:r>
      <w:r>
        <w:t>vodu</w:t>
      </w:r>
      <w:proofErr w:type="spellEnd"/>
      <w:r>
        <w:t xml:space="preserve"> </w:t>
      </w:r>
      <w:proofErr w:type="spellStart"/>
      <w:r>
        <w:t>navýšení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o 10 % a </w:t>
      </w:r>
      <w:proofErr w:type="spellStart"/>
      <w:r>
        <w:t>nájmu</w:t>
      </w:r>
      <w:proofErr w:type="spellEnd"/>
      <w:r>
        <w:t xml:space="preserve"> o 4 %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nárůstu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pohonných</w:t>
      </w:r>
      <w:proofErr w:type="spellEnd"/>
      <w:r>
        <w:t xml:space="preserve"> </w:t>
      </w:r>
      <w:proofErr w:type="spellStart"/>
      <w:r>
        <w:t>hmot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komodit</w:t>
      </w:r>
      <w:proofErr w:type="spellEnd"/>
    </w:p>
    <w:p w:rsidR="001E0FCE" w:rsidRDefault="004B0F1F">
      <w:pPr>
        <w:pStyle w:val="Zkladntext"/>
        <w:tabs>
          <w:tab w:val="left" w:pos="348"/>
        </w:tabs>
        <w:ind w:right="3089"/>
        <w:jc w:val="center"/>
      </w:pPr>
      <w:r>
        <w:t>-</w:t>
      </w:r>
      <w:r>
        <w:tab/>
      </w:r>
      <w:proofErr w:type="spellStart"/>
      <w:r>
        <w:t>Příloha</w:t>
      </w:r>
      <w:proofErr w:type="spellEnd"/>
      <w:r>
        <w:t xml:space="preserve"> č. 1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– </w:t>
      </w:r>
      <w:proofErr w:type="spellStart"/>
      <w:r>
        <w:t>část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ceny</w:t>
      </w:r>
      <w:proofErr w:type="spellEnd"/>
      <w:proofErr w:type="gramEnd"/>
      <w:r>
        <w:t xml:space="preserve"> </w:t>
      </w:r>
      <w:proofErr w:type="spellStart"/>
      <w:r>
        <w:t>zboží</w:t>
      </w:r>
      <w:proofErr w:type="spellEnd"/>
      <w:r>
        <w:t xml:space="preserve"> a </w:t>
      </w:r>
      <w:proofErr w:type="spellStart"/>
      <w:r>
        <w:t>služeb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rPr>
          <w:spacing w:val="-15"/>
        </w:rPr>
        <w:t xml:space="preserve"> </w:t>
      </w:r>
      <w:proofErr w:type="spellStart"/>
      <w:r>
        <w:t>takto</w:t>
      </w:r>
      <w:proofErr w:type="spellEnd"/>
      <w:r>
        <w:t>:</w:t>
      </w:r>
    </w:p>
    <w:p w:rsidR="001E0FCE" w:rsidRDefault="001E0FCE">
      <w:pPr>
        <w:pStyle w:val="Zkladntext"/>
        <w:spacing w:before="1"/>
      </w:pPr>
    </w:p>
    <w:tbl>
      <w:tblPr>
        <w:tblStyle w:val="TableNormal"/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702"/>
        <w:gridCol w:w="1702"/>
        <w:gridCol w:w="1561"/>
      </w:tblGrid>
      <w:tr w:rsidR="001E0FCE">
        <w:trPr>
          <w:trHeight w:hRule="exact" w:val="566"/>
        </w:trPr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551"/>
              <w:rPr>
                <w:b/>
              </w:rPr>
            </w:pPr>
            <w:proofErr w:type="spellStart"/>
            <w:r>
              <w:rPr>
                <w:b/>
              </w:rPr>
              <w:t>Položka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Jednotka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119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bez DPH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Hodnota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DPH</w:t>
            </w:r>
          </w:p>
          <w:p w:rsidR="001E0FCE" w:rsidRDefault="004B0F1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s DPH </w:t>
            </w:r>
            <w:proofErr w:type="spellStart"/>
            <w:r>
              <w:rPr>
                <w:b/>
              </w:rPr>
              <w:t>za</w:t>
            </w:r>
            <w:proofErr w:type="spellEnd"/>
          </w:p>
          <w:p w:rsidR="001E0FCE" w:rsidRDefault="004B0F1F">
            <w:pPr>
              <w:pStyle w:val="TableParagraph"/>
              <w:spacing w:line="240" w:lineRule="auto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</w:tr>
      <w:tr w:rsidR="001E0FCE">
        <w:trPr>
          <w:trHeight w:hRule="exact" w:val="290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proofErr w:type="spellStart"/>
            <w:r>
              <w:t>Naplnění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láhve</w:t>
            </w:r>
            <w:proofErr w:type="spellEnd"/>
            <w:r>
              <w:t xml:space="preserve"> 2 l </w:t>
            </w:r>
            <w:proofErr w:type="spellStart"/>
            <w:r>
              <w:t>odlehčená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r>
              <w:t>500,-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r>
              <w:t>75,-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  <w:ind w:left="100"/>
            </w:pPr>
            <w:r>
              <w:t>575,-</w:t>
            </w:r>
          </w:p>
        </w:tc>
      </w:tr>
      <w:tr w:rsidR="001E0FCE">
        <w:trPr>
          <w:trHeight w:hRule="exact"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Naplnění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láhve</w:t>
            </w:r>
            <w:proofErr w:type="spellEnd"/>
            <w:r>
              <w:t xml:space="preserve"> 2 l </w:t>
            </w:r>
            <w:proofErr w:type="spellStart"/>
            <w:r>
              <w:t>ocelová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500,-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75,-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575,-</w:t>
            </w:r>
          </w:p>
        </w:tc>
      </w:tr>
      <w:tr w:rsidR="001E0FCE">
        <w:trPr>
          <w:trHeight w:hRule="exact" w:val="27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Naplnění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láhve</w:t>
            </w:r>
            <w:proofErr w:type="spellEnd"/>
            <w:r>
              <w:t xml:space="preserve"> 10 l </w:t>
            </w:r>
            <w:proofErr w:type="spellStart"/>
            <w:r>
              <w:t>ocelová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1400,-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210,-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1610,-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96"/>
            </w:pPr>
            <w:proofErr w:type="spellStart"/>
            <w:r>
              <w:t>Dlouhodobý</w:t>
            </w:r>
            <w:proofErr w:type="spellEnd"/>
            <w:r>
              <w:t xml:space="preserve"> </w:t>
            </w:r>
            <w:proofErr w:type="spellStart"/>
            <w:r>
              <w:t>nájem</w:t>
            </w:r>
            <w:proofErr w:type="spellEnd"/>
            <w:r>
              <w:t xml:space="preserve"> ( </w:t>
            </w:r>
            <w:proofErr w:type="spellStart"/>
            <w:r>
              <w:t>čtvrtletní</w:t>
            </w:r>
            <w:proofErr w:type="spellEnd"/>
            <w:r>
              <w:t xml:space="preserve">) </w:t>
            </w:r>
            <w:proofErr w:type="spellStart"/>
            <w:r>
              <w:t>láhev</w:t>
            </w:r>
            <w:proofErr w:type="spellEnd"/>
            <w:r>
              <w:t xml:space="preserve"> 2 l </w:t>
            </w:r>
            <w:proofErr w:type="spellStart"/>
            <w:r>
              <w:t>odlehčená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235"/>
            </w:pPr>
            <w:proofErr w:type="spellStart"/>
            <w:r>
              <w:t>Láhev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čtvrtletí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882,-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185,22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1067,22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96"/>
            </w:pPr>
            <w:proofErr w:type="spellStart"/>
            <w:r>
              <w:t>Dlouhodobý</w:t>
            </w:r>
            <w:proofErr w:type="spellEnd"/>
            <w:r>
              <w:t xml:space="preserve"> </w:t>
            </w:r>
            <w:proofErr w:type="spellStart"/>
            <w:r>
              <w:t>nájem</w:t>
            </w:r>
            <w:proofErr w:type="spellEnd"/>
            <w:r>
              <w:t xml:space="preserve"> ( </w:t>
            </w:r>
            <w:proofErr w:type="spellStart"/>
            <w:r>
              <w:t>čtvrtletní</w:t>
            </w:r>
            <w:proofErr w:type="spellEnd"/>
            <w:r>
              <w:t xml:space="preserve">) </w:t>
            </w:r>
            <w:proofErr w:type="spellStart"/>
            <w:r>
              <w:t>láhev</w:t>
            </w:r>
            <w:proofErr w:type="spellEnd"/>
            <w:r>
              <w:t xml:space="preserve"> 2 l </w:t>
            </w:r>
            <w:proofErr w:type="spellStart"/>
            <w:r>
              <w:t>ocelová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235"/>
            </w:pPr>
            <w:proofErr w:type="spellStart"/>
            <w:r>
              <w:t>Láhev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čtvrtletí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882,-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185,22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1067,22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96"/>
            </w:pPr>
            <w:proofErr w:type="spellStart"/>
            <w:r>
              <w:t>Dlouhodobý</w:t>
            </w:r>
            <w:proofErr w:type="spellEnd"/>
            <w:r>
              <w:t xml:space="preserve"> </w:t>
            </w:r>
            <w:proofErr w:type="spellStart"/>
            <w:r>
              <w:t>nájem</w:t>
            </w:r>
            <w:proofErr w:type="spellEnd"/>
            <w:r>
              <w:t xml:space="preserve"> ( </w:t>
            </w:r>
            <w:proofErr w:type="spellStart"/>
            <w:r>
              <w:t>čtvrtletní</w:t>
            </w:r>
            <w:proofErr w:type="spellEnd"/>
            <w:r>
              <w:t xml:space="preserve">) </w:t>
            </w:r>
            <w:proofErr w:type="spellStart"/>
            <w:r>
              <w:t>láhev</w:t>
            </w:r>
            <w:proofErr w:type="spellEnd"/>
            <w:r>
              <w:t xml:space="preserve"> 10 l </w:t>
            </w:r>
            <w:proofErr w:type="spellStart"/>
            <w:r>
              <w:t>ocelová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235"/>
            </w:pPr>
            <w:proofErr w:type="spellStart"/>
            <w:r>
              <w:t>Láhev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čtvrtletí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882,-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185,22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1067,22</w:t>
            </w:r>
          </w:p>
        </w:tc>
      </w:tr>
      <w:tr w:rsidR="001E0FCE">
        <w:trPr>
          <w:trHeight w:hRule="exact"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Poplatek</w:t>
            </w:r>
            <w:proofErr w:type="spellEnd"/>
            <w:r>
              <w:t xml:space="preserve"> ADR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lahve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81,-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12,15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93,15</w:t>
            </w:r>
          </w:p>
        </w:tc>
      </w:tr>
      <w:tr w:rsidR="001E0FCE">
        <w:trPr>
          <w:trHeight w:hRule="exact"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Poplatek</w:t>
            </w:r>
            <w:proofErr w:type="spellEnd"/>
            <w:r>
              <w:t xml:space="preserve"> </w:t>
            </w:r>
            <w:proofErr w:type="spellStart"/>
            <w:r>
              <w:t>mýtné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lahve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44,-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6,60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50,60</w:t>
            </w:r>
          </w:p>
        </w:tc>
      </w:tr>
    </w:tbl>
    <w:p w:rsidR="001E0FCE" w:rsidRDefault="001E0FCE">
      <w:pPr>
        <w:pStyle w:val="Zkladntext"/>
        <w:rPr>
          <w:sz w:val="20"/>
        </w:rPr>
      </w:pPr>
    </w:p>
    <w:p w:rsidR="001E0FCE" w:rsidRDefault="001E0FCE">
      <w:pPr>
        <w:pStyle w:val="Zkladntext"/>
        <w:rPr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702"/>
        <w:gridCol w:w="1702"/>
        <w:gridCol w:w="1561"/>
      </w:tblGrid>
      <w:tr w:rsidR="001E0FCE">
        <w:trPr>
          <w:trHeight w:hRule="exact" w:val="566"/>
        </w:trPr>
        <w:tc>
          <w:tcPr>
            <w:tcW w:w="3512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  <w:ind w:left="551"/>
              <w:rPr>
                <w:b/>
              </w:rPr>
            </w:pPr>
            <w:proofErr w:type="spellStart"/>
            <w:r>
              <w:rPr>
                <w:b/>
              </w:rPr>
              <w:t>Položka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  <w:rPr>
                <w:b/>
              </w:rPr>
            </w:pPr>
            <w:proofErr w:type="spellStart"/>
            <w:r>
              <w:rPr>
                <w:b/>
              </w:rPr>
              <w:t>Jednotka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67" w:lineRule="exact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bez DPH</w:t>
            </w:r>
          </w:p>
          <w:p w:rsidR="001E0FCE" w:rsidRDefault="004B0F1F">
            <w:pPr>
              <w:pStyle w:val="TableParagraph"/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67" w:lineRule="exact"/>
              <w:rPr>
                <w:b/>
              </w:rPr>
            </w:pPr>
            <w:proofErr w:type="spellStart"/>
            <w:r>
              <w:rPr>
                <w:b/>
              </w:rPr>
              <w:t>Hodnota</w:t>
            </w:r>
            <w:proofErr w:type="spellEnd"/>
            <w:r>
              <w:rPr>
                <w:b/>
              </w:rPr>
              <w:t xml:space="preserve"> DPH</w:t>
            </w:r>
          </w:p>
          <w:p w:rsidR="001E0FCE" w:rsidRDefault="004B0F1F">
            <w:pPr>
              <w:pStyle w:val="TableParagraph"/>
              <w:spacing w:line="267" w:lineRule="exact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67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s DPH </w:t>
            </w:r>
            <w:proofErr w:type="spellStart"/>
            <w:r>
              <w:rPr>
                <w:b/>
              </w:rPr>
              <w:t>za</w:t>
            </w:r>
            <w:proofErr w:type="spellEnd"/>
          </w:p>
          <w:p w:rsidR="001E0FCE" w:rsidRDefault="004B0F1F">
            <w:pPr>
              <w:pStyle w:val="TableParagraph"/>
              <w:spacing w:line="267" w:lineRule="exact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</w:tr>
      <w:tr w:rsidR="001E0FCE">
        <w:trPr>
          <w:trHeight w:hRule="exact" w:val="290"/>
        </w:trPr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proofErr w:type="spellStart"/>
            <w:r>
              <w:t>Medicinální</w:t>
            </w:r>
            <w:proofErr w:type="spellEnd"/>
            <w:r>
              <w:t xml:space="preserve"> </w:t>
            </w:r>
            <w:proofErr w:type="spellStart"/>
            <w:r>
              <w:t>vzduch</w:t>
            </w:r>
            <w:proofErr w:type="spellEnd"/>
            <w:r>
              <w:t xml:space="preserve"> 2l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r>
              <w:t>885,-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</w:pPr>
            <w:r>
              <w:t>132,75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before="1" w:line="240" w:lineRule="auto"/>
              <w:ind w:left="100"/>
            </w:pPr>
            <w:r>
              <w:t>1017,75</w:t>
            </w:r>
          </w:p>
        </w:tc>
      </w:tr>
      <w:tr w:rsidR="001E0FCE">
        <w:trPr>
          <w:trHeight w:hRule="exact" w:val="27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</w:pPr>
            <w:proofErr w:type="spellStart"/>
            <w:r>
              <w:t>Medicinální</w:t>
            </w:r>
            <w:proofErr w:type="spellEnd"/>
            <w:r>
              <w:t xml:space="preserve"> </w:t>
            </w:r>
            <w:proofErr w:type="spellStart"/>
            <w:r>
              <w:t>vzduch</w:t>
            </w:r>
            <w:proofErr w:type="spellEnd"/>
            <w:r>
              <w:t xml:space="preserve"> 10 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</w:pPr>
            <w:r>
              <w:t>1698,-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</w:pPr>
            <w:r>
              <w:t>254,70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left="100"/>
            </w:pPr>
            <w:r>
              <w:t>1952,70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Dlouhodobý</w:t>
            </w:r>
            <w:proofErr w:type="spellEnd"/>
            <w:r>
              <w:t xml:space="preserve"> </w:t>
            </w:r>
            <w:proofErr w:type="spellStart"/>
            <w:r>
              <w:t>nájem</w:t>
            </w:r>
            <w:proofErr w:type="spellEnd"/>
            <w:r>
              <w:t xml:space="preserve"> ( </w:t>
            </w:r>
            <w:proofErr w:type="spellStart"/>
            <w:r>
              <w:t>čtvrtletní</w:t>
            </w:r>
            <w:proofErr w:type="spellEnd"/>
            <w:r>
              <w:t xml:space="preserve">) </w:t>
            </w:r>
            <w:proofErr w:type="spellStart"/>
            <w:r>
              <w:t>láhev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right="235"/>
            </w:pPr>
            <w:proofErr w:type="spellStart"/>
            <w:r>
              <w:t>Láhev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čtvrtletí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882,-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185,22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1067,22</w:t>
            </w:r>
          </w:p>
        </w:tc>
      </w:tr>
      <w:tr w:rsidR="001E0FCE">
        <w:trPr>
          <w:trHeight w:hRule="exact" w:val="27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Poplatek</w:t>
            </w:r>
            <w:proofErr w:type="spellEnd"/>
            <w:r>
              <w:t xml:space="preserve"> ADR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lahve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81,-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12,15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93,15</w:t>
            </w:r>
          </w:p>
        </w:tc>
      </w:tr>
      <w:tr w:rsidR="001E0FCE">
        <w:trPr>
          <w:trHeight w:hRule="exact" w:val="28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Poplatek</w:t>
            </w:r>
            <w:proofErr w:type="spellEnd"/>
            <w:r>
              <w:t xml:space="preserve"> </w:t>
            </w:r>
            <w:proofErr w:type="spellStart"/>
            <w:r>
              <w:t>mýtné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</w:t>
            </w:r>
            <w:proofErr w:type="spellStart"/>
            <w:r>
              <w:t>lahve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proofErr w:type="spellStart"/>
            <w:r>
              <w:t>Láhev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44,-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</w:pPr>
            <w:r>
              <w:t>6,60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FCE" w:rsidRDefault="004B0F1F">
            <w:pPr>
              <w:pStyle w:val="TableParagraph"/>
              <w:ind w:left="100"/>
            </w:pPr>
            <w:r>
              <w:t>50,60</w:t>
            </w:r>
          </w:p>
        </w:tc>
      </w:tr>
    </w:tbl>
    <w:p w:rsidR="001E0FCE" w:rsidRDefault="001E0FCE">
      <w:pPr>
        <w:sectPr w:rsidR="001E0FCE">
          <w:type w:val="continuous"/>
          <w:pgSz w:w="11910" w:h="16840"/>
          <w:pgMar w:top="1100" w:right="600" w:bottom="280" w:left="500" w:header="708" w:footer="708" w:gutter="0"/>
          <w:cols w:space="708"/>
        </w:sectPr>
      </w:pPr>
    </w:p>
    <w:p w:rsidR="001E0FCE" w:rsidRDefault="004B0F1F">
      <w:pPr>
        <w:pStyle w:val="Zkladntext"/>
        <w:spacing w:line="29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1.95pt;height:1.45pt;mso-position-horizontal-relative:char;mso-position-vertical-relative:line" coordsize="9639,29">
            <v:line id="_x0000_s1039" style="position:absolute" from="15,15" to="3527,15" strokeweight="1.44pt"/>
            <v:line id="_x0000_s1038" style="position:absolute" from="3527,15" to="3556,15" strokeweight="1.44pt"/>
            <v:line id="_x0000_s1037" style="position:absolute" from="3555,15" to="4659,15" strokeweight="1.44pt"/>
            <v:line id="_x0000_s1036" style="position:absolute" from="4660,15" to="4688,15" strokeweight="1.44pt"/>
            <v:line id="_x0000_s1035" style="position:absolute" from="4688,15" to="6362,15" strokeweight="1.44pt"/>
            <v:line id="_x0000_s1034" style="position:absolute" from="6362,15" to="6390,15" strokeweight="1.44pt"/>
            <v:line id="_x0000_s1033" style="position:absolute" from="6390,15" to="8063,15" strokeweight="1.44pt"/>
            <v:line id="_x0000_s1032" style="position:absolute" from="8063,15" to="8092,15" strokeweight="1.44pt"/>
            <v:line id="_x0000_s1031" style="position:absolute" from="8092,15" to="9624,15" strokeweight="1.44pt"/>
            <w10:wrap type="none"/>
            <w10:anchorlock/>
          </v:group>
        </w:pict>
      </w:r>
    </w:p>
    <w:p w:rsidR="001E0FCE" w:rsidRDefault="001E0FCE">
      <w:pPr>
        <w:pStyle w:val="Zkladntext"/>
        <w:spacing w:before="5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1702"/>
        <w:gridCol w:w="1702"/>
        <w:gridCol w:w="1561"/>
      </w:tblGrid>
      <w:tr w:rsidR="001E0FCE">
        <w:trPr>
          <w:trHeight w:hRule="exact" w:val="548"/>
        </w:trPr>
        <w:tc>
          <w:tcPr>
            <w:tcW w:w="3512" w:type="dxa"/>
          </w:tcPr>
          <w:p w:rsidR="001E0FCE" w:rsidRDefault="004B0F1F">
            <w:pPr>
              <w:pStyle w:val="TableParagraph"/>
              <w:ind w:left="463"/>
              <w:rPr>
                <w:b/>
              </w:rPr>
            </w:pPr>
            <w:proofErr w:type="spellStart"/>
            <w:r>
              <w:rPr>
                <w:b/>
              </w:rPr>
              <w:t>Místo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plnění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Jednotka</w:t>
            </w:r>
            <w:proofErr w:type="spellEnd"/>
          </w:p>
        </w:tc>
        <w:tc>
          <w:tcPr>
            <w:tcW w:w="1702" w:type="dxa"/>
          </w:tcPr>
          <w:p w:rsidR="001E0FCE" w:rsidRDefault="004B0F1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bez DPH</w:t>
            </w:r>
          </w:p>
          <w:p w:rsidR="001E0FCE" w:rsidRDefault="004B0F1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Hodnota</w:t>
            </w:r>
            <w:proofErr w:type="spellEnd"/>
            <w:r>
              <w:rPr>
                <w:b/>
              </w:rPr>
              <w:t xml:space="preserve"> DPH</w:t>
            </w:r>
          </w:p>
          <w:p w:rsidR="001E0FCE" w:rsidRDefault="004B0F1F">
            <w:pPr>
              <w:pStyle w:val="TableParagraph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s DPH </w:t>
            </w:r>
            <w:proofErr w:type="spellStart"/>
            <w:r>
              <w:rPr>
                <w:b/>
              </w:rPr>
              <w:t>za</w:t>
            </w:r>
            <w:proofErr w:type="spellEnd"/>
          </w:p>
          <w:p w:rsidR="001E0FCE" w:rsidRDefault="004B0F1F">
            <w:pPr>
              <w:pStyle w:val="TableParagraph"/>
              <w:spacing w:line="240" w:lineRule="auto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jednotku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  <w:spacing w:line="240" w:lineRule="auto"/>
              <w:ind w:right="406"/>
            </w:pPr>
            <w:r>
              <w:t xml:space="preserve">ZZS MSK, ÚO Ostrava, </w:t>
            </w:r>
            <w:proofErr w:type="spellStart"/>
            <w:r>
              <w:t>Výškovická</w:t>
            </w:r>
            <w:proofErr w:type="spellEnd"/>
            <w:r>
              <w:t xml:space="preserve"> 40, </w:t>
            </w:r>
            <w:proofErr w:type="spellStart"/>
            <w:r>
              <w:t>Zábřeh</w:t>
            </w:r>
            <w:proofErr w:type="spellEnd"/>
            <w:r>
              <w:t>,  700 30 Ostrava</w:t>
            </w:r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252,-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37,80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289,8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  <w:spacing w:line="240" w:lineRule="auto"/>
              <w:ind w:right="350"/>
            </w:pPr>
            <w:r>
              <w:t xml:space="preserve">ZZS MSK, ÚO </w:t>
            </w:r>
            <w:proofErr w:type="spellStart"/>
            <w:r>
              <w:t>Karviná</w:t>
            </w:r>
            <w:proofErr w:type="spellEnd"/>
            <w:r>
              <w:t xml:space="preserve">, </w:t>
            </w:r>
            <w:proofErr w:type="spellStart"/>
            <w:r>
              <w:t>Vydmuchov</w:t>
            </w:r>
            <w:proofErr w:type="spellEnd"/>
            <w:r>
              <w:t xml:space="preserve"> 209, 733 01 </w:t>
            </w:r>
            <w:proofErr w:type="spellStart"/>
            <w:r>
              <w:t>Karviná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504,-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75,60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579,60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  <w:spacing w:line="240" w:lineRule="auto"/>
              <w:ind w:right="318"/>
            </w:pPr>
            <w:r>
              <w:t xml:space="preserve">ZZS MSK, ÚO </w:t>
            </w:r>
            <w:proofErr w:type="spellStart"/>
            <w:r>
              <w:t>Karviná</w:t>
            </w:r>
            <w:proofErr w:type="spellEnd"/>
            <w:r>
              <w:t xml:space="preserve">, </w:t>
            </w:r>
            <w:proofErr w:type="spellStart"/>
            <w:r>
              <w:t>Dělnická</w:t>
            </w:r>
            <w:proofErr w:type="spellEnd"/>
            <w:r>
              <w:t xml:space="preserve"> 24, 736 01 </w:t>
            </w:r>
            <w:proofErr w:type="spellStart"/>
            <w:r>
              <w:t>Havířov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504,-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75,60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579,60</w:t>
            </w:r>
          </w:p>
        </w:tc>
      </w:tr>
      <w:tr w:rsidR="001E0FCE">
        <w:trPr>
          <w:trHeight w:hRule="exact" w:val="816"/>
        </w:trPr>
        <w:tc>
          <w:tcPr>
            <w:tcW w:w="3512" w:type="dxa"/>
          </w:tcPr>
          <w:p w:rsidR="001E0FCE" w:rsidRDefault="004B0F1F">
            <w:pPr>
              <w:pStyle w:val="TableParagraph"/>
              <w:spacing w:line="240" w:lineRule="auto"/>
              <w:ind w:right="160"/>
            </w:pPr>
            <w:r>
              <w:t xml:space="preserve">ZZS MSK, ÚO </w:t>
            </w:r>
            <w:proofErr w:type="spellStart"/>
            <w:r>
              <w:t>Frýdek</w:t>
            </w:r>
            <w:proofErr w:type="spellEnd"/>
            <w:r>
              <w:t xml:space="preserve"> – </w:t>
            </w:r>
            <w:proofErr w:type="spellStart"/>
            <w:r>
              <w:t>Místek</w:t>
            </w:r>
            <w:proofErr w:type="spellEnd"/>
            <w:r>
              <w:t xml:space="preserve">, </w:t>
            </w:r>
            <w:proofErr w:type="spellStart"/>
            <w:r>
              <w:t>Elišky</w:t>
            </w:r>
            <w:proofErr w:type="spellEnd"/>
            <w:r>
              <w:t xml:space="preserve"> </w:t>
            </w:r>
            <w:proofErr w:type="spellStart"/>
            <w:r>
              <w:t>Krásnohorské</w:t>
            </w:r>
            <w:proofErr w:type="spellEnd"/>
            <w:r>
              <w:t xml:space="preserve"> 322, 738 01 </w:t>
            </w:r>
            <w:proofErr w:type="spellStart"/>
            <w:r>
              <w:t>Frýdek</w:t>
            </w:r>
            <w:proofErr w:type="spellEnd"/>
            <w:r>
              <w:t xml:space="preserve"> – </w:t>
            </w:r>
            <w:proofErr w:type="spellStart"/>
            <w:r>
              <w:t>Místek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504,-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75,60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579,60</w:t>
            </w:r>
          </w:p>
        </w:tc>
      </w:tr>
      <w:tr w:rsidR="001E0FCE">
        <w:trPr>
          <w:trHeight w:hRule="exact" w:val="545"/>
        </w:trPr>
        <w:tc>
          <w:tcPr>
            <w:tcW w:w="3512" w:type="dxa"/>
          </w:tcPr>
          <w:p w:rsidR="001E0FCE" w:rsidRDefault="004B0F1F">
            <w:pPr>
              <w:pStyle w:val="TableParagraph"/>
              <w:spacing w:before="1" w:line="237" w:lineRule="auto"/>
              <w:ind w:right="703"/>
            </w:pPr>
            <w:r>
              <w:t xml:space="preserve">ZZS MSK, ÚO </w:t>
            </w:r>
            <w:proofErr w:type="spellStart"/>
            <w:r>
              <w:t>Frýdek</w:t>
            </w:r>
            <w:proofErr w:type="spellEnd"/>
            <w:r>
              <w:t xml:space="preserve"> – </w:t>
            </w:r>
            <w:proofErr w:type="spellStart"/>
            <w:r>
              <w:t>Místek</w:t>
            </w:r>
            <w:proofErr w:type="spellEnd"/>
            <w:r>
              <w:t xml:space="preserve">, </w:t>
            </w:r>
            <w:proofErr w:type="spellStart"/>
            <w:r>
              <w:t>Kaštanová</w:t>
            </w:r>
            <w:proofErr w:type="spellEnd"/>
            <w:r>
              <w:t xml:space="preserve"> 413,739 61 </w:t>
            </w:r>
            <w:proofErr w:type="spellStart"/>
            <w:r>
              <w:t>Třinec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before="1" w:line="237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504,-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75,60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579,60</w:t>
            </w:r>
          </w:p>
        </w:tc>
      </w:tr>
      <w:tr w:rsidR="001E0FCE">
        <w:trPr>
          <w:trHeight w:hRule="exact" w:val="548"/>
        </w:trPr>
        <w:tc>
          <w:tcPr>
            <w:tcW w:w="3512" w:type="dxa"/>
          </w:tcPr>
          <w:p w:rsidR="001E0FCE" w:rsidRDefault="004B0F1F">
            <w:pPr>
              <w:pStyle w:val="TableParagraph"/>
              <w:spacing w:before="1" w:line="240" w:lineRule="auto"/>
              <w:ind w:right="143"/>
            </w:pPr>
            <w:r>
              <w:t xml:space="preserve">ZZS MSK, ÚO </w:t>
            </w:r>
            <w:proofErr w:type="spellStart"/>
            <w:r>
              <w:t>Nový</w:t>
            </w:r>
            <w:proofErr w:type="spellEnd"/>
            <w:r>
              <w:t xml:space="preserve"> </w:t>
            </w:r>
            <w:proofErr w:type="spellStart"/>
            <w:r>
              <w:t>Jičín</w:t>
            </w:r>
            <w:proofErr w:type="spellEnd"/>
            <w:r>
              <w:t xml:space="preserve">, </w:t>
            </w:r>
            <w:proofErr w:type="spellStart"/>
            <w:r>
              <w:t>Štefánikova</w:t>
            </w:r>
            <w:proofErr w:type="spellEnd"/>
            <w:r>
              <w:t xml:space="preserve"> 11, 741 01 </w:t>
            </w:r>
            <w:proofErr w:type="spellStart"/>
            <w:r>
              <w:t>Nový</w:t>
            </w:r>
            <w:proofErr w:type="spellEnd"/>
            <w:r>
              <w:t xml:space="preserve"> </w:t>
            </w:r>
            <w:proofErr w:type="spellStart"/>
            <w:r>
              <w:t>Jičín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before="1"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  <w:spacing w:before="1" w:line="240" w:lineRule="auto"/>
            </w:pPr>
            <w:r>
              <w:t>692,-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  <w:spacing w:before="1" w:line="240" w:lineRule="auto"/>
            </w:pPr>
            <w:r>
              <w:t>103,8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spacing w:before="1" w:line="240" w:lineRule="auto"/>
              <w:ind w:left="100"/>
            </w:pPr>
            <w:r>
              <w:t>795,80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</w:pPr>
            <w:r>
              <w:t xml:space="preserve">ZZS MSK, ÚO </w:t>
            </w:r>
            <w:proofErr w:type="spellStart"/>
            <w:r>
              <w:t>Opava</w:t>
            </w:r>
            <w:proofErr w:type="spellEnd"/>
            <w:r>
              <w:t xml:space="preserve">, </w:t>
            </w:r>
            <w:proofErr w:type="spellStart"/>
            <w:r>
              <w:t>Olomoucká</w:t>
            </w:r>
            <w:proofErr w:type="spellEnd"/>
            <w:r>
              <w:t xml:space="preserve"> 86,</w:t>
            </w:r>
          </w:p>
          <w:p w:rsidR="001E0FCE" w:rsidRDefault="004B0F1F">
            <w:pPr>
              <w:pStyle w:val="TableParagraph"/>
              <w:spacing w:line="240" w:lineRule="auto"/>
            </w:pPr>
            <w:r>
              <w:t xml:space="preserve">746 01 </w:t>
            </w:r>
            <w:proofErr w:type="spellStart"/>
            <w:r>
              <w:t>Opava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692,-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103,8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795,80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</w:pPr>
            <w:r>
              <w:t xml:space="preserve">ZZS MSK, ÚO </w:t>
            </w:r>
            <w:proofErr w:type="spellStart"/>
            <w:r>
              <w:t>Bruntál</w:t>
            </w:r>
            <w:proofErr w:type="spellEnd"/>
            <w:r>
              <w:t xml:space="preserve">, </w:t>
            </w:r>
            <w:proofErr w:type="spellStart"/>
            <w:r>
              <w:t>Zeyerova</w:t>
            </w:r>
            <w:proofErr w:type="spellEnd"/>
            <w:r>
              <w:t xml:space="preserve"> 13,</w:t>
            </w:r>
          </w:p>
          <w:p w:rsidR="001E0FCE" w:rsidRDefault="004B0F1F">
            <w:pPr>
              <w:pStyle w:val="TableParagraph"/>
              <w:spacing w:line="240" w:lineRule="auto"/>
            </w:pPr>
            <w:r>
              <w:t xml:space="preserve">792 01 </w:t>
            </w:r>
            <w:proofErr w:type="spellStart"/>
            <w:r>
              <w:t>Bruntál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881,-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132,15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1013,15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</w:pPr>
            <w:r>
              <w:t xml:space="preserve">ZZS MSK, ÚO </w:t>
            </w:r>
            <w:proofErr w:type="spellStart"/>
            <w:r>
              <w:t>Bruntál</w:t>
            </w:r>
            <w:proofErr w:type="spellEnd"/>
            <w:r>
              <w:t>, ČSA 99, 794 01</w:t>
            </w:r>
          </w:p>
          <w:p w:rsidR="001E0FCE" w:rsidRDefault="004B0F1F">
            <w:pPr>
              <w:pStyle w:val="TableParagraph"/>
              <w:spacing w:line="240" w:lineRule="auto"/>
            </w:pPr>
            <w:r>
              <w:t>Krnov</w:t>
            </w:r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881,-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132,15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1013,15</w:t>
            </w:r>
          </w:p>
        </w:tc>
      </w:tr>
      <w:tr w:rsidR="001E0FCE">
        <w:trPr>
          <w:trHeight w:hRule="exact" w:val="547"/>
        </w:trPr>
        <w:tc>
          <w:tcPr>
            <w:tcW w:w="3512" w:type="dxa"/>
          </w:tcPr>
          <w:p w:rsidR="001E0FCE" w:rsidRDefault="004B0F1F">
            <w:pPr>
              <w:pStyle w:val="TableParagraph"/>
              <w:spacing w:line="240" w:lineRule="auto"/>
              <w:ind w:right="265"/>
            </w:pPr>
            <w:r>
              <w:t xml:space="preserve">ZZS MSK, ÚO </w:t>
            </w:r>
            <w:proofErr w:type="spellStart"/>
            <w:r>
              <w:t>Bruntál</w:t>
            </w:r>
            <w:proofErr w:type="spellEnd"/>
            <w:r>
              <w:t xml:space="preserve">, </w:t>
            </w:r>
            <w:proofErr w:type="spellStart"/>
            <w:r>
              <w:t>Máchova</w:t>
            </w:r>
            <w:proofErr w:type="spellEnd"/>
            <w:r>
              <w:t xml:space="preserve"> 84, 795 01 </w:t>
            </w:r>
            <w:proofErr w:type="spellStart"/>
            <w:r>
              <w:t>Rýmařov</w:t>
            </w:r>
            <w:proofErr w:type="spellEnd"/>
          </w:p>
        </w:tc>
        <w:tc>
          <w:tcPr>
            <w:tcW w:w="1133" w:type="dxa"/>
          </w:tcPr>
          <w:p w:rsidR="001E0FCE" w:rsidRDefault="004B0F1F">
            <w:pPr>
              <w:pStyle w:val="TableParagraph"/>
              <w:spacing w:line="240" w:lineRule="auto"/>
              <w:ind w:left="247" w:right="156" w:hanging="77"/>
            </w:pPr>
            <w:proofErr w:type="spellStart"/>
            <w:r>
              <w:t>Dodávka</w:t>
            </w:r>
            <w:proofErr w:type="spellEnd"/>
            <w:r>
              <w:t xml:space="preserve"> (</w:t>
            </w:r>
            <w:proofErr w:type="spellStart"/>
            <w:r>
              <w:t>závoz</w:t>
            </w:r>
            <w:proofErr w:type="spellEnd"/>
            <w:r>
              <w:t>)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881,-</w:t>
            </w:r>
          </w:p>
        </w:tc>
        <w:tc>
          <w:tcPr>
            <w:tcW w:w="1702" w:type="dxa"/>
          </w:tcPr>
          <w:p w:rsidR="001E0FCE" w:rsidRDefault="004B0F1F">
            <w:pPr>
              <w:pStyle w:val="TableParagraph"/>
            </w:pPr>
            <w:r>
              <w:t>132,15</w:t>
            </w:r>
          </w:p>
        </w:tc>
        <w:tc>
          <w:tcPr>
            <w:tcW w:w="1561" w:type="dxa"/>
          </w:tcPr>
          <w:p w:rsidR="001E0FCE" w:rsidRDefault="004B0F1F">
            <w:pPr>
              <w:pStyle w:val="TableParagraph"/>
              <w:ind w:left="100"/>
            </w:pPr>
            <w:r>
              <w:t>1013,15</w:t>
            </w:r>
          </w:p>
        </w:tc>
      </w:tr>
    </w:tbl>
    <w:p w:rsidR="001E0FCE" w:rsidRDefault="001E0FCE">
      <w:pPr>
        <w:pStyle w:val="Zkladntext"/>
        <w:spacing w:before="4"/>
        <w:rPr>
          <w:sz w:val="17"/>
        </w:rPr>
      </w:pPr>
    </w:p>
    <w:p w:rsidR="001E0FCE" w:rsidRDefault="004B0F1F">
      <w:pPr>
        <w:pStyle w:val="Zkladntext"/>
        <w:spacing w:before="56"/>
        <w:ind w:left="240"/>
        <w:jc w:val="both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Kupní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-A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nezměněna</w:t>
      </w:r>
      <w:proofErr w:type="spellEnd"/>
      <w:r>
        <w:t>.</w:t>
      </w:r>
    </w:p>
    <w:p w:rsidR="001E0FCE" w:rsidRDefault="001E0FCE">
      <w:pPr>
        <w:pStyle w:val="Zkladntext"/>
        <w:spacing w:before="12"/>
        <w:rPr>
          <w:sz w:val="21"/>
        </w:rPr>
      </w:pPr>
    </w:p>
    <w:p w:rsidR="001E0FCE" w:rsidRDefault="004B0F1F">
      <w:pPr>
        <w:pStyle w:val="Zkladntext"/>
        <w:ind w:left="240" w:right="112"/>
        <w:jc w:val="both"/>
      </w:pP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1.1.2023,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nestanoví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</w:t>
      </w:r>
      <w:r>
        <w:t>luv</w:t>
      </w:r>
      <w:proofErr w:type="spellEnd"/>
      <w:r>
        <w:t xml:space="preserve">), </w:t>
      </w:r>
      <w:proofErr w:type="spellStart"/>
      <w:r>
        <w:t>jinak</w:t>
      </w:r>
      <w:proofErr w:type="spellEnd"/>
      <w:r>
        <w:t xml:space="preserve">. V </w:t>
      </w:r>
      <w:proofErr w:type="spellStart"/>
      <w:r>
        <w:t>takovém</w:t>
      </w:r>
      <w:proofErr w:type="spellEnd"/>
      <w:r>
        <w:t xml:space="preserve">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uveřejněním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dodatek</w:t>
      </w:r>
      <w:proofErr w:type="spellEnd"/>
      <w:r>
        <w:t xml:space="preserve"> </w:t>
      </w:r>
      <w:proofErr w:type="spellStart"/>
      <w:r>
        <w:t>vztahuje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</w:t>
      </w:r>
      <w:r>
        <w:t xml:space="preserve">.340/2015 Sb., o </w:t>
      </w:r>
      <w:proofErr w:type="spellStart"/>
      <w:r>
        <w:t>zvláštních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, </w:t>
      </w:r>
      <w:proofErr w:type="spellStart"/>
      <w:r>
        <w:t>uveřejňování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a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( 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),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uveřejnění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záchranná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.</w:t>
      </w:r>
    </w:p>
    <w:p w:rsidR="001E0FCE" w:rsidRDefault="001E0FCE">
      <w:pPr>
        <w:pStyle w:val="Zkladntext"/>
      </w:pPr>
    </w:p>
    <w:p w:rsidR="001E0FCE" w:rsidRDefault="004B0F1F">
      <w:pPr>
        <w:pStyle w:val="Zkladntext"/>
        <w:ind w:left="240" w:right="113"/>
        <w:jc w:val="both"/>
      </w:pP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obsažené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dodatku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Zdravotnickou</w:t>
      </w:r>
      <w:proofErr w:type="spellEnd"/>
      <w:r>
        <w:t xml:space="preserve"> </w:t>
      </w:r>
      <w:proofErr w:type="spellStart"/>
      <w:r>
        <w:t>záchrannou</w:t>
      </w:r>
      <w:proofErr w:type="spellEnd"/>
      <w:r>
        <w:t xml:space="preserve"> </w:t>
      </w:r>
      <w:proofErr w:type="spellStart"/>
      <w:r>
        <w:t>službou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zpracovávány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vyplývajících</w:t>
      </w:r>
      <w:proofErr w:type="spellEnd"/>
      <w:r>
        <w:t xml:space="preserve"> z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; k </w:t>
      </w:r>
      <w:proofErr w:type="spellStart"/>
      <w:r>
        <w:t>jiným</w:t>
      </w:r>
      <w:proofErr w:type="spellEnd"/>
      <w:r>
        <w:t xml:space="preserve"> </w:t>
      </w:r>
      <w:proofErr w:type="spellStart"/>
      <w:r>
        <w:t>účelům</w:t>
      </w:r>
      <w:proofErr w:type="spellEnd"/>
      <w:r>
        <w:t xml:space="preserve"> </w:t>
      </w:r>
      <w:proofErr w:type="spellStart"/>
      <w:r>
        <w:t>nebudou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Zdr</w:t>
      </w:r>
      <w:r>
        <w:t>avotnickou</w:t>
      </w:r>
      <w:proofErr w:type="spellEnd"/>
      <w:r>
        <w:t xml:space="preserve"> </w:t>
      </w:r>
      <w:proofErr w:type="spellStart"/>
      <w:r>
        <w:t>záchrannou</w:t>
      </w:r>
      <w:proofErr w:type="spellEnd"/>
      <w:r>
        <w:t xml:space="preserve"> </w:t>
      </w:r>
      <w:proofErr w:type="spellStart"/>
      <w:r>
        <w:t>službou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použity</w:t>
      </w:r>
      <w:proofErr w:type="spellEnd"/>
      <w:r>
        <w:t xml:space="preserve">.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záchranná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Moravskoslezského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,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dodržuje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. </w:t>
      </w:r>
      <w:proofErr w:type="spellStart"/>
      <w:r>
        <w:t>Podrobné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ochr</w:t>
      </w:r>
      <w:r>
        <w:t>aně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oficiálních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4">
        <w:r>
          <w:rPr>
            <w:u w:val="single"/>
          </w:rPr>
          <w:t>www.zzsmsk.cz</w:t>
        </w:r>
      </w:hyperlink>
      <w:r>
        <w:t>.</w:t>
      </w:r>
    </w:p>
    <w:p w:rsidR="001E0FCE" w:rsidRDefault="001E0FCE">
      <w:pPr>
        <w:pStyle w:val="Zkladntext"/>
        <w:spacing w:before="5"/>
        <w:rPr>
          <w:sz w:val="17"/>
        </w:rPr>
      </w:pPr>
    </w:p>
    <w:p w:rsidR="001E0FCE" w:rsidRDefault="004B0F1F">
      <w:pPr>
        <w:pStyle w:val="Zkladntext"/>
        <w:spacing w:before="56"/>
        <w:ind w:left="240"/>
      </w:pPr>
      <w:proofErr w:type="spellStart"/>
      <w:r>
        <w:t>Dodatek</w:t>
      </w:r>
      <w:proofErr w:type="spellEnd"/>
      <w:r>
        <w:t xml:space="preserve"> je </w:t>
      </w:r>
      <w:proofErr w:type="spellStart"/>
      <w:r>
        <w:t>vyhotoven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stejnopisech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kupující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a </w:t>
      </w:r>
      <w:proofErr w:type="spellStart"/>
      <w:r>
        <w:t>prodávající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vyhotovení</w:t>
      </w:r>
      <w:proofErr w:type="spellEnd"/>
      <w:r>
        <w:t>.</w:t>
      </w:r>
    </w:p>
    <w:p w:rsidR="00A1486C" w:rsidRDefault="00A1486C">
      <w:pPr>
        <w:pStyle w:val="Zkladntext"/>
        <w:spacing w:before="56"/>
        <w:ind w:left="240"/>
      </w:pPr>
    </w:p>
    <w:p w:rsidR="001E0FCE" w:rsidRDefault="001E0FCE">
      <w:pPr>
        <w:pStyle w:val="Zkladntext"/>
        <w:spacing w:before="5" w:after="1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2376"/>
        <w:gridCol w:w="3970"/>
      </w:tblGrid>
      <w:tr w:rsidR="001E0FCE">
        <w:trPr>
          <w:trHeight w:hRule="exact" w:val="1306"/>
        </w:trPr>
        <w:tc>
          <w:tcPr>
            <w:tcW w:w="3971" w:type="dxa"/>
            <w:tcBorders>
              <w:bottom w:val="single" w:sz="4" w:space="0" w:color="000000"/>
            </w:tcBorders>
          </w:tcPr>
          <w:p w:rsidR="001E0FCE" w:rsidRDefault="004B0F1F">
            <w:pPr>
              <w:pStyle w:val="TableParagraph"/>
              <w:spacing w:line="225" w:lineRule="exact"/>
              <w:ind w:left="107"/>
            </w:pPr>
            <w:r>
              <w:t xml:space="preserve">V </w:t>
            </w:r>
            <w:proofErr w:type="spellStart"/>
            <w:r>
              <w:t>Ostravě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 ………………....</w:t>
            </w:r>
            <w:r>
              <w:t>.......</w:t>
            </w:r>
          </w:p>
          <w:p w:rsidR="001E0FCE" w:rsidRDefault="001E0FCE" w:rsidP="00A1486C">
            <w:pPr>
              <w:pStyle w:val="TableParagraph"/>
              <w:spacing w:before="82" w:line="254" w:lineRule="auto"/>
              <w:ind w:left="1612" w:right="1340"/>
              <w:rPr>
                <w:sz w:val="7"/>
              </w:rPr>
            </w:pPr>
          </w:p>
        </w:tc>
        <w:tc>
          <w:tcPr>
            <w:tcW w:w="2376" w:type="dxa"/>
          </w:tcPr>
          <w:p w:rsidR="001E0FCE" w:rsidRDefault="001E0FCE"/>
        </w:tc>
        <w:tc>
          <w:tcPr>
            <w:tcW w:w="3970" w:type="dxa"/>
            <w:tcBorders>
              <w:bottom w:val="single" w:sz="4" w:space="0" w:color="000000"/>
            </w:tcBorders>
          </w:tcPr>
          <w:p w:rsidR="001E0FCE" w:rsidRDefault="004B0F1F">
            <w:pPr>
              <w:pStyle w:val="TableParagraph"/>
              <w:spacing w:line="225" w:lineRule="exact"/>
              <w:ind w:left="90" w:right="1005"/>
              <w:jc w:val="center"/>
            </w:pPr>
            <w:r>
              <w:t xml:space="preserve">V </w:t>
            </w:r>
            <w:proofErr w:type="spellStart"/>
            <w:r>
              <w:t>Praze</w:t>
            </w:r>
            <w:proofErr w:type="spellEnd"/>
            <w:r>
              <w:t xml:space="preserve"> </w:t>
            </w:r>
            <w:proofErr w:type="spellStart"/>
            <w:r>
              <w:t>dne</w:t>
            </w:r>
            <w:proofErr w:type="spellEnd"/>
            <w:r>
              <w:t xml:space="preserve"> …………………………….</w:t>
            </w:r>
          </w:p>
          <w:p w:rsidR="001E0FCE" w:rsidRDefault="001E0FCE">
            <w:pPr>
              <w:pStyle w:val="TableParagraph"/>
              <w:spacing w:line="230" w:lineRule="exact"/>
              <w:ind w:left="1249"/>
            </w:pPr>
          </w:p>
        </w:tc>
      </w:tr>
      <w:tr w:rsidR="001E0FCE">
        <w:trPr>
          <w:trHeight w:hRule="exact" w:val="538"/>
        </w:trPr>
        <w:tc>
          <w:tcPr>
            <w:tcW w:w="3971" w:type="dxa"/>
            <w:tcBorders>
              <w:top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left="763" w:right="747" w:firstLine="866"/>
            </w:pPr>
            <w:proofErr w:type="spellStart"/>
            <w:r>
              <w:t>Kupující</w:t>
            </w:r>
            <w:proofErr w:type="spellEnd"/>
            <w:r>
              <w:t xml:space="preserve"> </w:t>
            </w:r>
            <w:proofErr w:type="spellStart"/>
            <w:r>
              <w:t>MUDr.Roman</w:t>
            </w:r>
            <w:proofErr w:type="spellEnd"/>
            <w:r>
              <w:t xml:space="preserve"> Gřegoř, MBA</w:t>
            </w:r>
          </w:p>
        </w:tc>
        <w:tc>
          <w:tcPr>
            <w:tcW w:w="2376" w:type="dxa"/>
          </w:tcPr>
          <w:p w:rsidR="001E0FCE" w:rsidRDefault="001E0FCE"/>
        </w:tc>
        <w:tc>
          <w:tcPr>
            <w:tcW w:w="3970" w:type="dxa"/>
            <w:tcBorders>
              <w:top w:val="single" w:sz="4" w:space="0" w:color="000000"/>
            </w:tcBorders>
          </w:tcPr>
          <w:p w:rsidR="001E0FCE" w:rsidRDefault="004B0F1F">
            <w:pPr>
              <w:pStyle w:val="TableParagraph"/>
              <w:spacing w:line="240" w:lineRule="auto"/>
              <w:ind w:left="1343" w:right="1277" w:firstLine="151"/>
            </w:pPr>
            <w:proofErr w:type="spellStart"/>
            <w:r>
              <w:t>Prodávající</w:t>
            </w:r>
            <w:proofErr w:type="spellEnd"/>
            <w:r>
              <w:t xml:space="preserve"> </w:t>
            </w:r>
            <w:proofErr w:type="spellStart"/>
            <w:r>
              <w:t>Alessio</w:t>
            </w:r>
            <w:proofErr w:type="spellEnd"/>
            <w:r>
              <w:t xml:space="preserve"> </w:t>
            </w:r>
            <w:proofErr w:type="spellStart"/>
            <w:r>
              <w:t>Conton</w:t>
            </w:r>
            <w:proofErr w:type="spellEnd"/>
          </w:p>
        </w:tc>
      </w:tr>
    </w:tbl>
    <w:p w:rsidR="004B0F1F" w:rsidRDefault="004B0F1F"/>
    <w:sectPr w:rsidR="004B0F1F">
      <w:pgSz w:w="11910" w:h="16840"/>
      <w:pgMar w:top="1380" w:right="6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0FCE"/>
    <w:rsid w:val="001E0FCE"/>
    <w:rsid w:val="004B0F1F"/>
    <w:rsid w:val="00A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7C97C6D-5182-49EE-AFAB-022D2F04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before="1"/>
      <w:ind w:left="3056" w:right="2954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05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zsms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Martina Bílá</dc:creator>
  <cp:lastModifiedBy>Jan Motyka</cp:lastModifiedBy>
  <cp:revision>2</cp:revision>
  <dcterms:created xsi:type="dcterms:W3CDTF">2023-01-03T11:50:00Z</dcterms:created>
  <dcterms:modified xsi:type="dcterms:W3CDTF">2023-01-03T10:54:00Z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2023-01-03T00:00:00Z</vt:filetime>
  </property>
</Properties>
</file>