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716A2CEC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0</w:t>
      </w:r>
      <w:r w:rsidR="0043216A">
        <w:rPr>
          <w:b/>
          <w:sz w:val="24"/>
          <w:szCs w:val="24"/>
        </w:rPr>
        <w:t>7</w:t>
      </w:r>
      <w:r w:rsidR="00181F4E">
        <w:rPr>
          <w:b/>
          <w:sz w:val="24"/>
          <w:szCs w:val="24"/>
        </w:rPr>
        <w:t xml:space="preserve"> - </w:t>
      </w:r>
      <w:r w:rsidR="00C16596">
        <w:rPr>
          <w:b/>
          <w:sz w:val="24"/>
          <w:szCs w:val="24"/>
        </w:rPr>
        <w:t>405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7A08E3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D118F80" w14:textId="77777777" w:rsidR="00502BA8" w:rsidRDefault="00241950" w:rsidP="00685426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 xml:space="preserve">ek, mobil: 606 796 561, </w:t>
      </w:r>
    </w:p>
    <w:p w14:paraId="5C5D8045" w14:textId="2E9DF6CB" w:rsidR="00241950" w:rsidRDefault="00486A1A" w:rsidP="00502BA8">
      <w:pPr>
        <w:spacing w:after="180"/>
        <w:ind w:left="2832"/>
        <w:rPr>
          <w:sz w:val="24"/>
          <w:szCs w:val="24"/>
        </w:rPr>
      </w:pPr>
      <w:r>
        <w:rPr>
          <w:sz w:val="24"/>
          <w:szCs w:val="24"/>
        </w:rPr>
        <w:t>email</w:t>
      </w:r>
      <w:r w:rsidR="00502BA8">
        <w:rPr>
          <w:sz w:val="24"/>
          <w:szCs w:val="24"/>
        </w:rPr>
        <w:t xml:space="preserve">: </w:t>
      </w:r>
      <w:r w:rsidR="00685426">
        <w:rPr>
          <w:sz w:val="24"/>
          <w:szCs w:val="24"/>
        </w:rPr>
        <w:t>ladislav.cizek</w:t>
      </w:r>
      <w:r>
        <w:rPr>
          <w:sz w:val="24"/>
          <w:szCs w:val="24"/>
        </w:rPr>
        <w:t>@boskovice.cz</w:t>
      </w:r>
    </w:p>
    <w:p w14:paraId="7808E141" w14:textId="2F1F05C5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 xml:space="preserve">Ing. Ladislava Plisková, mobil: </w:t>
      </w:r>
      <w:r w:rsidR="00685426">
        <w:rPr>
          <w:sz w:val="24"/>
          <w:szCs w:val="24"/>
        </w:rPr>
        <w:t>735 150 688</w:t>
      </w:r>
      <w:r w:rsidR="00F365FE">
        <w:rPr>
          <w:sz w:val="24"/>
          <w:szCs w:val="24"/>
        </w:rPr>
        <w:t xml:space="preserve">, </w:t>
      </w:r>
    </w:p>
    <w:p w14:paraId="574E5B2A" w14:textId="0E646D85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685426">
        <w:rPr>
          <w:sz w:val="24"/>
          <w:szCs w:val="24"/>
        </w:rPr>
        <w:t>ladislava.pliskova</w:t>
      </w:r>
      <w:r>
        <w:rPr>
          <w:sz w:val="24"/>
          <w:szCs w:val="24"/>
        </w:rPr>
        <w:t>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2A4F2E1" w14:textId="77777777" w:rsidR="00E50A5C" w:rsidRDefault="00E50A5C" w:rsidP="00E50A5C">
      <w:pPr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Město Boskovice</w:t>
      </w:r>
      <w:r w:rsidRPr="00FB37D8">
        <w:rPr>
          <w:b/>
          <w:sz w:val="24"/>
          <w:szCs w:val="24"/>
        </w:rPr>
        <w:t xml:space="preserve">  </w:t>
      </w:r>
    </w:p>
    <w:p w14:paraId="6D069A98" w14:textId="77777777" w:rsidR="00E50A5C" w:rsidRPr="00FB37D8" w:rsidRDefault="00E50A5C" w:rsidP="00E50A5C">
      <w:pPr>
        <w:rPr>
          <w:b/>
          <w:sz w:val="24"/>
          <w:szCs w:val="24"/>
        </w:rPr>
      </w:pPr>
      <w:r w:rsidRPr="00FB37D8">
        <w:rPr>
          <w:b/>
          <w:sz w:val="24"/>
          <w:szCs w:val="24"/>
        </w:rPr>
        <w:t xml:space="preserve">   </w:t>
      </w:r>
    </w:p>
    <w:p w14:paraId="3165B8E6" w14:textId="77777777" w:rsidR="00E50A5C" w:rsidRPr="00FB37D8" w:rsidRDefault="00E50A5C" w:rsidP="00E50A5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37D8">
        <w:rPr>
          <w:sz w:val="24"/>
          <w:szCs w:val="24"/>
        </w:rPr>
        <w:t xml:space="preserve">Masarykovo náměstí </w:t>
      </w:r>
      <w:r>
        <w:rPr>
          <w:sz w:val="24"/>
          <w:szCs w:val="24"/>
        </w:rPr>
        <w:t>4</w:t>
      </w:r>
      <w:r w:rsidRPr="00FB37D8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FB37D8">
        <w:rPr>
          <w:sz w:val="24"/>
          <w:szCs w:val="24"/>
        </w:rPr>
        <w:t xml:space="preserve">, </w:t>
      </w:r>
      <w:r>
        <w:rPr>
          <w:sz w:val="24"/>
          <w:szCs w:val="24"/>
        </w:rPr>
        <w:t>680 01 Boskovice</w:t>
      </w:r>
    </w:p>
    <w:p w14:paraId="267316D0" w14:textId="4298CD1A" w:rsidR="00E50A5C" w:rsidRDefault="00E50A5C" w:rsidP="00E50A5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arch. Janou Syrovátkovou, starostkou</w:t>
      </w:r>
    </w:p>
    <w:p w14:paraId="283EF970" w14:textId="77777777" w:rsidR="00E50A5C" w:rsidRDefault="00E50A5C" w:rsidP="00E50A5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AC6">
        <w:rPr>
          <w:sz w:val="24"/>
          <w:szCs w:val="24"/>
        </w:rPr>
        <w:t>002</w:t>
      </w:r>
      <w:r>
        <w:rPr>
          <w:sz w:val="24"/>
          <w:szCs w:val="24"/>
        </w:rPr>
        <w:t xml:space="preserve"> </w:t>
      </w:r>
      <w:r w:rsidRPr="00672AC6">
        <w:rPr>
          <w:sz w:val="24"/>
          <w:szCs w:val="24"/>
        </w:rPr>
        <w:t>79</w:t>
      </w:r>
      <w:r>
        <w:rPr>
          <w:sz w:val="24"/>
          <w:szCs w:val="24"/>
        </w:rPr>
        <w:t xml:space="preserve"> </w:t>
      </w:r>
      <w:r w:rsidRPr="00672AC6">
        <w:rPr>
          <w:sz w:val="24"/>
          <w:szCs w:val="24"/>
        </w:rPr>
        <w:t>978</w:t>
      </w:r>
      <w:r>
        <w:rPr>
          <w:sz w:val="24"/>
          <w:szCs w:val="24"/>
        </w:rPr>
        <w:t xml:space="preserve"> </w:t>
      </w:r>
    </w:p>
    <w:p w14:paraId="12F4094B" w14:textId="77777777" w:rsidR="00E50A5C" w:rsidRDefault="00E50A5C" w:rsidP="00E50A5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CZ00279978</w:t>
      </w:r>
    </w:p>
    <w:p w14:paraId="3715404A" w14:textId="77777777" w:rsidR="00E50A5C" w:rsidRDefault="00E50A5C" w:rsidP="00E50A5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Komerční banka a.s.</w:t>
      </w:r>
    </w:p>
    <w:p w14:paraId="455019A5" w14:textId="77777777" w:rsidR="00E50A5C" w:rsidRDefault="00E50A5C" w:rsidP="00E50A5C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B622B">
        <w:rPr>
          <w:sz w:val="24"/>
          <w:szCs w:val="24"/>
        </w:rPr>
        <w:t>516</w:t>
      </w:r>
      <w:r>
        <w:rPr>
          <w:sz w:val="24"/>
          <w:szCs w:val="24"/>
        </w:rPr>
        <w:t> </w:t>
      </w:r>
      <w:r w:rsidRPr="00BB622B">
        <w:rPr>
          <w:sz w:val="24"/>
          <w:szCs w:val="24"/>
        </w:rPr>
        <w:t>488</w:t>
      </w:r>
      <w:r>
        <w:rPr>
          <w:sz w:val="24"/>
          <w:szCs w:val="24"/>
        </w:rPr>
        <w:t> </w:t>
      </w:r>
      <w:r w:rsidRPr="00BB622B">
        <w:rPr>
          <w:sz w:val="24"/>
          <w:szCs w:val="24"/>
        </w:rPr>
        <w:t>710</w:t>
      </w:r>
      <w:r>
        <w:rPr>
          <w:sz w:val="24"/>
          <w:szCs w:val="24"/>
        </w:rPr>
        <w:t xml:space="preserve">, </w:t>
      </w:r>
      <w:r w:rsidRPr="00BB622B">
        <w:rPr>
          <w:sz w:val="24"/>
          <w:szCs w:val="24"/>
        </w:rPr>
        <w:t>516</w:t>
      </w:r>
      <w:r>
        <w:rPr>
          <w:sz w:val="24"/>
          <w:szCs w:val="24"/>
        </w:rPr>
        <w:t> </w:t>
      </w:r>
      <w:r w:rsidRPr="00BB622B">
        <w:rPr>
          <w:sz w:val="24"/>
          <w:szCs w:val="24"/>
        </w:rPr>
        <w:t>488</w:t>
      </w:r>
      <w:r>
        <w:rPr>
          <w:sz w:val="24"/>
          <w:szCs w:val="24"/>
        </w:rPr>
        <w:t xml:space="preserve"> </w:t>
      </w:r>
      <w:r w:rsidRPr="00BB622B">
        <w:rPr>
          <w:sz w:val="24"/>
          <w:szCs w:val="24"/>
        </w:rPr>
        <w:t>600</w:t>
      </w:r>
    </w:p>
    <w:p w14:paraId="2CF4A2B6" w14:textId="77777777" w:rsidR="00E50A5C" w:rsidRDefault="00E50A5C" w:rsidP="00E50A5C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epodatelna</w:t>
      </w:r>
      <w:hyperlink r:id="rId8" w:history="1">
        <w:r w:rsidRPr="00230AC8">
          <w:rPr>
            <w:sz w:val="24"/>
            <w:szCs w:val="24"/>
          </w:rPr>
          <w:t>@</w:t>
        </w:r>
        <w:r>
          <w:rPr>
            <w:sz w:val="24"/>
            <w:szCs w:val="24"/>
          </w:rPr>
          <w:t>boskovice</w:t>
        </w:r>
        <w:r w:rsidRPr="00230AC8">
          <w:rPr>
            <w:sz w:val="24"/>
            <w:szCs w:val="24"/>
          </w:rPr>
          <w:t>.cz</w:t>
        </w:r>
      </w:hyperlink>
    </w:p>
    <w:p w14:paraId="4012FCCE" w14:textId="45BA47BC" w:rsidR="00E50A5C" w:rsidRDefault="00E50A5C" w:rsidP="00E50A5C">
      <w:pPr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19-0000</w:t>
      </w:r>
      <w:r w:rsidRPr="00672AC6">
        <w:rPr>
          <w:sz w:val="24"/>
          <w:szCs w:val="24"/>
        </w:rPr>
        <w:t>126631/0100</w:t>
      </w:r>
    </w:p>
    <w:p w14:paraId="165EDDE0" w14:textId="5072A767" w:rsidR="001E435B" w:rsidRDefault="001E435B" w:rsidP="00E50A5C">
      <w:pPr>
        <w:rPr>
          <w:sz w:val="24"/>
          <w:szCs w:val="24"/>
        </w:rPr>
      </w:pPr>
    </w:p>
    <w:p w14:paraId="598CE9C4" w14:textId="0DF0EBC2" w:rsidR="001E435B" w:rsidRDefault="001E435B" w:rsidP="00E50A5C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S, vložka 5456</w:t>
      </w:r>
    </w:p>
    <w:p w14:paraId="7F58FE67" w14:textId="77777777" w:rsidR="00E50A5C" w:rsidRPr="002B2B54" w:rsidRDefault="00E50A5C" w:rsidP="00E5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F8812C3" w14:textId="77777777" w:rsidR="005C2439" w:rsidRDefault="005C2439" w:rsidP="00122CA8">
      <w:pPr>
        <w:rPr>
          <w:b/>
          <w:sz w:val="24"/>
          <w:szCs w:val="24"/>
        </w:rPr>
      </w:pPr>
    </w:p>
    <w:p w14:paraId="12448CE0" w14:textId="77777777" w:rsidR="005C2439" w:rsidRDefault="005C2439" w:rsidP="00122CA8">
      <w:pPr>
        <w:rPr>
          <w:b/>
          <w:sz w:val="24"/>
          <w:szCs w:val="24"/>
        </w:rPr>
      </w:pPr>
    </w:p>
    <w:p w14:paraId="38BDCC0D" w14:textId="5B6AC3D6" w:rsidR="00E61A30" w:rsidRDefault="00E61A30" w:rsidP="007C5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51C7B8E6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5283A415" w14:textId="3481711A" w:rsidR="00FC6C69" w:rsidRPr="00BF17BC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470F84C" w14:textId="77777777" w:rsidR="00BD79FE" w:rsidRDefault="00BD79FE" w:rsidP="00BF17BC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3C68AD5D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6C1ACC4C" w14:textId="3F548016" w:rsidR="00F365FE" w:rsidRPr="001D158F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5C54A4B5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402D661F" w14:textId="77777777" w:rsidR="00122CA8" w:rsidRDefault="00C37F28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28B39545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3D77335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55594B9F" w14:textId="45096CE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se uzavírá </w:t>
      </w:r>
      <w:r w:rsidR="008C3A36">
        <w:rPr>
          <w:sz w:val="24"/>
          <w:szCs w:val="24"/>
        </w:rPr>
        <w:t xml:space="preserve">od 1.12.2022 </w:t>
      </w:r>
      <w:r>
        <w:rPr>
          <w:sz w:val="24"/>
          <w:szCs w:val="24"/>
        </w:rPr>
        <w:t>na dobu</w:t>
      </w:r>
      <w:r w:rsidR="008C3A36">
        <w:rPr>
          <w:sz w:val="24"/>
          <w:szCs w:val="24"/>
        </w:rPr>
        <w:t xml:space="preserve"> </w:t>
      </w:r>
      <w:r>
        <w:rPr>
          <w:sz w:val="24"/>
          <w:szCs w:val="24"/>
        </w:rPr>
        <w:t>neurčitou.</w:t>
      </w:r>
    </w:p>
    <w:p w14:paraId="5DB6FD3C" w14:textId="77777777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>. Platnost této smlouvy končí v případech uvedených v bodě 6.3 této smlouvy.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2D4D63E0" w:rsidR="00F365FE" w:rsidRDefault="007C28E9" w:rsidP="001D158F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1D158F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122CA8">
      <w:pPr>
        <w:jc w:val="center"/>
        <w:rPr>
          <w:b/>
          <w:sz w:val="24"/>
          <w:szCs w:val="24"/>
        </w:rPr>
      </w:pPr>
      <w:r w:rsidRPr="00122CA8">
        <w:rPr>
          <w:b/>
          <w:sz w:val="24"/>
          <w:szCs w:val="24"/>
        </w:rPr>
        <w:t>Ostatní a závěrečná ujednání</w:t>
      </w:r>
    </w:p>
    <w:p w14:paraId="7658C09E" w14:textId="77777777" w:rsidR="00122CA8" w:rsidRPr="00122CA8" w:rsidRDefault="00122CA8" w:rsidP="00122CA8">
      <w:pPr>
        <w:jc w:val="center"/>
        <w:rPr>
          <w:b/>
          <w:sz w:val="24"/>
          <w:szCs w:val="24"/>
        </w:rPr>
      </w:pP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389A88BC" w14:textId="77777777" w:rsidR="00BD79FE" w:rsidRPr="00356152" w:rsidRDefault="00BD79FE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122CA8">
      <w:pPr>
        <w:jc w:val="center"/>
        <w:rPr>
          <w:b/>
          <w:sz w:val="24"/>
          <w:szCs w:val="24"/>
        </w:rPr>
      </w:pPr>
      <w:r w:rsidRPr="00122CA8">
        <w:rPr>
          <w:b/>
          <w:sz w:val="24"/>
          <w:szCs w:val="24"/>
        </w:rPr>
        <w:t>Přílohy</w:t>
      </w:r>
    </w:p>
    <w:p w14:paraId="1BC89A10" w14:textId="77777777" w:rsidR="00122CA8" w:rsidRPr="00122CA8" w:rsidRDefault="00122CA8" w:rsidP="00122CA8">
      <w:pPr>
        <w:jc w:val="center"/>
        <w:rPr>
          <w:b/>
          <w:sz w:val="24"/>
          <w:szCs w:val="24"/>
        </w:rPr>
      </w:pP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7C2ED516" w14:textId="7C2B0D8F" w:rsidR="00BC1FA7" w:rsidRDefault="00BC1FA7" w:rsidP="00122CA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256AE224" w14:textId="77777777" w:rsidR="00122CA8" w:rsidRPr="00122CA8" w:rsidRDefault="00122CA8" w:rsidP="00122CA8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</w:p>
    <w:p w14:paraId="58D2B9FB" w14:textId="57617DBB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</w:t>
      </w:r>
      <w:r w:rsidR="001E435B">
        <w:t>2022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1B7C66CC" w14:textId="64DCBCB3" w:rsidR="00BD79FE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01CCB5E6" w14:textId="77777777" w:rsidR="00122CA8" w:rsidRDefault="00122CA8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F98399E" w14:textId="45592253" w:rsidR="00BD79FE" w:rsidRPr="004C315B" w:rsidRDefault="00D16B18" w:rsidP="00F124CA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011DD501" w:rsidR="00E61A30" w:rsidRDefault="006C56B1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E61A30">
        <w:rPr>
          <w:b/>
          <w:sz w:val="24"/>
          <w:szCs w:val="24"/>
        </w:rPr>
        <w:t xml:space="preserve">říloha č. 1 </w:t>
      </w:r>
      <w:r w:rsidR="00427878">
        <w:rPr>
          <w:b/>
          <w:sz w:val="24"/>
          <w:szCs w:val="24"/>
        </w:rPr>
        <w:t xml:space="preserve">ke smlouvě o dodávce tepelné energie č. </w:t>
      </w:r>
      <w:r w:rsidR="00005020">
        <w:rPr>
          <w:b/>
          <w:sz w:val="24"/>
          <w:szCs w:val="24"/>
        </w:rPr>
        <w:t>0</w:t>
      </w:r>
      <w:r w:rsidR="001E435B">
        <w:rPr>
          <w:b/>
          <w:sz w:val="24"/>
          <w:szCs w:val="24"/>
        </w:rPr>
        <w:t>7</w:t>
      </w:r>
      <w:r w:rsidR="00005020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–</w:t>
      </w:r>
      <w:r w:rsidR="00005020">
        <w:rPr>
          <w:b/>
          <w:sz w:val="24"/>
          <w:szCs w:val="24"/>
        </w:rPr>
        <w:t xml:space="preserve"> </w:t>
      </w:r>
      <w:r w:rsidR="00E95786">
        <w:rPr>
          <w:b/>
          <w:sz w:val="24"/>
          <w:szCs w:val="24"/>
        </w:rPr>
        <w:t>405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1929D467" w14:textId="68FCB78B" w:rsidR="00B2451F" w:rsidRPr="00204A5F" w:rsidRDefault="00B2451F" w:rsidP="00B2451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Odběrné místo: Masarykovo nám. 6/4, Boskovice</w:t>
      </w:r>
      <w:r w:rsidR="001E435B">
        <w:rPr>
          <w:b/>
          <w:sz w:val="24"/>
          <w:szCs w:val="24"/>
        </w:rPr>
        <w:t xml:space="preserve"> </w:t>
      </w:r>
      <w:r w:rsidR="001E435B" w:rsidRPr="001E435B">
        <w:rPr>
          <w:bCs/>
          <w:sz w:val="24"/>
          <w:szCs w:val="24"/>
        </w:rPr>
        <w:t>(po Drobečková)</w:t>
      </w:r>
    </w:p>
    <w:p w14:paraId="74C6222C" w14:textId="77777777" w:rsidR="00B2451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rozdělovač v kotelně </w:t>
      </w:r>
    </w:p>
    <w:p w14:paraId="7019D902" w14:textId="77777777" w:rsidR="00B2451F" w:rsidRPr="006A6F30" w:rsidRDefault="00B2451F" w:rsidP="00B2451F">
      <w:pPr>
        <w:numPr>
          <w:ilvl w:val="0"/>
          <w:numId w:val="13"/>
        </w:numPr>
        <w:spacing w:after="180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sekundární/primární</w:t>
      </w:r>
    </w:p>
    <w:p w14:paraId="2AA718A4" w14:textId="77777777" w:rsidR="00B2451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patě OM – v kotelně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69093E" w14:textId="77777777" w:rsidR="00B2451F" w:rsidRPr="00276BA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stanoveným měřidlem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947C2B" w14:textId="77777777" w:rsidR="00B2451F" w:rsidRPr="00DC275C" w:rsidRDefault="00B2451F" w:rsidP="00B2451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</w:r>
      <w:r w:rsidRPr="00DC275C">
        <w:t>voda</w:t>
      </w:r>
    </w:p>
    <w:p w14:paraId="326C65FF" w14:textId="502EAC98" w:rsidR="00B2451F" w:rsidRPr="00DC275C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7BC">
        <w:rPr>
          <w:sz w:val="24"/>
          <w:szCs w:val="24"/>
        </w:rPr>
        <w:t>0,08 – 0,</w:t>
      </w:r>
      <w:r w:rsidRPr="00DC275C">
        <w:rPr>
          <w:sz w:val="24"/>
          <w:szCs w:val="24"/>
        </w:rPr>
        <w:t xml:space="preserve">5     </w:t>
      </w:r>
      <w:r>
        <w:rPr>
          <w:sz w:val="24"/>
          <w:szCs w:val="24"/>
        </w:rPr>
        <w:t xml:space="preserve">     </w:t>
      </w:r>
      <w:r w:rsidRPr="00DC275C">
        <w:rPr>
          <w:sz w:val="24"/>
          <w:szCs w:val="24"/>
        </w:rPr>
        <w:t>MPa</w:t>
      </w:r>
    </w:p>
    <w:p w14:paraId="0391C274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 w:rsidRPr="00DC275C">
        <w:rPr>
          <w:sz w:val="24"/>
          <w:szCs w:val="24"/>
        </w:rPr>
        <w:t>Tlaková diference:</w:t>
      </w:r>
      <w:r w:rsidRPr="00DC275C">
        <w:rPr>
          <w:sz w:val="24"/>
          <w:szCs w:val="24"/>
        </w:rPr>
        <w:tab/>
      </w:r>
      <w:r w:rsidRPr="00DC275C">
        <w:rPr>
          <w:sz w:val="24"/>
          <w:szCs w:val="24"/>
        </w:rPr>
        <w:tab/>
        <w:t xml:space="preserve"> 0,002 – 0,003</w:t>
      </w:r>
      <w:r>
        <w:rPr>
          <w:sz w:val="24"/>
          <w:szCs w:val="24"/>
        </w:rPr>
        <w:t xml:space="preserve">     MPa</w:t>
      </w:r>
    </w:p>
    <w:p w14:paraId="09DD9551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0,57</w:t>
      </w:r>
      <w:r>
        <w:rPr>
          <w:sz w:val="24"/>
          <w:szCs w:val="24"/>
        </w:rPr>
        <w:tab/>
        <w:t xml:space="preserve">                 MW</w:t>
      </w:r>
    </w:p>
    <w:p w14:paraId="14B5E83F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70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219B659F" w14:textId="77777777" w:rsidR="00B2451F" w:rsidRPr="006A6F30" w:rsidRDefault="00B2451F" w:rsidP="00B2451F">
      <w:pPr>
        <w:widowControl w:val="0"/>
        <w:autoSpaceDE w:val="0"/>
        <w:autoSpaceDN w:val="0"/>
        <w:adjustRightInd w:val="0"/>
        <w:spacing w:after="1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75C">
        <w:rPr>
          <w:sz w:val="24"/>
          <w:szCs w:val="24"/>
        </w:rPr>
        <w:t>ne</w:t>
      </w:r>
    </w:p>
    <w:p w14:paraId="61964918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(v souladu s vyhláškou č. 194/2007 Sb</w:t>
      </w:r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5D7F10BB" w14:textId="77777777" w:rsidR="00B2451F" w:rsidRPr="00DC275C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75C">
        <w:rPr>
          <w:sz w:val="24"/>
          <w:szCs w:val="24"/>
        </w:rPr>
        <w:t>ano</w:t>
      </w:r>
    </w:p>
    <w:p w14:paraId="6E160D98" w14:textId="0A186EFE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1. 9. – do 31. 5.</w:t>
      </w:r>
    </w:p>
    <w:p w14:paraId="5F147F4C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BF17BC" w14:paraId="02C30D66" w14:textId="77777777" w:rsidTr="00CD3FA0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CEAB3" w14:textId="77777777" w:rsidR="00BF17BC" w:rsidRDefault="00BF17BC" w:rsidP="00CD3FA0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49AB5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00F1D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207A96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0BCF64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015C2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F72A5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DDC23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</w:tr>
      <w:tr w:rsidR="00BF17BC" w14:paraId="763ED06F" w14:textId="77777777" w:rsidTr="00CD3FA0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FE5BE00" w14:textId="77777777" w:rsidR="00BF17BC" w:rsidRDefault="00BF17BC" w:rsidP="00CD3FA0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BB6C577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+46,0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DC2514E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+53,6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2B5E68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+61,2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75A27BA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8B3047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+68,4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6BFAA77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+75,2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1FB7186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+82,0</w:t>
            </w:r>
          </w:p>
        </w:tc>
      </w:tr>
    </w:tbl>
    <w:p w14:paraId="641125A6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</w:p>
    <w:p w14:paraId="00DE399C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BF17BC" w14:paraId="1CE173D6" w14:textId="77777777" w:rsidTr="00CD3FA0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08F08" w14:textId="77777777" w:rsidR="00BF17BC" w:rsidRDefault="00BF17BC" w:rsidP="00CD3FA0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C0166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E5138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E766E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256CC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88BD3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914F0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51B9F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</w:tr>
      <w:tr w:rsidR="00BF17BC" w14:paraId="6C1ED6FC" w14:textId="77777777" w:rsidTr="00CD3FA0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025A0C0" w14:textId="77777777" w:rsidR="00BF17BC" w:rsidRDefault="00BF17BC" w:rsidP="00CD3FA0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E94AE95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+43,7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FA52E2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+50,9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4A9041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+58,1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58CD3A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+61,8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6A140F4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345B7D1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+71,4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34A9AB56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+77,9</w:t>
            </w:r>
          </w:p>
        </w:tc>
      </w:tr>
    </w:tbl>
    <w:p w14:paraId="10FB0468" w14:textId="77777777" w:rsidR="00B2451F" w:rsidRDefault="00B245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107251A8" w14:textId="77777777" w:rsidR="00122CA8" w:rsidRDefault="00122CA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0CB34498" w14:textId="77777777" w:rsidR="00122CA8" w:rsidRDefault="00122CA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283121FD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1E435B">
        <w:rPr>
          <w:b/>
          <w:sz w:val="24"/>
          <w:szCs w:val="32"/>
        </w:rPr>
        <w:t>7</w:t>
      </w:r>
      <w:r w:rsidR="00A91BCA">
        <w:rPr>
          <w:b/>
          <w:sz w:val="24"/>
          <w:szCs w:val="32"/>
        </w:rPr>
        <w:t xml:space="preserve"> – </w:t>
      </w:r>
      <w:r w:rsidR="00E95786">
        <w:rPr>
          <w:b/>
          <w:sz w:val="24"/>
          <w:szCs w:val="32"/>
        </w:rPr>
        <w:t>405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649AE6F3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1E435B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5EBF5991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6A6F30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>složkové ceny</w:t>
      </w:r>
      <w:r w:rsidR="006A6F30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ve výši</w:t>
      </w:r>
      <w:r w:rsidR="00BD79FE">
        <w:rPr>
          <w:sz w:val="24"/>
          <w:szCs w:val="24"/>
        </w:rPr>
        <w:t xml:space="preserve"> </w:t>
      </w:r>
      <w:r w:rsidR="00500FBF">
        <w:rPr>
          <w:sz w:val="24"/>
          <w:szCs w:val="24"/>
        </w:rPr>
        <w:t>530,71</w:t>
      </w:r>
      <w:r w:rsidR="009628E2" w:rsidRPr="001E435B">
        <w:rPr>
          <w:color w:val="FF0000"/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6A6F30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</w:t>
      </w:r>
      <w:r w:rsidR="00500FBF">
        <w:rPr>
          <w:sz w:val="24"/>
          <w:szCs w:val="24"/>
        </w:rPr>
        <w:t>vč.</w:t>
      </w:r>
      <w:r w:rsidR="00740590" w:rsidRPr="009628E2">
        <w:rPr>
          <w:sz w:val="24"/>
          <w:szCs w:val="24"/>
        </w:rPr>
        <w:t xml:space="preserve">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2293BA22" w14:textId="0C3E2A24" w:rsidR="00A803AE" w:rsidRPr="00227826" w:rsidRDefault="00227826" w:rsidP="00A803AE">
      <w:pPr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1E435B">
        <w:rPr>
          <w:sz w:val="24"/>
          <w:szCs w:val="24"/>
        </w:rPr>
        <w:t>Město Boskovice, Masarykovo nám. 4/2, 680 01</w:t>
      </w:r>
    </w:p>
    <w:p w14:paraId="272982DF" w14:textId="38C37814" w:rsidR="00227826" w:rsidRDefault="00227826" w:rsidP="002B050B">
      <w:pPr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351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62C5DDB3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0E399A" w:rsidRPr="000E399A">
        <w:rPr>
          <w:sz w:val="24"/>
          <w:szCs w:val="24"/>
        </w:rPr>
        <w:t>0</w:t>
      </w:r>
      <w:r w:rsidR="0065118D">
        <w:rPr>
          <w:sz w:val="24"/>
          <w:szCs w:val="24"/>
        </w:rPr>
        <w:t xml:space="preserve"> 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8400" w:type="dxa"/>
        <w:tblInd w:w="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A803AE" w:rsidRPr="00A803AE" w14:paraId="12EA56F4" w14:textId="77777777" w:rsidTr="00A803AE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C0BA60" w14:textId="77777777" w:rsidR="00A803AE" w:rsidRPr="000E399A" w:rsidRDefault="00A803AE" w:rsidP="00A80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399A">
              <w:rPr>
                <w:b/>
                <w:bCs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C9D7" w14:textId="77777777" w:rsidR="00A803AE" w:rsidRPr="000E399A" w:rsidRDefault="00A803AE" w:rsidP="00A80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399A">
              <w:rPr>
                <w:b/>
                <w:bCs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E4810" w14:textId="77777777" w:rsidR="00A803AE" w:rsidRPr="000E399A" w:rsidRDefault="00A803AE" w:rsidP="00A80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399A">
              <w:rPr>
                <w:b/>
                <w:bCs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4EED" w14:textId="77777777" w:rsidR="00A803AE" w:rsidRPr="000E399A" w:rsidRDefault="00A803AE" w:rsidP="00A80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399A">
              <w:rPr>
                <w:b/>
                <w:bCs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3AE04" w14:textId="77777777" w:rsidR="00A803AE" w:rsidRPr="000E399A" w:rsidRDefault="00A803AE" w:rsidP="00A80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399A">
              <w:rPr>
                <w:b/>
                <w:bCs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BA14" w14:textId="77777777" w:rsidR="00A803AE" w:rsidRPr="000E399A" w:rsidRDefault="00A803AE" w:rsidP="00A803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399A">
              <w:rPr>
                <w:b/>
                <w:bCs/>
                <w:sz w:val="22"/>
                <w:szCs w:val="22"/>
              </w:rPr>
              <w:t xml:space="preserve"> Záloha v Kč</w:t>
            </w:r>
          </w:p>
        </w:tc>
      </w:tr>
      <w:tr w:rsidR="00A803AE" w:rsidRPr="00A803AE" w14:paraId="1BCC6B17" w14:textId="77777777" w:rsidTr="000E399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67F45" w14:textId="1A3374FD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D4F7C" w14:textId="78B38648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F2495" w14:textId="540FAED8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B4E7B" w14:textId="77C1776E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EA352" w14:textId="292B289A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C4413" w14:textId="7F26B649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803AE" w:rsidRPr="00A803AE" w14:paraId="0A8F0AF1" w14:textId="77777777" w:rsidTr="000E399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51133" w14:textId="6935DE1F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17BB6" w14:textId="6F995A9B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3D912" w14:textId="5B2D300D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B6D5F" w14:textId="1E631BC6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F8338" w14:textId="431BD910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9CD89" w14:textId="0B2C1013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803AE" w:rsidRPr="00A803AE" w14:paraId="359CEF9B" w14:textId="77777777" w:rsidTr="000E399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370EE" w14:textId="1BF0C79E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028D7" w14:textId="5C0DE400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B736E" w14:textId="0E04751F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82D10" w14:textId="10B86B99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57A15" w14:textId="5297482B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9451B" w14:textId="34715EA1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803AE" w:rsidRPr="00A803AE" w14:paraId="092C2454" w14:textId="77777777" w:rsidTr="000E399A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A0DC22" w14:textId="204885AC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9E17E" w14:textId="0E5CFC52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BC49C8" w14:textId="7F58D7D5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76189" w14:textId="2887DDE8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15A37A" w14:textId="7F7437A6" w:rsidR="00A803AE" w:rsidRPr="000E399A" w:rsidRDefault="00A803AE" w:rsidP="00A803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6FF0" w14:textId="71A91AC0" w:rsidR="00A803AE" w:rsidRPr="000E399A" w:rsidRDefault="000E399A" w:rsidP="00A803AE">
            <w:pPr>
              <w:jc w:val="right"/>
              <w:rPr>
                <w:b/>
                <w:bCs/>
                <w:sz w:val="22"/>
                <w:szCs w:val="22"/>
              </w:rPr>
            </w:pPr>
            <w:r w:rsidRPr="000E399A">
              <w:rPr>
                <w:b/>
                <w:bCs/>
                <w:sz w:val="22"/>
                <w:szCs w:val="22"/>
              </w:rPr>
              <w:t>0</w:t>
            </w:r>
            <w:r w:rsidR="00A803AE" w:rsidRPr="000E399A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14:paraId="60A1AA74" w14:textId="77777777" w:rsidR="00CE2336" w:rsidRDefault="00CE233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75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60"/>
        <w:gridCol w:w="3782"/>
      </w:tblGrid>
      <w:tr w:rsidR="00A803AE" w:rsidRPr="00A803AE" w14:paraId="58CD7F2F" w14:textId="77777777" w:rsidTr="0077632B">
        <w:trPr>
          <w:trHeight w:val="59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D212B" w14:textId="77777777" w:rsidR="00A803AE" w:rsidRPr="00A803AE" w:rsidRDefault="00A803AE" w:rsidP="00A803AE">
            <w:pPr>
              <w:rPr>
                <w:color w:val="000000"/>
                <w:sz w:val="24"/>
                <w:szCs w:val="24"/>
              </w:rPr>
            </w:pPr>
            <w:r w:rsidRPr="00A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5666" w14:textId="77777777" w:rsidR="00A803AE" w:rsidRPr="00A803AE" w:rsidRDefault="00A803AE" w:rsidP="00A803AE">
            <w:pPr>
              <w:jc w:val="center"/>
              <w:rPr>
                <w:color w:val="000000"/>
                <w:sz w:val="24"/>
                <w:szCs w:val="24"/>
              </w:rPr>
            </w:pPr>
            <w:r w:rsidRPr="00A803AE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5507C" w14:textId="2AE8AF2C" w:rsidR="00A803AE" w:rsidRPr="00A803AE" w:rsidRDefault="00A803AE" w:rsidP="00A803AE">
            <w:pPr>
              <w:jc w:val="center"/>
              <w:rPr>
                <w:color w:val="000000"/>
                <w:sz w:val="24"/>
                <w:szCs w:val="24"/>
              </w:rPr>
            </w:pPr>
            <w:r w:rsidRPr="00A803AE">
              <w:rPr>
                <w:color w:val="000000"/>
                <w:sz w:val="24"/>
                <w:szCs w:val="24"/>
              </w:rPr>
              <w:t xml:space="preserve">zálohová platba            </w:t>
            </w:r>
            <w:r w:rsidR="0077632B">
              <w:rPr>
                <w:color w:val="000000"/>
                <w:sz w:val="24"/>
                <w:szCs w:val="24"/>
              </w:rPr>
              <w:t xml:space="preserve">                      </w:t>
            </w:r>
            <w:r w:rsidRPr="00A803AE">
              <w:rPr>
                <w:color w:val="000000"/>
                <w:sz w:val="24"/>
                <w:szCs w:val="24"/>
              </w:rPr>
              <w:t xml:space="preserve"> Kč vč. DPH/rok</w:t>
            </w:r>
          </w:p>
        </w:tc>
      </w:tr>
      <w:tr w:rsidR="00A803AE" w:rsidRPr="00A803AE" w14:paraId="7E89987F" w14:textId="77777777" w:rsidTr="0077632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51B9E" w14:textId="440541BB" w:rsidR="00A803AE" w:rsidRPr="00A803AE" w:rsidRDefault="001E435B" w:rsidP="00A803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Město Boskovice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6BAB" w14:textId="4CA7AC83" w:rsidR="00A803AE" w:rsidRPr="000E399A" w:rsidRDefault="000E399A" w:rsidP="00A803AE">
            <w:pPr>
              <w:jc w:val="center"/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>0</w:t>
            </w:r>
            <w:r w:rsidR="00A803AE" w:rsidRPr="000E399A">
              <w:rPr>
                <w:sz w:val="24"/>
                <w:szCs w:val="24"/>
              </w:rPr>
              <w:t>,00</w:t>
            </w: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C4ED8" w14:textId="4A31DC5B" w:rsidR="00A803AE" w:rsidRPr="000E399A" w:rsidRDefault="00A803AE" w:rsidP="00A803AE">
            <w:pPr>
              <w:jc w:val="center"/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 xml:space="preserve"> 0,</w:t>
            </w:r>
            <w:r w:rsidR="000E399A">
              <w:rPr>
                <w:sz w:val="24"/>
                <w:szCs w:val="24"/>
              </w:rPr>
              <w:t>00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59721EE7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8400" w:type="dxa"/>
        <w:tblInd w:w="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32"/>
        <w:gridCol w:w="1380"/>
        <w:gridCol w:w="1081"/>
        <w:gridCol w:w="1639"/>
        <w:gridCol w:w="1054"/>
        <w:gridCol w:w="2006"/>
      </w:tblGrid>
      <w:tr w:rsidR="0077632B" w:rsidRPr="0077632B" w14:paraId="018C3E22" w14:textId="77777777" w:rsidTr="0077632B">
        <w:trPr>
          <w:trHeight w:val="58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1F0E" w14:textId="77777777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99A">
              <w:rPr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4391" w14:textId="77777777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99A">
              <w:rPr>
                <w:b/>
                <w:bCs/>
                <w:sz w:val="24"/>
                <w:szCs w:val="24"/>
              </w:rPr>
              <w:t>Sjednané množství  GJ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BF3B" w14:textId="77777777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99A">
              <w:rPr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250E" w14:textId="77777777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99A">
              <w:rPr>
                <w:b/>
                <w:bCs/>
                <w:sz w:val="24"/>
                <w:szCs w:val="24"/>
              </w:rPr>
              <w:t>Sjednané množství  GJ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47622" w14:textId="77777777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99A">
              <w:rPr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CD7F" w14:textId="77777777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99A">
              <w:rPr>
                <w:b/>
                <w:bCs/>
                <w:sz w:val="24"/>
                <w:szCs w:val="24"/>
              </w:rPr>
              <w:t>Sjednané množství  GJ</w:t>
            </w:r>
          </w:p>
        </w:tc>
      </w:tr>
      <w:tr w:rsidR="0077632B" w:rsidRPr="0077632B" w14:paraId="65B0B2C6" w14:textId="77777777" w:rsidTr="000E399A">
        <w:trPr>
          <w:trHeight w:val="375"/>
        </w:trPr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4C48" w14:textId="77777777" w:rsidR="0077632B" w:rsidRPr="000E399A" w:rsidRDefault="0077632B" w:rsidP="0077632B">
            <w:pPr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>leden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36442" w14:textId="75DF6FDD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F33F" w14:textId="77777777" w:rsidR="0077632B" w:rsidRPr="000E399A" w:rsidRDefault="0077632B" w:rsidP="0077632B">
            <w:pPr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>květen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5855C" w14:textId="356223AE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1394" w14:textId="77777777" w:rsidR="0077632B" w:rsidRPr="000E399A" w:rsidRDefault="0077632B" w:rsidP="0077632B">
            <w:pPr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>září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09F4" w14:textId="36D8086D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632B" w:rsidRPr="0077632B" w14:paraId="0EC7401E" w14:textId="77777777" w:rsidTr="000E399A">
        <w:trPr>
          <w:trHeight w:val="330"/>
        </w:trPr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4DAA" w14:textId="77777777" w:rsidR="0077632B" w:rsidRPr="000E399A" w:rsidRDefault="0077632B" w:rsidP="0077632B">
            <w:pPr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 xml:space="preserve">únor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56A3" w14:textId="17D36534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89EC" w14:textId="77777777" w:rsidR="0077632B" w:rsidRPr="000E399A" w:rsidRDefault="0077632B" w:rsidP="0077632B">
            <w:pPr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>červen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135B" w14:textId="10FF9870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3DC3" w14:textId="77777777" w:rsidR="0077632B" w:rsidRPr="000E399A" w:rsidRDefault="0077632B" w:rsidP="0077632B">
            <w:pPr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>říjen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0220D" w14:textId="18C8121F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632B" w:rsidRPr="0077632B" w14:paraId="5C5A6E33" w14:textId="77777777" w:rsidTr="000E399A">
        <w:trPr>
          <w:trHeight w:val="330"/>
        </w:trPr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67E3" w14:textId="77777777" w:rsidR="0077632B" w:rsidRPr="000E399A" w:rsidRDefault="0077632B" w:rsidP="0077632B">
            <w:pPr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>březen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30A6" w14:textId="23DE2F5E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518F" w14:textId="77777777" w:rsidR="0077632B" w:rsidRPr="000E399A" w:rsidRDefault="0077632B" w:rsidP="0077632B">
            <w:pPr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>červenec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D9B2A" w14:textId="3887CC71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674A" w14:textId="77777777" w:rsidR="0077632B" w:rsidRPr="000E399A" w:rsidRDefault="0077632B" w:rsidP="0077632B">
            <w:pPr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>listopad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52ADF" w14:textId="4E6BDE8A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632B" w:rsidRPr="0077632B" w14:paraId="56B7B701" w14:textId="77777777" w:rsidTr="000E399A">
        <w:trPr>
          <w:trHeight w:val="330"/>
        </w:trPr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8C6C" w14:textId="77777777" w:rsidR="0077632B" w:rsidRPr="000E399A" w:rsidRDefault="0077632B" w:rsidP="0077632B">
            <w:pPr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>duben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1C24E" w14:textId="1DCBFAD3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1795" w14:textId="77777777" w:rsidR="0077632B" w:rsidRPr="000E399A" w:rsidRDefault="0077632B" w:rsidP="0077632B">
            <w:pPr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>srpen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D8287" w14:textId="4CBAD707" w:rsidR="0077632B" w:rsidRPr="000E399A" w:rsidRDefault="0077632B" w:rsidP="007763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52EE3" w14:textId="77777777" w:rsidR="0077632B" w:rsidRPr="000E399A" w:rsidRDefault="0077632B" w:rsidP="0077632B">
            <w:pPr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>prosinec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9CFF" w14:textId="4B8AF264" w:rsidR="0077632B" w:rsidRPr="000E399A" w:rsidRDefault="000E399A" w:rsidP="0077632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99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7632B" w:rsidRPr="0077632B" w14:paraId="32CE5B2F" w14:textId="77777777" w:rsidTr="0077632B">
        <w:trPr>
          <w:trHeight w:val="315"/>
        </w:trPr>
        <w:tc>
          <w:tcPr>
            <w:tcW w:w="63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48F6E" w14:textId="77777777" w:rsidR="0077632B" w:rsidRPr="000E399A" w:rsidRDefault="0077632B" w:rsidP="0077632B">
            <w:pPr>
              <w:jc w:val="center"/>
              <w:rPr>
                <w:sz w:val="24"/>
                <w:szCs w:val="24"/>
              </w:rPr>
            </w:pPr>
            <w:r w:rsidRPr="000E399A">
              <w:rPr>
                <w:sz w:val="24"/>
                <w:szCs w:val="24"/>
              </w:rPr>
              <w:t>Celkem GJ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68A6" w14:textId="09935957" w:rsidR="0077632B" w:rsidRPr="000E399A" w:rsidRDefault="000E399A" w:rsidP="0077632B">
            <w:pPr>
              <w:jc w:val="center"/>
              <w:rPr>
                <w:b/>
                <w:bCs/>
                <w:sz w:val="24"/>
                <w:szCs w:val="24"/>
              </w:rPr>
            </w:pPr>
            <w:r w:rsidRPr="000E399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7632B" w:rsidRPr="0077632B" w14:paraId="775EC4E2" w14:textId="77777777" w:rsidTr="0077632B">
        <w:trPr>
          <w:trHeight w:val="330"/>
        </w:trPr>
        <w:tc>
          <w:tcPr>
            <w:tcW w:w="639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CDA5D" w14:textId="77777777" w:rsidR="0077632B" w:rsidRPr="0077632B" w:rsidRDefault="0077632B" w:rsidP="007763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1F5C9" w14:textId="77777777" w:rsidR="0077632B" w:rsidRPr="0077632B" w:rsidRDefault="0077632B" w:rsidP="007763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50F5B837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1E435B">
        <w:t>2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112F870D" w14:textId="77777777" w:rsidR="00025FA0" w:rsidRDefault="00025FA0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2E78E778" w:rsidR="007C2AB2" w:rsidRDefault="00766A14" w:rsidP="00BD79FE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001F58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A75E" w14:textId="77777777" w:rsidR="00D77735" w:rsidRDefault="00D77735">
      <w:pPr>
        <w:rPr>
          <w:sz w:val="24"/>
        </w:rPr>
      </w:pPr>
      <w:r>
        <w:separator/>
      </w:r>
    </w:p>
  </w:endnote>
  <w:endnote w:type="continuationSeparator" w:id="0">
    <w:p w14:paraId="626E78C4" w14:textId="77777777" w:rsidR="00D77735" w:rsidRDefault="00D77735">
      <w:pPr>
        <w:rPr>
          <w:sz w:val="24"/>
        </w:rPr>
      </w:pPr>
      <w:r>
        <w:continuationSeparator/>
      </w:r>
    </w:p>
  </w:endnote>
  <w:endnote w:type="continuationNotice" w:id="1">
    <w:p w14:paraId="1ED311CA" w14:textId="77777777" w:rsidR="00D77735" w:rsidRDefault="00D7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399B087C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B59A6">
      <w:rPr>
        <w:noProof/>
      </w:rPr>
      <w:t>2</w:t>
    </w:r>
    <w:r>
      <w:fldChar w:fldCharType="end"/>
    </w:r>
    <w:r>
      <w:t xml:space="preserve"> z</w:t>
    </w:r>
    <w:r w:rsidR="00BF17BC">
      <w:t> 7</w:t>
    </w:r>
  </w:p>
  <w:p w14:paraId="4488651B" w14:textId="77777777" w:rsidR="00BF17BC" w:rsidRDefault="00BF17BC">
    <w:pPr>
      <w:pStyle w:val="Zpat"/>
      <w:jc w:val="center"/>
    </w:pPr>
  </w:p>
  <w:p w14:paraId="1E756CC4" w14:textId="77777777" w:rsidR="00FF518C" w:rsidRDefault="00FF518C">
    <w:pPr>
      <w:pStyle w:val="Zpat"/>
      <w:jc w:val="center"/>
    </w:pPr>
  </w:p>
  <w:p w14:paraId="69218602" w14:textId="77777777" w:rsidR="001D158F" w:rsidRDefault="001D158F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B59A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9840" w14:textId="77777777" w:rsidR="00D77735" w:rsidRDefault="00D77735">
      <w:pPr>
        <w:rPr>
          <w:sz w:val="24"/>
        </w:rPr>
      </w:pPr>
      <w:r>
        <w:separator/>
      </w:r>
    </w:p>
  </w:footnote>
  <w:footnote w:type="continuationSeparator" w:id="0">
    <w:p w14:paraId="5FAA0ED5" w14:textId="77777777" w:rsidR="00D77735" w:rsidRDefault="00D77735">
      <w:pPr>
        <w:rPr>
          <w:sz w:val="24"/>
        </w:rPr>
      </w:pPr>
      <w:r>
        <w:continuationSeparator/>
      </w:r>
    </w:p>
  </w:footnote>
  <w:footnote w:type="continuationNotice" w:id="1">
    <w:p w14:paraId="3B889879" w14:textId="77777777" w:rsidR="00D77735" w:rsidRDefault="00D77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6D9457AA"/>
    <w:lvl w:ilvl="0" w:tplc="6F9A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368481">
    <w:abstractNumId w:val="9"/>
  </w:num>
  <w:num w:numId="2" w16cid:durableId="1379666116">
    <w:abstractNumId w:val="0"/>
  </w:num>
  <w:num w:numId="3" w16cid:durableId="2111970564">
    <w:abstractNumId w:val="5"/>
  </w:num>
  <w:num w:numId="4" w16cid:durableId="116265002">
    <w:abstractNumId w:val="6"/>
  </w:num>
  <w:num w:numId="5" w16cid:durableId="1416434775">
    <w:abstractNumId w:val="2"/>
  </w:num>
  <w:num w:numId="6" w16cid:durableId="1289899266">
    <w:abstractNumId w:val="14"/>
  </w:num>
  <w:num w:numId="7" w16cid:durableId="701789080">
    <w:abstractNumId w:val="10"/>
  </w:num>
  <w:num w:numId="8" w16cid:durableId="2082633888">
    <w:abstractNumId w:val="4"/>
  </w:num>
  <w:num w:numId="9" w16cid:durableId="1837989166">
    <w:abstractNumId w:val="12"/>
  </w:num>
  <w:num w:numId="10" w16cid:durableId="1133867659">
    <w:abstractNumId w:val="1"/>
  </w:num>
  <w:num w:numId="11" w16cid:durableId="883253668">
    <w:abstractNumId w:val="3"/>
  </w:num>
  <w:num w:numId="12" w16cid:durableId="1986856978">
    <w:abstractNumId w:val="7"/>
  </w:num>
  <w:num w:numId="13" w16cid:durableId="1452742115">
    <w:abstractNumId w:val="11"/>
  </w:num>
  <w:num w:numId="14" w16cid:durableId="1752042670">
    <w:abstractNumId w:val="13"/>
  </w:num>
  <w:num w:numId="15" w16cid:durableId="72544879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5FA0"/>
    <w:rsid w:val="00026D16"/>
    <w:rsid w:val="000279D3"/>
    <w:rsid w:val="00055FDA"/>
    <w:rsid w:val="00066140"/>
    <w:rsid w:val="0009357D"/>
    <w:rsid w:val="000A19DD"/>
    <w:rsid w:val="000B59A6"/>
    <w:rsid w:val="000E1CA4"/>
    <w:rsid w:val="000E399A"/>
    <w:rsid w:val="00114052"/>
    <w:rsid w:val="00122CA8"/>
    <w:rsid w:val="0015679A"/>
    <w:rsid w:val="00163D0E"/>
    <w:rsid w:val="001651D7"/>
    <w:rsid w:val="00177A74"/>
    <w:rsid w:val="00181062"/>
    <w:rsid w:val="00181F4E"/>
    <w:rsid w:val="001A22E7"/>
    <w:rsid w:val="001B5115"/>
    <w:rsid w:val="001C6F4E"/>
    <w:rsid w:val="001D158F"/>
    <w:rsid w:val="001D4C0F"/>
    <w:rsid w:val="001E435B"/>
    <w:rsid w:val="001F3B3A"/>
    <w:rsid w:val="00204A5F"/>
    <w:rsid w:val="002155EC"/>
    <w:rsid w:val="0021575E"/>
    <w:rsid w:val="0021601D"/>
    <w:rsid w:val="00227826"/>
    <w:rsid w:val="00241950"/>
    <w:rsid w:val="00246622"/>
    <w:rsid w:val="00252C6E"/>
    <w:rsid w:val="00253885"/>
    <w:rsid w:val="00276BAF"/>
    <w:rsid w:val="002A526D"/>
    <w:rsid w:val="002B050B"/>
    <w:rsid w:val="002B2B54"/>
    <w:rsid w:val="002B3C2E"/>
    <w:rsid w:val="002C0C3C"/>
    <w:rsid w:val="002C211E"/>
    <w:rsid w:val="002E6747"/>
    <w:rsid w:val="002F2FBB"/>
    <w:rsid w:val="002F3AB9"/>
    <w:rsid w:val="002F7DC1"/>
    <w:rsid w:val="00304CAC"/>
    <w:rsid w:val="00311ACF"/>
    <w:rsid w:val="00320B12"/>
    <w:rsid w:val="00323336"/>
    <w:rsid w:val="00325F34"/>
    <w:rsid w:val="00333A22"/>
    <w:rsid w:val="00351DCE"/>
    <w:rsid w:val="00356152"/>
    <w:rsid w:val="00375B69"/>
    <w:rsid w:val="00384A3A"/>
    <w:rsid w:val="003948B6"/>
    <w:rsid w:val="003949E2"/>
    <w:rsid w:val="003D237E"/>
    <w:rsid w:val="003E5919"/>
    <w:rsid w:val="003F1093"/>
    <w:rsid w:val="003F5C2A"/>
    <w:rsid w:val="00400ED3"/>
    <w:rsid w:val="0040209E"/>
    <w:rsid w:val="0040700C"/>
    <w:rsid w:val="0041059C"/>
    <w:rsid w:val="00414EEB"/>
    <w:rsid w:val="00427878"/>
    <w:rsid w:val="0043216A"/>
    <w:rsid w:val="004429D4"/>
    <w:rsid w:val="004431DB"/>
    <w:rsid w:val="004518B6"/>
    <w:rsid w:val="00455564"/>
    <w:rsid w:val="00486A1A"/>
    <w:rsid w:val="00490856"/>
    <w:rsid w:val="00491727"/>
    <w:rsid w:val="00491D8D"/>
    <w:rsid w:val="00493C50"/>
    <w:rsid w:val="004C245F"/>
    <w:rsid w:val="004C2D2C"/>
    <w:rsid w:val="004C315B"/>
    <w:rsid w:val="004C3C9D"/>
    <w:rsid w:val="004C67F9"/>
    <w:rsid w:val="004E3717"/>
    <w:rsid w:val="004F70FA"/>
    <w:rsid w:val="00500FBF"/>
    <w:rsid w:val="00501AB7"/>
    <w:rsid w:val="00502BA8"/>
    <w:rsid w:val="0052303C"/>
    <w:rsid w:val="0053668A"/>
    <w:rsid w:val="00537618"/>
    <w:rsid w:val="0055225F"/>
    <w:rsid w:val="0056203B"/>
    <w:rsid w:val="00574F2E"/>
    <w:rsid w:val="00587D7D"/>
    <w:rsid w:val="005B61F9"/>
    <w:rsid w:val="005C2439"/>
    <w:rsid w:val="005E1C3F"/>
    <w:rsid w:val="005E63A4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62EBD"/>
    <w:rsid w:val="006727AA"/>
    <w:rsid w:val="00685426"/>
    <w:rsid w:val="00691929"/>
    <w:rsid w:val="006925C5"/>
    <w:rsid w:val="00692DAE"/>
    <w:rsid w:val="006A6F30"/>
    <w:rsid w:val="006C56B1"/>
    <w:rsid w:val="006D0ACB"/>
    <w:rsid w:val="006D22C1"/>
    <w:rsid w:val="006F0EDB"/>
    <w:rsid w:val="006F4CA5"/>
    <w:rsid w:val="007121D7"/>
    <w:rsid w:val="007214D3"/>
    <w:rsid w:val="00731307"/>
    <w:rsid w:val="0073587F"/>
    <w:rsid w:val="00740590"/>
    <w:rsid w:val="00766A14"/>
    <w:rsid w:val="0077632B"/>
    <w:rsid w:val="00780271"/>
    <w:rsid w:val="007855B4"/>
    <w:rsid w:val="007867A3"/>
    <w:rsid w:val="007A08E3"/>
    <w:rsid w:val="007C28E9"/>
    <w:rsid w:val="007C2AB2"/>
    <w:rsid w:val="007C2D01"/>
    <w:rsid w:val="007C37D4"/>
    <w:rsid w:val="007C4372"/>
    <w:rsid w:val="007C561F"/>
    <w:rsid w:val="007D0BCF"/>
    <w:rsid w:val="007D2316"/>
    <w:rsid w:val="007E09DD"/>
    <w:rsid w:val="007E0D3D"/>
    <w:rsid w:val="00804A0C"/>
    <w:rsid w:val="00804BCA"/>
    <w:rsid w:val="00806E24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C3A36"/>
    <w:rsid w:val="008D1BAF"/>
    <w:rsid w:val="008E4DB0"/>
    <w:rsid w:val="008E54AB"/>
    <w:rsid w:val="008F1721"/>
    <w:rsid w:val="008F2C5F"/>
    <w:rsid w:val="009131CC"/>
    <w:rsid w:val="00931201"/>
    <w:rsid w:val="00944500"/>
    <w:rsid w:val="00945A1B"/>
    <w:rsid w:val="00961EA8"/>
    <w:rsid w:val="009628E2"/>
    <w:rsid w:val="009678D8"/>
    <w:rsid w:val="009852B2"/>
    <w:rsid w:val="009A1826"/>
    <w:rsid w:val="009A3F4E"/>
    <w:rsid w:val="009D0C63"/>
    <w:rsid w:val="009E5AAB"/>
    <w:rsid w:val="009F675E"/>
    <w:rsid w:val="00A02BA5"/>
    <w:rsid w:val="00A1734C"/>
    <w:rsid w:val="00A27228"/>
    <w:rsid w:val="00A53093"/>
    <w:rsid w:val="00A65509"/>
    <w:rsid w:val="00A803AE"/>
    <w:rsid w:val="00A83698"/>
    <w:rsid w:val="00A83AA1"/>
    <w:rsid w:val="00A86188"/>
    <w:rsid w:val="00A874BC"/>
    <w:rsid w:val="00A91BCA"/>
    <w:rsid w:val="00A95318"/>
    <w:rsid w:val="00AB2E9C"/>
    <w:rsid w:val="00AB47FF"/>
    <w:rsid w:val="00AD50D8"/>
    <w:rsid w:val="00AE087E"/>
    <w:rsid w:val="00AF10F3"/>
    <w:rsid w:val="00B06B5A"/>
    <w:rsid w:val="00B23230"/>
    <w:rsid w:val="00B2451F"/>
    <w:rsid w:val="00B3089E"/>
    <w:rsid w:val="00B45162"/>
    <w:rsid w:val="00B52FC4"/>
    <w:rsid w:val="00B53E54"/>
    <w:rsid w:val="00B65215"/>
    <w:rsid w:val="00B66312"/>
    <w:rsid w:val="00B6638F"/>
    <w:rsid w:val="00B844AD"/>
    <w:rsid w:val="00B85E0B"/>
    <w:rsid w:val="00B9181B"/>
    <w:rsid w:val="00B9745E"/>
    <w:rsid w:val="00BA3390"/>
    <w:rsid w:val="00BA4DA1"/>
    <w:rsid w:val="00BC1FA7"/>
    <w:rsid w:val="00BC6BAA"/>
    <w:rsid w:val="00BD0D0E"/>
    <w:rsid w:val="00BD79FE"/>
    <w:rsid w:val="00BF0A2C"/>
    <w:rsid w:val="00BF17BC"/>
    <w:rsid w:val="00C11867"/>
    <w:rsid w:val="00C14AAA"/>
    <w:rsid w:val="00C16596"/>
    <w:rsid w:val="00C30ECB"/>
    <w:rsid w:val="00C37F28"/>
    <w:rsid w:val="00C5703D"/>
    <w:rsid w:val="00C63552"/>
    <w:rsid w:val="00C81C71"/>
    <w:rsid w:val="00C94DEC"/>
    <w:rsid w:val="00CB3481"/>
    <w:rsid w:val="00CB6920"/>
    <w:rsid w:val="00CC19BF"/>
    <w:rsid w:val="00CE2336"/>
    <w:rsid w:val="00D13B92"/>
    <w:rsid w:val="00D16B18"/>
    <w:rsid w:val="00D24271"/>
    <w:rsid w:val="00D60FDD"/>
    <w:rsid w:val="00D77735"/>
    <w:rsid w:val="00D777A0"/>
    <w:rsid w:val="00D82DE0"/>
    <w:rsid w:val="00D90566"/>
    <w:rsid w:val="00D91F22"/>
    <w:rsid w:val="00DB391C"/>
    <w:rsid w:val="00DC12D4"/>
    <w:rsid w:val="00DC317A"/>
    <w:rsid w:val="00DC73F1"/>
    <w:rsid w:val="00DC7C84"/>
    <w:rsid w:val="00E16300"/>
    <w:rsid w:val="00E21D98"/>
    <w:rsid w:val="00E24518"/>
    <w:rsid w:val="00E31255"/>
    <w:rsid w:val="00E3606C"/>
    <w:rsid w:val="00E50A5C"/>
    <w:rsid w:val="00E50FD3"/>
    <w:rsid w:val="00E6056E"/>
    <w:rsid w:val="00E61A30"/>
    <w:rsid w:val="00E73C61"/>
    <w:rsid w:val="00E81B92"/>
    <w:rsid w:val="00E95786"/>
    <w:rsid w:val="00E965D2"/>
    <w:rsid w:val="00EA339D"/>
    <w:rsid w:val="00EA46ED"/>
    <w:rsid w:val="00EC7E56"/>
    <w:rsid w:val="00EF52C2"/>
    <w:rsid w:val="00F03B5A"/>
    <w:rsid w:val="00F07CFF"/>
    <w:rsid w:val="00F124CA"/>
    <w:rsid w:val="00F12675"/>
    <w:rsid w:val="00F13FA4"/>
    <w:rsid w:val="00F17BEA"/>
    <w:rsid w:val="00F17F63"/>
    <w:rsid w:val="00F213EA"/>
    <w:rsid w:val="00F31B75"/>
    <w:rsid w:val="00F365FE"/>
    <w:rsid w:val="00F453D4"/>
    <w:rsid w:val="00F71EAF"/>
    <w:rsid w:val="00F76B57"/>
    <w:rsid w:val="00F95C7A"/>
    <w:rsid w:val="00FB092C"/>
    <w:rsid w:val="00FB37D8"/>
    <w:rsid w:val="00FC6C69"/>
    <w:rsid w:val="00FE3BD9"/>
    <w:rsid w:val="00FF2AA3"/>
    <w:rsid w:val="00FF518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1868F5FA-78F7-462F-87EB-EA539246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E50B-D04F-48AB-B085-436EB1A6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1621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11</cp:revision>
  <cp:lastPrinted>2013-12-10T18:28:00Z</cp:lastPrinted>
  <dcterms:created xsi:type="dcterms:W3CDTF">2022-12-05T11:19:00Z</dcterms:created>
  <dcterms:modified xsi:type="dcterms:W3CDTF">2022-12-12T08:50:00Z</dcterms:modified>
</cp:coreProperties>
</file>