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F90734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40042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205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F90734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9631/BHO/2022-BHOM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F90734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UZSVM/BHO/8768/2022-BHOM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majetkových,</w:t>
      </w:r>
    </w:p>
    <w:p w:rsidR="00225F11" w:rsidRDefault="00F90734" w:rsidP="00225F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Rašínovo nábřeží 390/42, Nové </w:t>
      </w:r>
      <w:r>
        <w:rPr>
          <w:rFonts w:ascii="Arial" w:hAnsi="Arial" w:cs="Arial"/>
          <w:sz w:val="22"/>
          <w:szCs w:val="22"/>
        </w:rPr>
        <w:t>Město, 128 00 Praha 2,</w:t>
      </w:r>
    </w:p>
    <w:p w:rsidR="00225F11" w:rsidRDefault="00F90734" w:rsidP="00225F1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kterou právně jedná Mgr. Pavla Keňová, ředitelka odboru Odloučené pracoviště Hodonín</w:t>
      </w:r>
    </w:p>
    <w:p w:rsidR="00225F11" w:rsidRDefault="00F90734" w:rsidP="00225F1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 základě Příkazu generálního ředitele č. 6/2019 v platném znění </w:t>
      </w:r>
    </w:p>
    <w:p w:rsidR="00225F11" w:rsidRDefault="00F90734" w:rsidP="00225F1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Územní pracoviště Brno,</w:t>
      </w:r>
    </w:p>
    <w:p w:rsidR="00225F11" w:rsidRDefault="00F90734" w:rsidP="00225F1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odbor Odloučené pracoviště Hodonín, Štefánikova 28, </w:t>
      </w:r>
      <w:r>
        <w:rPr>
          <w:rFonts w:ascii="Arial" w:hAnsi="Arial" w:cs="Arial"/>
          <w:sz w:val="22"/>
          <w:szCs w:val="22"/>
        </w:rPr>
        <w:t>695 01 Hodonín</w:t>
      </w:r>
    </w:p>
    <w:p w:rsidR="00225F11" w:rsidRDefault="00F90734" w:rsidP="00225F11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225F11" w:rsidRDefault="00F90734" w:rsidP="00225F11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>“)</w:t>
      </w:r>
    </w:p>
    <w:p w:rsidR="00225F11" w:rsidRDefault="00F90734" w:rsidP="00225F11">
      <w:p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225F11" w:rsidRDefault="00F90734" w:rsidP="00225F11">
      <w:pPr>
        <w:pStyle w:val="adresa"/>
        <w:tabs>
          <w:tab w:val="left" w:pos="120"/>
        </w:tabs>
        <w:ind w:left="426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manželé</w:t>
      </w:r>
    </w:p>
    <w:p w:rsidR="00225F11" w:rsidRDefault="00F90734" w:rsidP="00225F1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Marek Mikéska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51439A" w:rsidRPr="0051439A">
        <w:rPr>
          <w:rFonts w:ascii="Arial" w:hAnsi="Arial" w:cs="Arial"/>
          <w:sz w:val="22"/>
          <w:szCs w:val="22"/>
        </w:rPr>
        <w:t xml:space="preserve">datum narození: </w:t>
      </w:r>
      <w:r w:rsidR="009006EE">
        <w:rPr>
          <w:rFonts w:ascii="Arial" w:hAnsi="Arial" w:cs="Arial"/>
          <w:sz w:val="22"/>
          <w:szCs w:val="22"/>
        </w:rPr>
        <w:t>XX</w:t>
      </w:r>
      <w:r w:rsidR="0051439A" w:rsidRPr="0051439A">
        <w:rPr>
          <w:rFonts w:ascii="Arial" w:hAnsi="Arial" w:cs="Arial"/>
          <w:sz w:val="22"/>
          <w:szCs w:val="22"/>
        </w:rPr>
        <w:t xml:space="preserve">. </w:t>
      </w:r>
      <w:r w:rsidR="009006EE">
        <w:rPr>
          <w:rFonts w:ascii="Arial" w:hAnsi="Arial" w:cs="Arial"/>
          <w:sz w:val="22"/>
          <w:szCs w:val="22"/>
        </w:rPr>
        <w:t>X</w:t>
      </w:r>
      <w:r w:rsidR="0051439A" w:rsidRPr="0051439A">
        <w:rPr>
          <w:rFonts w:ascii="Arial" w:hAnsi="Arial" w:cs="Arial"/>
          <w:sz w:val="22"/>
          <w:szCs w:val="22"/>
        </w:rPr>
        <w:t>. 1965</w:t>
      </w:r>
      <w:r w:rsidR="0051439A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rodné číslo: 65</w:t>
      </w:r>
      <w:r w:rsidR="009006EE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="009006EE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,</w:t>
      </w:r>
    </w:p>
    <w:p w:rsidR="00225F11" w:rsidRDefault="00F90734" w:rsidP="00225F1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trvalý pobyt: </w:t>
      </w:r>
      <w:bookmarkStart w:id="0" w:name="_Hlk116282225"/>
      <w:bookmarkStart w:id="1" w:name="_Hlk123539923"/>
      <w:r w:rsidR="009006EE">
        <w:rPr>
          <w:rFonts w:ascii="Arial" w:hAnsi="Arial" w:cs="Arial"/>
          <w:sz w:val="22"/>
          <w:szCs w:val="22"/>
        </w:rPr>
        <w:t>XXXXXXX</w:t>
      </w:r>
      <w:r w:rsidR="005460E1">
        <w:rPr>
          <w:rFonts w:ascii="Arial" w:hAnsi="Arial" w:cs="Arial"/>
          <w:sz w:val="22"/>
          <w:szCs w:val="22"/>
        </w:rPr>
        <w:t xml:space="preserve"> </w:t>
      </w:r>
      <w:r w:rsidR="009006EE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, </w:t>
      </w:r>
      <w:r w:rsidR="009006EE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</w:t>
      </w:r>
      <w:r w:rsidR="009006EE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 </w:t>
      </w:r>
      <w:r w:rsidR="005460E1">
        <w:rPr>
          <w:rFonts w:ascii="Arial" w:hAnsi="Arial" w:cs="Arial"/>
          <w:sz w:val="22"/>
          <w:szCs w:val="22"/>
        </w:rPr>
        <w:t>Milotice</w:t>
      </w:r>
      <w:bookmarkEnd w:id="1"/>
      <w:r>
        <w:rPr>
          <w:rFonts w:ascii="Arial" w:hAnsi="Arial" w:cs="Arial"/>
          <w:sz w:val="22"/>
          <w:szCs w:val="22"/>
        </w:rPr>
        <w:t xml:space="preserve">, bydliště: </w:t>
      </w:r>
      <w:bookmarkEnd w:id="0"/>
      <w:r w:rsidR="009006EE">
        <w:rPr>
          <w:rFonts w:ascii="Arial" w:hAnsi="Arial" w:cs="Arial"/>
          <w:sz w:val="22"/>
          <w:szCs w:val="22"/>
        </w:rPr>
        <w:t>XXXXXXX XX, XXX XX Milotice</w:t>
      </w:r>
    </w:p>
    <w:p w:rsidR="00225F11" w:rsidRDefault="00F90734" w:rsidP="00225F1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Hana Mikésková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51439A" w:rsidRPr="0051439A">
        <w:rPr>
          <w:rFonts w:ascii="Arial" w:hAnsi="Arial" w:cs="Arial"/>
          <w:sz w:val="22"/>
          <w:szCs w:val="22"/>
        </w:rPr>
        <w:t xml:space="preserve">datum narození: </w:t>
      </w:r>
      <w:r w:rsidR="009006EE">
        <w:rPr>
          <w:rFonts w:ascii="Arial" w:hAnsi="Arial" w:cs="Arial"/>
          <w:sz w:val="22"/>
          <w:szCs w:val="22"/>
        </w:rPr>
        <w:t>XX</w:t>
      </w:r>
      <w:r w:rsidR="0051439A" w:rsidRPr="0051439A">
        <w:rPr>
          <w:rFonts w:ascii="Arial" w:hAnsi="Arial" w:cs="Arial"/>
          <w:sz w:val="22"/>
          <w:szCs w:val="22"/>
        </w:rPr>
        <w:t xml:space="preserve">. </w:t>
      </w:r>
      <w:r w:rsidR="009006EE">
        <w:rPr>
          <w:rFonts w:ascii="Arial" w:hAnsi="Arial" w:cs="Arial"/>
          <w:sz w:val="22"/>
          <w:szCs w:val="22"/>
        </w:rPr>
        <w:t>X</w:t>
      </w:r>
      <w:r w:rsidR="0051439A" w:rsidRPr="0051439A">
        <w:rPr>
          <w:rFonts w:ascii="Arial" w:hAnsi="Arial" w:cs="Arial"/>
          <w:sz w:val="22"/>
          <w:szCs w:val="22"/>
        </w:rPr>
        <w:t xml:space="preserve">. 1971, </w:t>
      </w:r>
      <w:r>
        <w:rPr>
          <w:rFonts w:ascii="Arial" w:hAnsi="Arial" w:cs="Arial"/>
          <w:sz w:val="22"/>
          <w:szCs w:val="22"/>
        </w:rPr>
        <w:t>rodné číslo: 71</w:t>
      </w:r>
      <w:r w:rsidR="009006EE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="009006EE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,</w:t>
      </w:r>
    </w:p>
    <w:p w:rsidR="009006EE" w:rsidRDefault="009006EE" w:rsidP="009006EE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trvalý pobyt: XXXXXXX XX, XXX XX Milotice, bydliště: XXXXXXX XX, XXX XX Milotice</w:t>
      </w:r>
    </w:p>
    <w:p w:rsidR="00225F11" w:rsidRDefault="00F90734" w:rsidP="009006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>“)</w:t>
      </w:r>
    </w:p>
    <w:p w:rsidR="00225F11" w:rsidRDefault="00225F11" w:rsidP="00225F11">
      <w:pPr>
        <w:pStyle w:val="adresa"/>
        <w:tabs>
          <w:tab w:val="left" w:pos="120"/>
        </w:tabs>
        <w:ind w:left="426" w:hanging="426"/>
        <w:rPr>
          <w:rFonts w:ascii="Arial" w:hAnsi="Arial" w:cs="Arial"/>
          <w:b/>
          <w:i/>
          <w:sz w:val="22"/>
          <w:szCs w:val="22"/>
        </w:rPr>
      </w:pPr>
    </w:p>
    <w:p w:rsidR="00225F11" w:rsidRDefault="00F90734" w:rsidP="00225F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§ 2079 a násl. zákona č. 89/2012 Sb., občanský zákoník, v platném znění (dále jen „zákon č. 89/2012 Sb.“),</w:t>
      </w:r>
      <w:r>
        <w:rPr>
          <w:rFonts w:ascii="Arial" w:hAnsi="Arial" w:cs="Arial"/>
          <w:sz w:val="22"/>
          <w:szCs w:val="22"/>
        </w:rPr>
        <w:t xml:space="preserve"> a podle zákona č. 219/2000 Sb., o majetku České republiky a jejím vystupování v právních vztazích, v platném znění (dále jen „zákon č. 219/2000 Sb.“), tuto</w:t>
      </w:r>
    </w:p>
    <w:p w:rsidR="00225F11" w:rsidRDefault="00F90734" w:rsidP="00225F11">
      <w:pPr>
        <w:pStyle w:val="para"/>
        <w:tabs>
          <w:tab w:val="clear" w:pos="709"/>
          <w:tab w:val="left" w:pos="1635"/>
        </w:tabs>
        <w:spacing w:before="360"/>
        <w:ind w:left="426" w:hanging="426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KUPNÍ SMLOUVU</w:t>
      </w:r>
    </w:p>
    <w:p w:rsidR="00225F11" w:rsidRDefault="00F90734" w:rsidP="000210A9">
      <w:pPr>
        <w:pStyle w:val="para"/>
        <w:tabs>
          <w:tab w:val="left" w:pos="3544"/>
          <w:tab w:val="left" w:pos="3969"/>
        </w:tabs>
        <w:spacing w:before="120"/>
        <w:ind w:left="425" w:hanging="425"/>
        <w:rPr>
          <w:rFonts w:ascii="Arial" w:hAnsi="Arial" w:cs="Arial"/>
          <w:spacing w:val="60"/>
          <w:szCs w:val="28"/>
        </w:rPr>
      </w:pPr>
      <w:r>
        <w:rPr>
          <w:rFonts w:ascii="Arial" w:hAnsi="Arial" w:cs="Arial"/>
          <w:spacing w:val="60"/>
          <w:szCs w:val="28"/>
        </w:rPr>
        <w:t>č. UZSVM/BHO/</w:t>
      </w:r>
      <w:r w:rsidR="003A0ED8" w:rsidRPr="003A0ED8">
        <w:rPr>
          <w:rFonts w:ascii="Arial" w:hAnsi="Arial" w:cs="Arial"/>
          <w:spacing w:val="60"/>
          <w:szCs w:val="28"/>
        </w:rPr>
        <w:t>8768</w:t>
      </w:r>
      <w:r w:rsidRPr="003A0ED8">
        <w:rPr>
          <w:rFonts w:ascii="Arial" w:hAnsi="Arial" w:cs="Arial"/>
          <w:spacing w:val="60"/>
          <w:szCs w:val="28"/>
        </w:rPr>
        <w:t>/</w:t>
      </w:r>
      <w:r>
        <w:rPr>
          <w:rFonts w:ascii="Arial" w:hAnsi="Arial" w:cs="Arial"/>
          <w:spacing w:val="60"/>
          <w:szCs w:val="28"/>
        </w:rPr>
        <w:t>2022-BHOM</w:t>
      </w:r>
    </w:p>
    <w:p w:rsidR="000210A9" w:rsidRDefault="000210A9" w:rsidP="00225F11">
      <w:pPr>
        <w:pStyle w:val="Nadpis1"/>
        <w:ind w:left="426" w:hanging="426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0210A9" w:rsidRDefault="000210A9" w:rsidP="00225F11">
      <w:pPr>
        <w:pStyle w:val="Nadpis1"/>
        <w:ind w:left="426" w:hanging="426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225F11" w:rsidRDefault="00F90734" w:rsidP="00225F11">
      <w:pPr>
        <w:pStyle w:val="Nadpis1"/>
        <w:ind w:left="426" w:hanging="426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:rsidR="00225F11" w:rsidRDefault="00225F11" w:rsidP="00225F11">
      <w:pPr>
        <w:ind w:left="426" w:hanging="426"/>
        <w:rPr>
          <w:sz w:val="16"/>
          <w:szCs w:val="16"/>
        </w:rPr>
      </w:pPr>
    </w:p>
    <w:p w:rsidR="00225F11" w:rsidRDefault="00F90734" w:rsidP="00225F11">
      <w:pPr>
        <w:pStyle w:val="Textvbloku"/>
        <w:numPr>
          <w:ilvl w:val="0"/>
          <w:numId w:val="1"/>
        </w:numPr>
        <w:ind w:left="284" w:right="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níže uvedené </w:t>
      </w:r>
      <w:r>
        <w:rPr>
          <w:rFonts w:ascii="Arial" w:hAnsi="Arial" w:cs="Arial"/>
          <w:sz w:val="22"/>
          <w:szCs w:val="22"/>
        </w:rPr>
        <w:t>nemovité věci:</w:t>
      </w:r>
    </w:p>
    <w:p w:rsidR="00225F11" w:rsidRDefault="00F90734" w:rsidP="00225F11">
      <w:pPr>
        <w:pStyle w:val="para"/>
        <w:tabs>
          <w:tab w:val="clear" w:pos="709"/>
          <w:tab w:val="center" w:pos="4536"/>
          <w:tab w:val="left" w:pos="5222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Pozemek:</w:t>
      </w:r>
    </w:p>
    <w:p w:rsidR="00426157" w:rsidRDefault="00F90734" w:rsidP="00426157">
      <w:pPr>
        <w:pStyle w:val="para"/>
        <w:tabs>
          <w:tab w:val="clear" w:pos="709"/>
          <w:tab w:val="center" w:pos="4536"/>
          <w:tab w:val="left" w:pos="5222"/>
        </w:tabs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   pozemková parcela číslo: 86/8, druh pozemku: zahrada, </w:t>
      </w:r>
      <w:r w:rsidR="00CB2EC0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způsob  ochrany:  zemědělský půdní</w:t>
      </w:r>
    </w:p>
    <w:p w:rsidR="00225F11" w:rsidRDefault="00F90734" w:rsidP="00426157">
      <w:pPr>
        <w:pStyle w:val="para"/>
        <w:tabs>
          <w:tab w:val="clear" w:pos="709"/>
          <w:tab w:val="center" w:pos="4536"/>
          <w:tab w:val="left" w:pos="5222"/>
        </w:tabs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   fond,                  </w:t>
      </w:r>
    </w:p>
    <w:p w:rsidR="00CB2EC0" w:rsidRDefault="00F90734" w:rsidP="000210A9">
      <w:pPr>
        <w:spacing w:before="120"/>
        <w:ind w:left="34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3444C">
        <w:rPr>
          <w:rFonts w:ascii="Arial" w:hAnsi="Arial" w:cs="Arial"/>
          <w:sz w:val="22"/>
          <w:szCs w:val="22"/>
        </w:rPr>
        <w:t xml:space="preserve">zapsaný na </w:t>
      </w:r>
      <w:r w:rsidR="00D9782F">
        <w:rPr>
          <w:rFonts w:ascii="Arial" w:hAnsi="Arial" w:cs="Arial"/>
          <w:sz w:val="22"/>
          <w:szCs w:val="22"/>
        </w:rPr>
        <w:t xml:space="preserve">  </w:t>
      </w:r>
      <w:r w:rsidR="00C3444C">
        <w:rPr>
          <w:rFonts w:ascii="Arial" w:hAnsi="Arial" w:cs="Arial"/>
          <w:sz w:val="22"/>
          <w:szCs w:val="22"/>
        </w:rPr>
        <w:t xml:space="preserve">listu </w:t>
      </w:r>
      <w:r w:rsidR="00D9782F">
        <w:rPr>
          <w:rFonts w:ascii="Arial" w:hAnsi="Arial" w:cs="Arial"/>
          <w:sz w:val="22"/>
          <w:szCs w:val="22"/>
        </w:rPr>
        <w:t xml:space="preserve">  </w:t>
      </w:r>
      <w:r w:rsidR="00C3444C">
        <w:rPr>
          <w:rFonts w:ascii="Arial" w:hAnsi="Arial" w:cs="Arial"/>
          <w:sz w:val="22"/>
          <w:szCs w:val="22"/>
        </w:rPr>
        <w:t>vlastnictví</w:t>
      </w:r>
      <w:r w:rsidR="00C3444C">
        <w:rPr>
          <w:rFonts w:ascii="Arial" w:hAnsi="Arial" w:cs="Arial"/>
          <w:b/>
          <w:bCs/>
          <w:sz w:val="22"/>
          <w:szCs w:val="22"/>
        </w:rPr>
        <w:t xml:space="preserve"> </w:t>
      </w:r>
      <w:r w:rsidR="00C3444C">
        <w:rPr>
          <w:rFonts w:ascii="Arial" w:hAnsi="Arial" w:cs="Arial"/>
          <w:sz w:val="22"/>
          <w:szCs w:val="22"/>
        </w:rPr>
        <w:t xml:space="preserve">č.  60000,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C3444C">
        <w:rPr>
          <w:rFonts w:ascii="Arial" w:hAnsi="Arial" w:cs="Arial"/>
          <w:sz w:val="22"/>
          <w:szCs w:val="22"/>
        </w:rPr>
        <w:t xml:space="preserve">pro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C3444C">
        <w:rPr>
          <w:rFonts w:ascii="Arial" w:hAnsi="Arial" w:cs="Arial"/>
          <w:sz w:val="22"/>
          <w:szCs w:val="22"/>
        </w:rPr>
        <w:t xml:space="preserve">kat. </w:t>
      </w:r>
      <w:r w:rsidR="00D9782F">
        <w:rPr>
          <w:rFonts w:ascii="Arial" w:hAnsi="Arial" w:cs="Arial"/>
          <w:sz w:val="22"/>
          <w:szCs w:val="22"/>
        </w:rPr>
        <w:t xml:space="preserve">  </w:t>
      </w:r>
      <w:r w:rsidR="00C3444C">
        <w:rPr>
          <w:rFonts w:ascii="Arial" w:hAnsi="Arial" w:cs="Arial"/>
          <w:sz w:val="22"/>
          <w:szCs w:val="22"/>
        </w:rPr>
        <w:t xml:space="preserve">území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426157">
        <w:rPr>
          <w:rFonts w:ascii="Arial" w:hAnsi="Arial" w:cs="Arial"/>
          <w:sz w:val="22"/>
          <w:szCs w:val="22"/>
        </w:rPr>
        <w:t xml:space="preserve">Milotice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426157">
        <w:rPr>
          <w:rFonts w:ascii="Arial" w:hAnsi="Arial" w:cs="Arial"/>
          <w:sz w:val="22"/>
          <w:szCs w:val="22"/>
        </w:rPr>
        <w:t xml:space="preserve">u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426157">
        <w:rPr>
          <w:rFonts w:ascii="Arial" w:hAnsi="Arial" w:cs="Arial"/>
          <w:sz w:val="22"/>
          <w:szCs w:val="22"/>
        </w:rPr>
        <w:t>Kyjova</w:t>
      </w:r>
      <w:r w:rsidR="00C3444C">
        <w:rPr>
          <w:rFonts w:ascii="Arial" w:hAnsi="Arial" w:cs="Arial"/>
          <w:sz w:val="22"/>
          <w:szCs w:val="22"/>
        </w:rPr>
        <w:t xml:space="preserve">,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C3444C">
        <w:rPr>
          <w:rFonts w:ascii="Arial" w:hAnsi="Arial" w:cs="Arial"/>
          <w:sz w:val="22"/>
          <w:szCs w:val="22"/>
        </w:rPr>
        <w:t xml:space="preserve">obec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426157">
        <w:rPr>
          <w:rFonts w:ascii="Arial" w:hAnsi="Arial" w:cs="Arial"/>
          <w:sz w:val="22"/>
          <w:szCs w:val="22"/>
        </w:rPr>
        <w:t>Milotice</w:t>
      </w:r>
      <w:r w:rsidR="00C344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CB2EC0" w:rsidRDefault="00F90734" w:rsidP="00CB2EC0">
      <w:pPr>
        <w:ind w:left="34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3444C">
        <w:rPr>
          <w:rFonts w:ascii="Arial" w:hAnsi="Arial" w:cs="Arial"/>
          <w:sz w:val="22"/>
          <w:szCs w:val="22"/>
        </w:rPr>
        <w:t>v 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C3444C">
        <w:rPr>
          <w:rFonts w:ascii="Arial" w:hAnsi="Arial" w:cs="Arial"/>
          <w:sz w:val="22"/>
          <w:szCs w:val="22"/>
        </w:rPr>
        <w:t xml:space="preserve">katastru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C3444C">
        <w:rPr>
          <w:rFonts w:ascii="Arial" w:hAnsi="Arial" w:cs="Arial"/>
          <w:sz w:val="22"/>
          <w:szCs w:val="22"/>
        </w:rPr>
        <w:t xml:space="preserve">nemovitostí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C3444C">
        <w:rPr>
          <w:rFonts w:ascii="Arial" w:hAnsi="Arial" w:cs="Arial"/>
          <w:sz w:val="22"/>
          <w:szCs w:val="22"/>
        </w:rPr>
        <w:t xml:space="preserve">vedeném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C3444C">
        <w:rPr>
          <w:rFonts w:ascii="Arial" w:hAnsi="Arial" w:cs="Arial"/>
          <w:sz w:val="22"/>
          <w:szCs w:val="22"/>
        </w:rPr>
        <w:t xml:space="preserve">Katastrálním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C3444C">
        <w:rPr>
          <w:rFonts w:ascii="Arial" w:hAnsi="Arial" w:cs="Arial"/>
          <w:sz w:val="22"/>
          <w:szCs w:val="22"/>
        </w:rPr>
        <w:t xml:space="preserve">úřadem </w:t>
      </w:r>
      <w:r w:rsidR="00D9782F">
        <w:rPr>
          <w:rFonts w:ascii="Arial" w:hAnsi="Arial" w:cs="Arial"/>
          <w:sz w:val="22"/>
          <w:szCs w:val="22"/>
        </w:rPr>
        <w:t xml:space="preserve"> </w:t>
      </w:r>
      <w:r w:rsidR="00C3444C">
        <w:rPr>
          <w:rFonts w:ascii="Arial" w:hAnsi="Arial" w:cs="Arial"/>
          <w:sz w:val="22"/>
          <w:szCs w:val="22"/>
        </w:rPr>
        <w:t>pro Jihomoravský kraj, Katastrálním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5F11" w:rsidRDefault="00F90734" w:rsidP="000210A9">
      <w:pPr>
        <w:ind w:left="34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3444C">
        <w:rPr>
          <w:rFonts w:ascii="Arial" w:hAnsi="Arial" w:cs="Arial"/>
          <w:sz w:val="22"/>
          <w:szCs w:val="22"/>
        </w:rPr>
        <w:t xml:space="preserve">pracovištěm </w:t>
      </w:r>
      <w:r w:rsidR="00426157">
        <w:rPr>
          <w:rFonts w:ascii="Arial" w:hAnsi="Arial" w:cs="Arial"/>
          <w:sz w:val="22"/>
          <w:szCs w:val="22"/>
        </w:rPr>
        <w:t>Kyjov</w:t>
      </w:r>
      <w:r w:rsidR="000210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</w:t>
      </w:r>
      <w:r w:rsidRPr="000210A9">
        <w:rPr>
          <w:rFonts w:ascii="Arial" w:hAnsi="Arial" w:cs="Arial"/>
          <w:b/>
          <w:sz w:val="22"/>
          <w:szCs w:val="22"/>
        </w:rPr>
        <w:t>převáděný majetek</w:t>
      </w:r>
      <w:r>
        <w:rPr>
          <w:rFonts w:ascii="Arial" w:hAnsi="Arial" w:cs="Arial"/>
          <w:sz w:val="22"/>
          <w:szCs w:val="22"/>
        </w:rPr>
        <w:t>“)</w:t>
      </w:r>
      <w:r w:rsidR="000210A9">
        <w:rPr>
          <w:rFonts w:ascii="Arial" w:hAnsi="Arial" w:cs="Arial"/>
          <w:sz w:val="22"/>
          <w:szCs w:val="22"/>
        </w:rPr>
        <w:t>.</w:t>
      </w:r>
    </w:p>
    <w:p w:rsidR="00225F11" w:rsidRDefault="00225F11" w:rsidP="00225F11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pStyle w:val="para"/>
        <w:numPr>
          <w:ilvl w:val="0"/>
          <w:numId w:val="2"/>
        </w:numPr>
        <w:tabs>
          <w:tab w:val="clear" w:pos="360"/>
          <w:tab w:val="clear" w:pos="709"/>
          <w:tab w:val="num" w:pos="426"/>
          <w:tab w:val="center" w:pos="4536"/>
          <w:tab w:val="left" w:pos="5222"/>
        </w:tabs>
        <w:ind w:left="284" w:hanging="284"/>
        <w:jc w:val="both"/>
        <w:rPr>
          <w:rFonts w:ascii="Arial" w:hAnsi="Arial" w:cs="Arial"/>
          <w:b w:val="0"/>
          <w:bCs/>
          <w:i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Úřad pro zastupování státu ve věcech majetkových je na základě Prohlášení o vzniku práva pří</w:t>
      </w:r>
      <w:r>
        <w:rPr>
          <w:rFonts w:ascii="Arial" w:hAnsi="Arial" w:cs="Arial"/>
          <w:b w:val="0"/>
          <w:sz w:val="22"/>
          <w:szCs w:val="22"/>
        </w:rPr>
        <w:t>slušnosti hospodařit s majetkem státu č. j. UZSVM/BHO/</w:t>
      </w:r>
      <w:r w:rsidR="00426157">
        <w:rPr>
          <w:rFonts w:ascii="Arial" w:hAnsi="Arial" w:cs="Arial"/>
          <w:b w:val="0"/>
          <w:sz w:val="22"/>
          <w:szCs w:val="22"/>
        </w:rPr>
        <w:t>4129</w:t>
      </w:r>
      <w:r>
        <w:rPr>
          <w:rFonts w:ascii="Arial" w:hAnsi="Arial" w:cs="Arial"/>
          <w:b w:val="0"/>
          <w:sz w:val="22"/>
          <w:szCs w:val="22"/>
        </w:rPr>
        <w:t>/</w:t>
      </w:r>
      <w:r w:rsidR="00426157">
        <w:rPr>
          <w:rFonts w:ascii="Arial" w:hAnsi="Arial" w:cs="Arial"/>
          <w:b w:val="0"/>
          <w:sz w:val="22"/>
          <w:szCs w:val="22"/>
        </w:rPr>
        <w:t>2016</w:t>
      </w:r>
      <w:r>
        <w:rPr>
          <w:rFonts w:ascii="Arial" w:hAnsi="Arial" w:cs="Arial"/>
          <w:b w:val="0"/>
          <w:sz w:val="22"/>
          <w:szCs w:val="22"/>
        </w:rPr>
        <w:t xml:space="preserve">-BHOM ze dne </w:t>
      </w:r>
      <w:r>
        <w:rPr>
          <w:rFonts w:ascii="Arial" w:hAnsi="Arial" w:cs="Arial"/>
          <w:b w:val="0"/>
          <w:sz w:val="22"/>
          <w:szCs w:val="22"/>
        </w:rPr>
        <w:br/>
      </w:r>
      <w:r w:rsidR="00426157">
        <w:rPr>
          <w:rFonts w:ascii="Arial" w:hAnsi="Arial" w:cs="Arial"/>
          <w:b w:val="0"/>
          <w:sz w:val="22"/>
          <w:szCs w:val="22"/>
        </w:rPr>
        <w:t>21. 4. 2016</w:t>
      </w:r>
      <w:r>
        <w:rPr>
          <w:rFonts w:ascii="Arial" w:hAnsi="Arial" w:cs="Arial"/>
          <w:b w:val="0"/>
          <w:sz w:val="22"/>
          <w:szCs w:val="22"/>
        </w:rPr>
        <w:t>, právní účinky zápisu k</w:t>
      </w:r>
      <w:r w:rsidR="0051439A">
        <w:rPr>
          <w:rFonts w:ascii="Arial" w:hAnsi="Arial" w:cs="Arial"/>
          <w:b w:val="0"/>
          <w:sz w:val="22"/>
          <w:szCs w:val="22"/>
        </w:rPr>
        <w:t>e dni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426157">
        <w:rPr>
          <w:rFonts w:ascii="Arial" w:hAnsi="Arial" w:cs="Arial"/>
          <w:b w:val="0"/>
          <w:sz w:val="22"/>
          <w:szCs w:val="22"/>
        </w:rPr>
        <w:t>21</w:t>
      </w:r>
      <w:r>
        <w:rPr>
          <w:rFonts w:ascii="Arial" w:hAnsi="Arial" w:cs="Arial"/>
          <w:b w:val="0"/>
          <w:sz w:val="22"/>
          <w:szCs w:val="22"/>
        </w:rPr>
        <w:t>. 0</w:t>
      </w:r>
      <w:r w:rsidR="00426157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>. 20</w:t>
      </w:r>
      <w:r w:rsidR="00426157">
        <w:rPr>
          <w:rFonts w:ascii="Arial" w:hAnsi="Arial" w:cs="Arial"/>
          <w:b w:val="0"/>
          <w:sz w:val="22"/>
          <w:szCs w:val="22"/>
        </w:rPr>
        <w:t>16</w:t>
      </w:r>
      <w:r>
        <w:rPr>
          <w:rFonts w:ascii="Arial" w:hAnsi="Arial" w:cs="Arial"/>
          <w:b w:val="0"/>
          <w:sz w:val="22"/>
          <w:szCs w:val="22"/>
        </w:rPr>
        <w:t xml:space="preserve">, příslušný hospodařit s převáděným majetkem, a to ve smyslu </w:t>
      </w:r>
      <w:r>
        <w:rPr>
          <w:rFonts w:ascii="Arial" w:hAnsi="Arial" w:cs="Arial"/>
          <w:b w:val="0"/>
          <w:szCs w:val="22"/>
        </w:rPr>
        <w:t>§ </w:t>
      </w:r>
      <w:r w:rsidR="007675F0">
        <w:rPr>
          <w:rFonts w:ascii="Arial" w:hAnsi="Arial" w:cs="Arial"/>
          <w:b w:val="0"/>
          <w:iCs/>
          <w:sz w:val="22"/>
        </w:rPr>
        <w:t xml:space="preserve">9 </w:t>
      </w:r>
      <w:r>
        <w:rPr>
          <w:rFonts w:ascii="Arial" w:hAnsi="Arial" w:cs="Arial"/>
          <w:b w:val="0"/>
          <w:sz w:val="22"/>
          <w:szCs w:val="22"/>
        </w:rPr>
        <w:t xml:space="preserve">zákona č. 219/2000 Sb. </w:t>
      </w:r>
    </w:p>
    <w:p w:rsidR="00225F11" w:rsidRDefault="00225F11" w:rsidP="00225F11">
      <w:pPr>
        <w:pStyle w:val="Textvbloku"/>
        <w:ind w:left="0" w:right="0"/>
        <w:rPr>
          <w:rFonts w:ascii="Arial" w:hAnsi="Arial" w:cs="Arial"/>
          <w:b/>
          <w:sz w:val="22"/>
          <w:szCs w:val="22"/>
        </w:rPr>
      </w:pPr>
    </w:p>
    <w:p w:rsidR="00225F11" w:rsidRDefault="00F90734" w:rsidP="00225F11">
      <w:pPr>
        <w:pStyle w:val="Textvbloku"/>
        <w:ind w:left="0" w:righ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:rsidR="00225F11" w:rsidRDefault="00225F11" w:rsidP="00225F11">
      <w:pPr>
        <w:pStyle w:val="Zkladntext"/>
        <w:rPr>
          <w:rFonts w:ascii="Arial" w:hAnsi="Arial" w:cs="Arial"/>
          <w:sz w:val="16"/>
          <w:szCs w:val="16"/>
        </w:rPr>
      </w:pPr>
    </w:p>
    <w:p w:rsidR="00225F11" w:rsidRDefault="00F90734" w:rsidP="00225F11">
      <w:pPr>
        <w:pStyle w:val="Textvbloku"/>
        <w:numPr>
          <w:ilvl w:val="0"/>
          <w:numId w:val="3"/>
        </w:numPr>
        <w:ind w:left="284" w:right="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převádí touto smlouvou kupujícím vlastnické právo k převáděnému majetku  </w:t>
      </w:r>
      <w:r>
        <w:rPr>
          <w:rFonts w:ascii="Arial" w:hAnsi="Arial" w:cs="Arial"/>
          <w:sz w:val="22"/>
          <w:szCs w:val="22"/>
        </w:rPr>
        <w:br/>
      </w:r>
      <w:r w:rsidR="002F5641">
        <w:rPr>
          <w:rFonts w:ascii="Arial" w:hAnsi="Arial" w:cs="Arial"/>
          <w:sz w:val="22"/>
          <w:szCs w:val="22"/>
        </w:rPr>
        <w:t xml:space="preserve">se </w:t>
      </w:r>
      <w:r w:rsidR="000210A9" w:rsidRPr="00DE21A0">
        <w:rPr>
          <w:rFonts w:ascii="Arial" w:hAnsi="Arial" w:cs="Arial"/>
          <w:sz w:val="22"/>
          <w:szCs w:val="22"/>
        </w:rPr>
        <w:t xml:space="preserve">všemi součástmi </w:t>
      </w:r>
      <w:r w:rsidR="000210A9">
        <w:rPr>
          <w:rFonts w:ascii="Arial" w:hAnsi="Arial" w:cs="Arial"/>
          <w:sz w:val="22"/>
          <w:szCs w:val="22"/>
        </w:rPr>
        <w:t>(trvalé porosty</w:t>
      </w:r>
      <w:r w:rsidR="0051439A">
        <w:rPr>
          <w:rFonts w:ascii="Arial" w:hAnsi="Arial" w:cs="Arial"/>
          <w:sz w:val="22"/>
          <w:szCs w:val="22"/>
        </w:rPr>
        <w:t xml:space="preserve">, </w:t>
      </w:r>
      <w:r w:rsidR="0051439A" w:rsidRPr="0051439A">
        <w:rPr>
          <w:rFonts w:ascii="Arial" w:hAnsi="Arial" w:cs="Arial"/>
          <w:sz w:val="22"/>
          <w:szCs w:val="22"/>
        </w:rPr>
        <w:t>zpevněná plocha</w:t>
      </w:r>
      <w:r w:rsidR="000210A9">
        <w:rPr>
          <w:rFonts w:ascii="Arial" w:hAnsi="Arial" w:cs="Arial"/>
          <w:sz w:val="22"/>
          <w:szCs w:val="22"/>
        </w:rPr>
        <w:t xml:space="preserve">) </w:t>
      </w:r>
      <w:r w:rsidR="000210A9" w:rsidRPr="00DE21A0">
        <w:rPr>
          <w:rFonts w:ascii="Arial" w:hAnsi="Arial" w:cs="Arial"/>
          <w:sz w:val="22"/>
          <w:szCs w:val="22"/>
        </w:rPr>
        <w:t>a s</w:t>
      </w:r>
      <w:r w:rsidR="000210A9">
        <w:rPr>
          <w:rFonts w:ascii="Arial" w:hAnsi="Arial" w:cs="Arial"/>
          <w:sz w:val="22"/>
          <w:szCs w:val="22"/>
        </w:rPr>
        <w:t> </w:t>
      </w:r>
      <w:r w:rsidR="000210A9" w:rsidRPr="00DE21A0">
        <w:rPr>
          <w:rFonts w:ascii="Arial" w:hAnsi="Arial" w:cs="Arial"/>
          <w:sz w:val="22"/>
          <w:szCs w:val="22"/>
        </w:rPr>
        <w:t>příslušenstvím</w:t>
      </w:r>
      <w:r w:rsidR="000210A9">
        <w:rPr>
          <w:rFonts w:ascii="Arial" w:hAnsi="Arial" w:cs="Arial"/>
          <w:sz w:val="22"/>
          <w:szCs w:val="22"/>
        </w:rPr>
        <w:t xml:space="preserve"> </w:t>
      </w:r>
      <w:r w:rsidR="0051439A">
        <w:rPr>
          <w:rFonts w:ascii="Arial" w:hAnsi="Arial" w:cs="Arial"/>
          <w:sz w:val="22"/>
          <w:szCs w:val="22"/>
        </w:rPr>
        <w:t>(</w:t>
      </w:r>
      <w:r w:rsidR="000210A9">
        <w:rPr>
          <w:rFonts w:ascii="Arial" w:hAnsi="Arial" w:cs="Arial"/>
          <w:sz w:val="22"/>
          <w:szCs w:val="22"/>
        </w:rPr>
        <w:t xml:space="preserve">zídka, plot), </w:t>
      </w:r>
      <w:r>
        <w:rPr>
          <w:rFonts w:ascii="Arial" w:hAnsi="Arial" w:cs="Arial"/>
          <w:sz w:val="22"/>
          <w:szCs w:val="22"/>
        </w:rPr>
        <w:t>právy a povinnostmi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 to za kupní cenu, stanovenou v Čl. II. odst. 2. této smlouvy</w:t>
      </w:r>
      <w:r>
        <w:rPr>
          <w:rFonts w:ascii="Arial" w:hAnsi="Arial" w:cs="Arial"/>
          <w:sz w:val="22"/>
          <w:szCs w:val="22"/>
        </w:rPr>
        <w:t xml:space="preserve">. Kupující toto právo za kupní cenu uvedenou v Čl. II. odst. 2. této smlouvy přijímají </w:t>
      </w:r>
      <w:r>
        <w:rPr>
          <w:rFonts w:ascii="Arial" w:hAnsi="Arial" w:cs="Arial"/>
          <w:sz w:val="22"/>
          <w:szCs w:val="22"/>
        </w:rPr>
        <w:br/>
        <w:t xml:space="preserve">do společného jmění manželů. </w:t>
      </w:r>
    </w:p>
    <w:p w:rsidR="009C21CB" w:rsidRDefault="009C21CB" w:rsidP="009C21CB">
      <w:pPr>
        <w:pStyle w:val="Textvbloku"/>
        <w:ind w:left="284" w:right="0"/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pStyle w:val="Zkladntext"/>
        <w:numPr>
          <w:ilvl w:val="0"/>
          <w:numId w:val="3"/>
        </w:numPr>
        <w:ind w:left="284" w:hanging="28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Kupní cena za převáděný majetek ve smyslu odst. 1. tohoto článku, činí </w:t>
      </w:r>
      <w:r w:rsidR="00426157">
        <w:rPr>
          <w:rFonts w:ascii="Arial" w:hAnsi="Arial" w:cs="Arial"/>
          <w:b w:val="0"/>
          <w:sz w:val="22"/>
          <w:szCs w:val="22"/>
        </w:rPr>
        <w:t>62 900</w:t>
      </w:r>
      <w:r>
        <w:rPr>
          <w:rFonts w:ascii="Arial" w:hAnsi="Arial" w:cs="Arial"/>
          <w:b w:val="0"/>
          <w:sz w:val="22"/>
          <w:szCs w:val="22"/>
        </w:rPr>
        <w:t xml:space="preserve">,00 Kč </w:t>
      </w:r>
      <w:r w:rsidR="0051439A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(slovy: </w:t>
      </w:r>
      <w:r w:rsidR="00426157">
        <w:rPr>
          <w:rFonts w:ascii="Arial" w:hAnsi="Arial" w:cs="Arial"/>
          <w:b w:val="0"/>
          <w:sz w:val="22"/>
          <w:szCs w:val="22"/>
        </w:rPr>
        <w:t>šedesátdvatisíc</w:t>
      </w:r>
      <w:r w:rsidR="0051439A">
        <w:rPr>
          <w:rFonts w:ascii="Arial" w:hAnsi="Arial" w:cs="Arial"/>
          <w:b w:val="0"/>
          <w:sz w:val="22"/>
          <w:szCs w:val="22"/>
        </w:rPr>
        <w:t>e</w:t>
      </w:r>
      <w:r w:rsidR="00426157">
        <w:rPr>
          <w:rFonts w:ascii="Arial" w:hAnsi="Arial" w:cs="Arial"/>
          <w:b w:val="0"/>
          <w:sz w:val="22"/>
          <w:szCs w:val="22"/>
        </w:rPr>
        <w:t xml:space="preserve">devětset </w:t>
      </w:r>
      <w:r>
        <w:rPr>
          <w:rFonts w:ascii="Arial" w:hAnsi="Arial" w:cs="Arial"/>
          <w:b w:val="0"/>
          <w:sz w:val="22"/>
          <w:szCs w:val="22"/>
        </w:rPr>
        <w:t>korun českých).</w:t>
      </w:r>
    </w:p>
    <w:p w:rsidR="00225F11" w:rsidRDefault="00F90734" w:rsidP="00225F11">
      <w:pPr>
        <w:pStyle w:val="Nadpis1"/>
        <w:ind w:left="426" w:hanging="426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>Čl.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t xml:space="preserve"> III.</w:t>
      </w:r>
    </w:p>
    <w:p w:rsidR="00225F11" w:rsidRDefault="00225F11" w:rsidP="00225F11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225F11" w:rsidRDefault="00F90734" w:rsidP="00225F11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Kupující </w:t>
      </w:r>
      <w:r w:rsidR="0051439A">
        <w:rPr>
          <w:rFonts w:ascii="Arial" w:hAnsi="Arial" w:cs="Arial"/>
          <w:sz w:val="22"/>
          <w:szCs w:val="22"/>
        </w:rPr>
        <w:t>se zavazují</w:t>
      </w:r>
      <w:r>
        <w:rPr>
          <w:rFonts w:ascii="Arial" w:hAnsi="Arial" w:cs="Arial"/>
          <w:sz w:val="22"/>
          <w:szCs w:val="22"/>
        </w:rPr>
        <w:t xml:space="preserve"> zaplatit kupní cenu dle Čl. II. odst. 2., rukou společnou a nerozdílnou </w:t>
      </w:r>
      <w:r w:rsidR="00DC71F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účet prodávajícího, vedený u České národní banky se sídlem v Praze, číslo účtu číslo účtu </w:t>
      </w:r>
      <w:r>
        <w:rPr>
          <w:rFonts w:ascii="Arial" w:hAnsi="Arial" w:cs="Arial"/>
          <w:sz w:val="22"/>
          <w:szCs w:val="22"/>
        </w:rPr>
        <w:br/>
        <w:t xml:space="preserve">19-45423621/0710, variabilní symbol </w:t>
      </w:r>
      <w:r w:rsidRPr="00F21E17">
        <w:rPr>
          <w:rFonts w:ascii="Arial" w:hAnsi="Arial" w:cs="Arial"/>
          <w:sz w:val="22"/>
          <w:szCs w:val="22"/>
        </w:rPr>
        <w:t>6062200</w:t>
      </w:r>
      <w:r w:rsidR="00F21E17" w:rsidRPr="00F21E17">
        <w:rPr>
          <w:rFonts w:ascii="Arial" w:hAnsi="Arial" w:cs="Arial"/>
          <w:sz w:val="22"/>
          <w:szCs w:val="22"/>
        </w:rPr>
        <w:t>600</w:t>
      </w:r>
      <w:r w:rsidRPr="00F21E1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do třiceti dnů ode dne doručení výzvy k zaplacení kupní ceny. </w:t>
      </w:r>
    </w:p>
    <w:p w:rsidR="00225F11" w:rsidRDefault="00225F11" w:rsidP="00225F11">
      <w:pPr>
        <w:pStyle w:val="Odstavecseseznamem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b/>
          <w:i/>
          <w:sz w:val="20"/>
          <w:szCs w:val="20"/>
          <w:u w:val="single"/>
        </w:rPr>
      </w:pPr>
    </w:p>
    <w:p w:rsidR="00225F11" w:rsidRDefault="00F90734" w:rsidP="00225F11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Nezaplatí-li kupující celou kupní cenu ve lhůtě, stanovené touto smlouvou, jsou kupující povinni zaplatit smluvní pokutu ve výši 0,2</w:t>
      </w:r>
      <w:r w:rsidR="002F56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 z kupní ceny za každý den prodlení.</w:t>
      </w:r>
    </w:p>
    <w:p w:rsidR="00225F11" w:rsidRDefault="00225F11" w:rsidP="00225F11">
      <w:pPr>
        <w:pStyle w:val="Odstavecseseznamem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</w:t>
      </w:r>
      <w:r>
        <w:rPr>
          <w:rFonts w:ascii="Arial" w:hAnsi="Arial" w:cs="Arial"/>
          <w:sz w:val="22"/>
          <w:szCs w:val="22"/>
        </w:rPr>
        <w:t>lení s úhradou kupní ceny jsou kupující povinni uhradit kromě smluvní pokuty, dle předchozího odstavce, i úroky z prodlení dle platné právní úpravy.</w:t>
      </w:r>
    </w:p>
    <w:p w:rsidR="00225F11" w:rsidRDefault="00225F11" w:rsidP="00225F11">
      <w:pPr>
        <w:ind w:left="284" w:hanging="284"/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Pokuta podle odst. 2. je splatná do patnácti dnů ode dne doručení výzvy </w:t>
      </w:r>
      <w:r>
        <w:rPr>
          <w:rFonts w:ascii="Arial" w:hAnsi="Arial" w:cs="Arial"/>
          <w:sz w:val="22"/>
          <w:szCs w:val="22"/>
        </w:rPr>
        <w:br/>
        <w:t>k jejímu zaplacení na účet prodáv</w:t>
      </w:r>
      <w:r>
        <w:rPr>
          <w:rFonts w:ascii="Arial" w:hAnsi="Arial" w:cs="Arial"/>
          <w:sz w:val="22"/>
          <w:szCs w:val="22"/>
        </w:rPr>
        <w:t xml:space="preserve">ajícího č. 19-45423621/0710. </w:t>
      </w:r>
    </w:p>
    <w:p w:rsidR="00225F11" w:rsidRDefault="00225F11" w:rsidP="00225F11">
      <w:pPr>
        <w:pStyle w:val="Odstavecseseznamem"/>
        <w:ind w:left="284" w:hanging="284"/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této smlouvy se kupní cena, smluvní pokuta, úroky z prodlení a případné jiné platby, považují za zaplacené okamžikem připsání celé hrazené částky na účet prodávajícího.</w:t>
      </w:r>
    </w:p>
    <w:p w:rsidR="00225F11" w:rsidRDefault="00225F11" w:rsidP="00225F11">
      <w:pPr>
        <w:pStyle w:val="Odstavecseseznamem"/>
        <w:ind w:left="426" w:hanging="426"/>
        <w:rPr>
          <w:rFonts w:ascii="Arial" w:hAnsi="Arial" w:cs="Arial"/>
          <w:b/>
          <w:sz w:val="22"/>
          <w:szCs w:val="22"/>
        </w:rPr>
      </w:pPr>
    </w:p>
    <w:p w:rsidR="00225F11" w:rsidRDefault="00F90734" w:rsidP="00225F11">
      <w:pPr>
        <w:pStyle w:val="Nadpis1"/>
        <w:ind w:left="426" w:hanging="426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:rsidR="00225F11" w:rsidRDefault="00225F11" w:rsidP="00225F11">
      <w:pPr>
        <w:ind w:left="426" w:hanging="426"/>
        <w:rPr>
          <w:sz w:val="16"/>
          <w:szCs w:val="16"/>
        </w:rPr>
      </w:pPr>
    </w:p>
    <w:p w:rsidR="00225F11" w:rsidRDefault="00F90734" w:rsidP="00225F11">
      <w:pPr>
        <w:pStyle w:val="para"/>
        <w:numPr>
          <w:ilvl w:val="3"/>
          <w:numId w:val="2"/>
        </w:numPr>
        <w:ind w:left="284" w:hanging="284"/>
        <w:jc w:val="both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 xml:space="preserve">Kupující berou na vědomí, že </w:t>
      </w:r>
      <w:r>
        <w:rPr>
          <w:rFonts w:ascii="Arial" w:hAnsi="Arial" w:cs="Arial"/>
          <w:b w:val="0"/>
          <w:bCs/>
          <w:sz w:val="22"/>
        </w:rPr>
        <w:t>převáděný majetek může být dotčen, se všemi souvisejícími dopady, vedením inženýrských sítí, kdy v případě pochybností ohledně uložení inženýrských sítí poskytnou kupujícím bližší informace jednotliví (v úvahu přicházející) správci inženýrských sítí.</w:t>
      </w:r>
    </w:p>
    <w:p w:rsidR="00225F11" w:rsidRDefault="00225F11" w:rsidP="00225F11">
      <w:pPr>
        <w:pStyle w:val="para"/>
        <w:ind w:left="284"/>
        <w:jc w:val="both"/>
        <w:rPr>
          <w:rFonts w:ascii="Arial" w:hAnsi="Arial" w:cs="Arial"/>
          <w:b w:val="0"/>
          <w:bCs/>
          <w:sz w:val="22"/>
        </w:rPr>
      </w:pPr>
    </w:p>
    <w:p w:rsidR="00225F11" w:rsidRDefault="00F90734" w:rsidP="00225F11">
      <w:pPr>
        <w:pStyle w:val="para"/>
        <w:numPr>
          <w:ilvl w:val="3"/>
          <w:numId w:val="2"/>
        </w:numPr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bCs/>
          <w:sz w:val="22"/>
        </w:rPr>
        <w:t>Prod</w:t>
      </w:r>
      <w:r>
        <w:rPr>
          <w:rFonts w:ascii="Arial" w:hAnsi="Arial" w:cs="Arial"/>
          <w:b w:val="0"/>
          <w:bCs/>
          <w:sz w:val="22"/>
        </w:rPr>
        <w:t>ávající prohlašuje, že mu není známo, že by na převáděném majetku vázla nějaká další omezení, závazky či právní vady.</w:t>
      </w:r>
    </w:p>
    <w:p w:rsidR="00225F11" w:rsidRDefault="00225F11" w:rsidP="00225F11">
      <w:pPr>
        <w:pStyle w:val="Nadpis1"/>
        <w:ind w:left="284" w:hanging="284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225F11" w:rsidRDefault="00F90734" w:rsidP="00225F11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Kupující se dále v souladu s ustanovením § 1916 odst. 2 zákona č. 89/2012 Sb. vzdávají svého práva z vadného plnění a zavazují se, že</w:t>
      </w:r>
      <w:r>
        <w:rPr>
          <w:rFonts w:ascii="Arial" w:hAnsi="Arial" w:cs="Arial"/>
          <w:bCs/>
          <w:sz w:val="22"/>
          <w:szCs w:val="22"/>
        </w:rPr>
        <w:t xml:space="preserve"> nebudou po prodávajícím uplatňovat jakákoliv práva z vad převáděného majetku.</w:t>
      </w:r>
    </w:p>
    <w:p w:rsidR="00225F11" w:rsidRDefault="00225F11" w:rsidP="00225F11">
      <w:pPr>
        <w:pStyle w:val="Odstavecseseznamem"/>
        <w:ind w:left="425"/>
        <w:jc w:val="both"/>
        <w:rPr>
          <w:rFonts w:ascii="Arial" w:hAnsi="Arial" w:cs="Arial"/>
          <w:sz w:val="16"/>
          <w:szCs w:val="16"/>
        </w:rPr>
      </w:pPr>
    </w:p>
    <w:p w:rsidR="00225F11" w:rsidRDefault="00F90734" w:rsidP="00225F11">
      <w:pPr>
        <w:pStyle w:val="Nadpis1"/>
        <w:ind w:left="426" w:hanging="426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V.</w:t>
      </w:r>
    </w:p>
    <w:p w:rsidR="00225F11" w:rsidRDefault="00225F11" w:rsidP="00225F11">
      <w:pPr>
        <w:rPr>
          <w:sz w:val="16"/>
          <w:szCs w:val="16"/>
        </w:rPr>
      </w:pPr>
    </w:p>
    <w:p w:rsidR="00225F11" w:rsidRDefault="00F90734" w:rsidP="00225F1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prohlašují, že je jim současný stav převáděného majetku dobře znám. Kupující rovněž prohlašují, že nemají vůči prodávajícímu žádný dluh, jehož plnění je vynuti</w:t>
      </w:r>
      <w:r>
        <w:rPr>
          <w:rFonts w:ascii="Arial" w:hAnsi="Arial" w:cs="Arial"/>
          <w:sz w:val="22"/>
          <w:szCs w:val="22"/>
        </w:rPr>
        <w:t xml:space="preserve">telné </w:t>
      </w:r>
      <w:r w:rsidR="00DC71F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základě vykonatelného exekučního titulu podle § 40 zákona č. 120/2001 Sb., o soudních exekutorech a exekuční činnosti (exekuční řád), ve znění pozdějších předpisů, a že jsou schopni dodržet své závazky vyplývající z této smlouvy, zejména zaplatit</w:t>
      </w:r>
      <w:r>
        <w:rPr>
          <w:rFonts w:ascii="Arial" w:hAnsi="Arial" w:cs="Arial"/>
          <w:sz w:val="22"/>
          <w:szCs w:val="22"/>
        </w:rPr>
        <w:t xml:space="preserve"> včas a řádně kupní cenu.</w:t>
      </w:r>
    </w:p>
    <w:p w:rsidR="00225F11" w:rsidRDefault="00225F11" w:rsidP="00225F1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B4AD5" w:rsidRPr="00624AFC" w:rsidRDefault="00F90734" w:rsidP="00EB4AD5">
      <w:pPr>
        <w:pStyle w:val="Odstavecseseznamem"/>
        <w:numPr>
          <w:ilvl w:val="3"/>
          <w:numId w:val="2"/>
        </w:numPr>
        <w:tabs>
          <w:tab w:val="clear" w:pos="2880"/>
        </w:tabs>
        <w:autoSpaceDE w:val="0"/>
        <w:autoSpaceDN w:val="0"/>
        <w:adjustRightInd w:val="0"/>
        <w:ind w:left="289" w:hanging="357"/>
        <w:jc w:val="both"/>
      </w:pPr>
      <w:r w:rsidRPr="00FE1E6A">
        <w:rPr>
          <w:rFonts w:ascii="Arial" w:hAnsi="Arial" w:cs="Arial"/>
          <w:bCs/>
          <w:iCs/>
          <w:sz w:val="22"/>
          <w:szCs w:val="22"/>
        </w:rPr>
        <w:t>Kupující užíva</w:t>
      </w:r>
      <w:r>
        <w:rPr>
          <w:rFonts w:ascii="Arial" w:hAnsi="Arial" w:cs="Arial"/>
          <w:bCs/>
          <w:iCs/>
          <w:sz w:val="22"/>
          <w:szCs w:val="22"/>
        </w:rPr>
        <w:t>jí</w:t>
      </w:r>
      <w:r w:rsidRPr="00FE1E6A">
        <w:rPr>
          <w:rFonts w:ascii="Arial" w:hAnsi="Arial" w:cs="Arial"/>
          <w:bCs/>
          <w:iCs/>
          <w:sz w:val="22"/>
          <w:szCs w:val="22"/>
        </w:rPr>
        <w:t xml:space="preserve"> ke dni uzavření této smlouvy převáděný majetek na základě Smlouvy o nájmu nemovité věci č. j. UZSVM/BHO/</w:t>
      </w:r>
      <w:r w:rsidR="00D80227">
        <w:rPr>
          <w:rFonts w:ascii="Arial" w:hAnsi="Arial" w:cs="Arial"/>
          <w:bCs/>
          <w:iCs/>
          <w:sz w:val="22"/>
          <w:szCs w:val="22"/>
        </w:rPr>
        <w:t>3059</w:t>
      </w:r>
      <w:r w:rsidRPr="00FE1E6A">
        <w:rPr>
          <w:rFonts w:ascii="Arial" w:hAnsi="Arial" w:cs="Arial"/>
          <w:bCs/>
          <w:iCs/>
          <w:sz w:val="22"/>
          <w:szCs w:val="22"/>
        </w:rPr>
        <w:t>/</w:t>
      </w:r>
      <w:r w:rsidR="00D80227">
        <w:rPr>
          <w:rFonts w:ascii="Arial" w:hAnsi="Arial" w:cs="Arial"/>
          <w:bCs/>
          <w:iCs/>
          <w:sz w:val="22"/>
          <w:szCs w:val="22"/>
        </w:rPr>
        <w:t>2019</w:t>
      </w:r>
      <w:r w:rsidRPr="00FE1E6A">
        <w:rPr>
          <w:rFonts w:ascii="Arial" w:hAnsi="Arial" w:cs="Arial"/>
          <w:bCs/>
          <w:iCs/>
          <w:sz w:val="22"/>
          <w:szCs w:val="22"/>
        </w:rPr>
        <w:t>-BHOM.  Smluvní strany konstatují</w:t>
      </w:r>
      <w:r w:rsidRPr="00624AFC">
        <w:rPr>
          <w:rFonts w:ascii="Arial" w:hAnsi="Arial" w:cs="Arial"/>
          <w:bCs/>
          <w:iCs/>
          <w:sz w:val="22"/>
          <w:szCs w:val="22"/>
        </w:rPr>
        <w:t xml:space="preserve">, že smluvní vztah, založený výše uvedenou smlouvou, končí dnem, </w:t>
      </w:r>
      <w:r w:rsidRPr="00624AFC">
        <w:rPr>
          <w:rFonts w:ascii="Arial" w:hAnsi="Arial" w:cs="Arial"/>
          <w:bCs/>
          <w:iCs/>
          <w:sz w:val="22"/>
          <w:szCs w:val="22"/>
        </w:rPr>
        <w:t>předcházejícím dni právních účinků zápisu vlastnického práva dle této smlouvy do katastru nemovitostí.</w:t>
      </w:r>
    </w:p>
    <w:p w:rsidR="00225F11" w:rsidRDefault="00225F11" w:rsidP="00225F11">
      <w:pPr>
        <w:pStyle w:val="Odstavecseseznamem"/>
        <w:rPr>
          <w:rFonts w:ascii="Arial" w:hAnsi="Arial" w:cs="Arial"/>
          <w:bCs/>
          <w:iCs/>
          <w:sz w:val="22"/>
          <w:szCs w:val="22"/>
        </w:rPr>
      </w:pPr>
    </w:p>
    <w:p w:rsidR="00225F11" w:rsidRDefault="00F90734" w:rsidP="00225F11">
      <w:pPr>
        <w:pStyle w:val="Nadpis1"/>
        <w:ind w:left="426" w:hanging="426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VI.</w:t>
      </w:r>
    </w:p>
    <w:p w:rsidR="00225F11" w:rsidRDefault="00225F11" w:rsidP="00225F11">
      <w:pPr>
        <w:ind w:left="426" w:hanging="426"/>
        <w:rPr>
          <w:sz w:val="16"/>
          <w:szCs w:val="16"/>
        </w:rPr>
      </w:pPr>
    </w:p>
    <w:p w:rsidR="00225F11" w:rsidRDefault="00F90734" w:rsidP="00225F11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29456A">
        <w:rPr>
          <w:rFonts w:ascii="Arial" w:hAnsi="Arial" w:cs="Arial"/>
          <w:b w:val="0"/>
          <w:sz w:val="22"/>
          <w:szCs w:val="22"/>
        </w:rPr>
        <w:t>Kupující jsou povinni bezodkladně písemně oznámit prodávajícímu veškeré skutečnosti, které mají nebo by mohly mít vliv na převod vlastnického p</w:t>
      </w:r>
      <w:r w:rsidRPr="0029456A">
        <w:rPr>
          <w:rFonts w:ascii="Arial" w:hAnsi="Arial" w:cs="Arial"/>
          <w:b w:val="0"/>
          <w:sz w:val="22"/>
          <w:szCs w:val="22"/>
        </w:rPr>
        <w:t xml:space="preserve">ráva k převáděnému majetku podle této smlouvy, zejména pak skutečnosti, které se dotýkají povinnosti zaplacení kupní ceny. </w:t>
      </w:r>
      <w:r w:rsidRPr="0029456A">
        <w:rPr>
          <w:rFonts w:ascii="Arial" w:hAnsi="Arial" w:cs="Arial"/>
          <w:b w:val="0"/>
          <w:sz w:val="22"/>
          <w:szCs w:val="22"/>
        </w:rPr>
        <w:br/>
        <w:t>Tato povinnost kupujících trvá až do okamžiku zaplacení kupní ceny s příslušenstvím.</w:t>
      </w:r>
    </w:p>
    <w:p w:rsidR="000210A9" w:rsidRPr="000210A9" w:rsidRDefault="000210A9" w:rsidP="000210A9"/>
    <w:p w:rsidR="00225F11" w:rsidRDefault="00F90734" w:rsidP="00225F11">
      <w:pPr>
        <w:pStyle w:val="Nadpis1"/>
        <w:ind w:left="426" w:hanging="426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VII.</w:t>
      </w:r>
    </w:p>
    <w:p w:rsidR="00225F11" w:rsidRDefault="00225F11" w:rsidP="00225F11">
      <w:pPr>
        <w:ind w:left="426" w:hanging="426"/>
        <w:rPr>
          <w:sz w:val="16"/>
          <w:szCs w:val="16"/>
        </w:rPr>
      </w:pPr>
    </w:p>
    <w:p w:rsidR="00225F11" w:rsidRDefault="00F90734" w:rsidP="00225F11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jsou oprávněni odstoupit od</w:t>
      </w:r>
      <w:r>
        <w:rPr>
          <w:rFonts w:ascii="Arial" w:hAnsi="Arial" w:cs="Arial"/>
          <w:sz w:val="22"/>
          <w:szCs w:val="22"/>
        </w:rPr>
        <w:t xml:space="preserve"> této kupní smlouvy pouze v souladu s ustanovením                       § 2001 a násl. zákona č. 89/2012 Sb.</w:t>
      </w:r>
    </w:p>
    <w:p w:rsidR="00225F11" w:rsidRDefault="00225F11" w:rsidP="00225F11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Pokud kupující neuhradí kupní cenu řádně a včas, bude takové chování kupujících považováno za podstatné porušení jejich povinností dle této smlouv</w:t>
      </w:r>
      <w:r>
        <w:rPr>
          <w:rFonts w:ascii="Arial" w:hAnsi="Arial" w:cs="Arial"/>
          <w:sz w:val="22"/>
          <w:szCs w:val="22"/>
        </w:rPr>
        <w:t xml:space="preserve">y a prodávající má právo v souladu s ustanovením § 1977 zákona č. 89/2012 Sb. od smlouvy odstoupit, pokud </w:t>
      </w:r>
      <w:r>
        <w:rPr>
          <w:rFonts w:ascii="Arial" w:hAnsi="Arial" w:cs="Arial"/>
          <w:sz w:val="22"/>
          <w:szCs w:val="22"/>
        </w:rPr>
        <w:br/>
        <w:t>to kupujícím (prodlévajícím) oznámí bez zbytečného odkladu poté, co se o prodlení dozvěděl.</w:t>
      </w:r>
    </w:p>
    <w:p w:rsidR="000210A9" w:rsidRDefault="000210A9" w:rsidP="00225F11">
      <w:pPr>
        <w:pStyle w:val="Odstavecseseznamem"/>
        <w:ind w:left="284" w:hanging="284"/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pStyle w:val="Odstavecseseznamem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VIII.</w:t>
      </w:r>
    </w:p>
    <w:p w:rsidR="00225F11" w:rsidRDefault="00225F11" w:rsidP="00225F11">
      <w:pPr>
        <w:pStyle w:val="Odstavecseseznamem"/>
        <w:ind w:left="426" w:hanging="426"/>
        <w:rPr>
          <w:rFonts w:ascii="Arial" w:hAnsi="Arial" w:cs="Arial"/>
          <w:b/>
          <w:sz w:val="16"/>
          <w:szCs w:val="16"/>
        </w:rPr>
      </w:pPr>
    </w:p>
    <w:p w:rsidR="00225F11" w:rsidRDefault="00F90734" w:rsidP="00225F11">
      <w:pPr>
        <w:numPr>
          <w:ilvl w:val="3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Odstoupením od smlouvy prodávajícím zároveň vznikne prodávajícímu právo na náhradu veškerých nákladů, které mu vznikly v souvislosti s prodejem převáděného majetku. </w:t>
      </w:r>
    </w:p>
    <w:p w:rsidR="00225F11" w:rsidRDefault="00225F11" w:rsidP="00225F11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numPr>
          <w:ilvl w:val="3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 kteroukoliv ze smluvních stran se nedotýká povinnosti kupující</w:t>
      </w:r>
      <w:r>
        <w:rPr>
          <w:rFonts w:ascii="Arial" w:hAnsi="Arial" w:cs="Arial"/>
          <w:sz w:val="22"/>
          <w:szCs w:val="22"/>
        </w:rPr>
        <w:t>ch zaplatit peněžitá plnění (zejm. úroky z prodlení a smluvní pokutu), na jejichž úhradu vznikl prodávajícímu nárok do data účinnosti odstoupení</w:t>
      </w:r>
      <w:r w:rsidR="007675F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5F11" w:rsidRDefault="00225F11" w:rsidP="00225F11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pStyle w:val="Odstavecseseznamem"/>
        <w:numPr>
          <w:ilvl w:val="3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smlouvy musí být v písemné formě a nabývá účinnosti dnem doručení druhé straně. Odstoupením </w:t>
      </w:r>
      <w:r>
        <w:rPr>
          <w:rFonts w:ascii="Arial" w:hAnsi="Arial" w:cs="Arial"/>
          <w:sz w:val="22"/>
          <w:szCs w:val="22"/>
        </w:rPr>
        <w:t xml:space="preserve">se závazky z této smlouvy ruší od počátku a smluvní strany si vrátí vše, co si splnily, kromě peněžitých plnění (např. úroků z prodlení, smluvní pokuty), </w:t>
      </w:r>
      <w:r>
        <w:rPr>
          <w:rFonts w:ascii="Arial" w:hAnsi="Arial" w:cs="Arial"/>
          <w:sz w:val="22"/>
          <w:szCs w:val="22"/>
        </w:rPr>
        <w:br/>
        <w:t>na jejichž úhradu vznikl prodávajícímu nárok do data účinnosti odstoupení</w:t>
      </w:r>
      <w:r w:rsidR="007675F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5F11" w:rsidRDefault="00225F11" w:rsidP="00225F11">
      <w:pPr>
        <w:pStyle w:val="Odstavecseseznamem"/>
        <w:ind w:left="284" w:hanging="284"/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pStyle w:val="Odstavecseseznamem"/>
        <w:numPr>
          <w:ilvl w:val="3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dojde k odstoupen</w:t>
      </w:r>
      <w:r>
        <w:rPr>
          <w:rFonts w:ascii="Arial" w:hAnsi="Arial" w:cs="Arial"/>
          <w:sz w:val="22"/>
          <w:szCs w:val="22"/>
        </w:rPr>
        <w:t>í od smlouvy a kupní cena již byla zaplacena, má prodávající povinnost do 30 dnů od účinků odstoupení vrátit kupní cenu sníženou o:</w:t>
      </w:r>
    </w:p>
    <w:p w:rsidR="00225F11" w:rsidRDefault="00F90734" w:rsidP="00225F11">
      <w:pPr>
        <w:numPr>
          <w:ilvl w:val="0"/>
          <w:numId w:val="6"/>
        </w:num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náklady, které vznikly prodávajícímu v souvislosti s prodejem převáděného majetku,</w:t>
      </w:r>
    </w:p>
    <w:p w:rsidR="00225F11" w:rsidRDefault="00F90734" w:rsidP="00225F11">
      <w:pPr>
        <w:numPr>
          <w:ilvl w:val="0"/>
          <w:numId w:val="6"/>
        </w:num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pokutu dle této smlouvy, na jejíž</w:t>
      </w:r>
      <w:r>
        <w:rPr>
          <w:rFonts w:ascii="Arial" w:hAnsi="Arial" w:cs="Arial"/>
          <w:sz w:val="22"/>
          <w:szCs w:val="22"/>
        </w:rPr>
        <w:t xml:space="preserve"> úhradu vznikl prodávajícímu nárok do data</w:t>
      </w:r>
      <w:r w:rsidR="007675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účinnosti odstoupení a úroky z prodlení,</w:t>
      </w:r>
    </w:p>
    <w:p w:rsidR="00225F11" w:rsidRDefault="00F90734" w:rsidP="00225F11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účet kupujících. </w:t>
      </w:r>
    </w:p>
    <w:p w:rsidR="00225F11" w:rsidRDefault="00F90734" w:rsidP="00225F1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kupní cena ještě nebyla uhrazena (a k odstoupení od smlouvy došlo ze strany prodávajícího), mají kupující povinnost do 30 dnů od doručení výzvy k</w:t>
      </w:r>
      <w:r>
        <w:rPr>
          <w:rFonts w:ascii="Arial" w:hAnsi="Arial" w:cs="Arial"/>
          <w:sz w:val="22"/>
          <w:szCs w:val="22"/>
        </w:rPr>
        <w:t xml:space="preserve"> úhradě vyúčtovaných nákladů, které vznikly v souvislosti s prodejem převáděného majetku, </w:t>
      </w:r>
      <w:r>
        <w:rPr>
          <w:rFonts w:ascii="Arial" w:hAnsi="Arial" w:cs="Arial"/>
          <w:iCs/>
          <w:sz w:val="22"/>
          <w:szCs w:val="22"/>
        </w:rPr>
        <w:t>uhradit</w:t>
      </w:r>
      <w:r>
        <w:rPr>
          <w:rFonts w:ascii="Arial" w:hAnsi="Arial" w:cs="Arial"/>
          <w:sz w:val="22"/>
          <w:szCs w:val="22"/>
        </w:rPr>
        <w:t xml:space="preserve"> tyto náklady </w:t>
      </w:r>
      <w:r>
        <w:rPr>
          <w:rFonts w:ascii="Arial" w:hAnsi="Arial" w:cs="Arial"/>
          <w:sz w:val="22"/>
          <w:szCs w:val="22"/>
        </w:rPr>
        <w:br/>
        <w:t xml:space="preserve">na účet prodávajícího. Kupující jsou povinni zaplatit prodávajícímu smluvní pokutu dle této smlouvy, na jejíž úhradu vznikl prodávajícímu nárok </w:t>
      </w:r>
      <w:r>
        <w:rPr>
          <w:rFonts w:ascii="Arial" w:hAnsi="Arial" w:cs="Arial"/>
          <w:sz w:val="22"/>
          <w:szCs w:val="22"/>
        </w:rPr>
        <w:t>do data účinnosti odstoupení</w:t>
      </w:r>
      <w:r w:rsidR="0051439A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úroky z prodlení.</w:t>
      </w:r>
    </w:p>
    <w:p w:rsidR="00225F11" w:rsidRDefault="00225F11" w:rsidP="00225F11">
      <w:pPr>
        <w:ind w:left="426" w:hanging="426"/>
      </w:pPr>
    </w:p>
    <w:p w:rsidR="00225F11" w:rsidRDefault="00F90734" w:rsidP="00225F11">
      <w:pPr>
        <w:pStyle w:val="Nadpis1"/>
        <w:ind w:left="426" w:hanging="426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IX.</w:t>
      </w:r>
    </w:p>
    <w:p w:rsidR="00225F11" w:rsidRDefault="00225F11" w:rsidP="00225F11">
      <w:pPr>
        <w:ind w:left="426" w:hanging="426"/>
        <w:jc w:val="both"/>
        <w:rPr>
          <w:sz w:val="16"/>
          <w:szCs w:val="16"/>
        </w:rPr>
      </w:pPr>
    </w:p>
    <w:p w:rsidR="00225F11" w:rsidRDefault="00F90734" w:rsidP="00225F11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z w:val="22"/>
        </w:rPr>
        <w:t>Vlastnické právo k převád</w:t>
      </w:r>
      <w:r>
        <w:rPr>
          <w:rFonts w:ascii="Arial" w:eastAsia="Arial" w:hAnsi="Arial" w:cs="Arial"/>
          <w:sz w:val="22"/>
        </w:rPr>
        <w:t xml:space="preserve">ěnému majetku nabývají kupující zápisem do katastru nemovitostí. Právní účinky zápisu nastanou k okamžiku, kdy byl návrh doručen katastrálnímu úřadu. Tímto okamžikem na kupující přecházejí veškerá práva a povinnosti spojené s vlastnictvím </w:t>
      </w:r>
      <w:r>
        <w:rPr>
          <w:rFonts w:ascii="Arial" w:eastAsia="Arial" w:hAnsi="Arial" w:cs="Arial"/>
          <w:sz w:val="22"/>
        </w:rPr>
        <w:br/>
        <w:t>a užíváním převá</w:t>
      </w:r>
      <w:r>
        <w:rPr>
          <w:rFonts w:ascii="Arial" w:eastAsia="Arial" w:hAnsi="Arial" w:cs="Arial"/>
          <w:sz w:val="22"/>
        </w:rPr>
        <w:t xml:space="preserve">děného majetku. </w:t>
      </w:r>
    </w:p>
    <w:p w:rsidR="00225F11" w:rsidRDefault="00225F11" w:rsidP="00225F11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25F11" w:rsidRDefault="00F90734" w:rsidP="00225F11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na zápis vkladu vlastnického práva do katastru nemovitostí podají prodávající a kupující společně prostřednictvím prodávajícího, a to bez zbytečného odkladu po úplném zaplacení kupní ceny včetně příslušenství, příp. smluvní pokuty 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všech ostatních příp. dluhů kupujících vůči Úřadu pro zastupování státu ve věcech majetkových</w:t>
      </w:r>
      <w:r w:rsidR="007675F0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Doklad o zaplacení, resp. prohlášení prodávajících o tom, že uvedená částka byla uhrazena, bude obsažen v návrhu </w:t>
      </w:r>
      <w:r w:rsidR="00DC71F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zápis vkladu vlastnického práva do katastr</w:t>
      </w:r>
      <w:r>
        <w:rPr>
          <w:rFonts w:ascii="Arial" w:hAnsi="Arial" w:cs="Arial"/>
          <w:sz w:val="22"/>
          <w:szCs w:val="22"/>
        </w:rPr>
        <w:t xml:space="preserve">u nemovitostí. Správní poplatky spojené s touto smlouvou nesou kupující. Návrh na vklad se kupujícím zasílá k podpisu zároveň s výzvou k úhradě kupní ceny a s výzvou k vrácení podepsaného návrhu; katastrální úřad kupující vyzve k úhradě správního poplatku </w:t>
      </w:r>
      <w:r>
        <w:rPr>
          <w:rFonts w:ascii="Arial" w:hAnsi="Arial" w:cs="Arial"/>
          <w:sz w:val="22"/>
          <w:szCs w:val="22"/>
        </w:rPr>
        <w:t xml:space="preserve">za povolení vkladu vlastnického práva. </w:t>
      </w:r>
    </w:p>
    <w:p w:rsidR="00225F11" w:rsidRDefault="00225F11" w:rsidP="00225F11">
      <w:pPr>
        <w:pStyle w:val="Odstavecseseznamem"/>
        <w:ind w:left="284" w:hanging="284"/>
        <w:rPr>
          <w:rFonts w:ascii="Arial" w:hAnsi="Arial" w:cs="Arial"/>
          <w:b/>
          <w:i/>
          <w:sz w:val="22"/>
          <w:szCs w:val="22"/>
        </w:rPr>
      </w:pPr>
    </w:p>
    <w:p w:rsidR="00225F11" w:rsidRDefault="00F90734" w:rsidP="00225F11">
      <w:pPr>
        <w:pStyle w:val="Zkladntext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Pokud by příslušným katastrálním úřadem byl návrh na zápis vkladu vlastnického práva k převáděnému majetku dle této smlouvy pro kupující pravomocně zamítnut, účastníci této smlouvy se zavazují k součinnosti směřujíc</w:t>
      </w:r>
      <w:r>
        <w:rPr>
          <w:rFonts w:ascii="Arial" w:hAnsi="Arial" w:cs="Arial"/>
          <w:b w:val="0"/>
          <w:sz w:val="22"/>
          <w:szCs w:val="22"/>
        </w:rPr>
        <w:t>í k naplnění vůle obou smluvních stran.</w:t>
      </w:r>
    </w:p>
    <w:p w:rsidR="00225F11" w:rsidRDefault="00225F11" w:rsidP="00225F11">
      <w:pPr>
        <w:pStyle w:val="Zkladntext"/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 w:cs="Arial"/>
          <w:b w:val="0"/>
          <w:sz w:val="22"/>
          <w:szCs w:val="22"/>
        </w:rPr>
      </w:pPr>
    </w:p>
    <w:p w:rsidR="00225F11" w:rsidRDefault="00F90734" w:rsidP="00225F11">
      <w:pPr>
        <w:pStyle w:val="Zkladntext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 případ, že vklad vlastnického práva k převáděnému majetku podle této smlouvy                  pro kupující nebude příslušným katastrálním úřadem povolen ani po součinnosti stran podle odstavce 3., smluvní strany</w:t>
      </w:r>
      <w:r>
        <w:rPr>
          <w:rFonts w:ascii="Arial" w:hAnsi="Arial" w:cs="Arial"/>
          <w:b w:val="0"/>
          <w:sz w:val="22"/>
          <w:szCs w:val="22"/>
        </w:rPr>
        <w:t xml:space="preserve"> si sjednávají rozvazovací podmínku tak, že se tato kupní smlouva ruší od počátku. Prodávající se zavazuje písemně oznámit kupujícím naplnění této rozvazovací podmínky této kupní smlouvy bezodkladně po jejím vzniku.</w:t>
      </w:r>
    </w:p>
    <w:p w:rsidR="00225F11" w:rsidRDefault="00F90734" w:rsidP="00225F11">
      <w:pPr>
        <w:pStyle w:val="Nadpis1"/>
        <w:ind w:left="426" w:hanging="426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>Čl. X.</w:t>
      </w:r>
    </w:p>
    <w:p w:rsidR="00225F11" w:rsidRDefault="00225F11" w:rsidP="00225F11">
      <w:pPr>
        <w:rPr>
          <w:rFonts w:ascii="Arial" w:hAnsi="Arial" w:cs="Arial"/>
          <w:sz w:val="16"/>
          <w:szCs w:val="16"/>
        </w:rPr>
      </w:pPr>
    </w:p>
    <w:p w:rsidR="007675F0" w:rsidRPr="007675F0" w:rsidRDefault="00F90734" w:rsidP="007675F0">
      <w:pPr>
        <w:pStyle w:val="Odstavecseseznamem"/>
        <w:numPr>
          <w:ilvl w:val="3"/>
          <w:numId w:val="8"/>
        </w:num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7675F0">
        <w:rPr>
          <w:rFonts w:ascii="Arial" w:hAnsi="Arial" w:cs="Arial"/>
          <w:sz w:val="22"/>
          <w:szCs w:val="22"/>
        </w:rPr>
        <w:t>Smlouva je uzavřena a nabývá pla</w:t>
      </w:r>
      <w:r w:rsidRPr="007675F0">
        <w:rPr>
          <w:rFonts w:ascii="Arial" w:hAnsi="Arial" w:cs="Arial"/>
          <w:sz w:val="22"/>
          <w:szCs w:val="22"/>
        </w:rPr>
        <w:t>tnosti okamžikem podpisu poslední smluvní stranou.</w:t>
      </w:r>
    </w:p>
    <w:p w:rsidR="007675F0" w:rsidRPr="00624AFC" w:rsidRDefault="007675F0" w:rsidP="007675F0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7675F0" w:rsidRPr="007675F0" w:rsidRDefault="00F90734" w:rsidP="007675F0">
      <w:pPr>
        <w:pStyle w:val="Odstavecseseznamem"/>
        <w:numPr>
          <w:ilvl w:val="3"/>
          <w:numId w:val="8"/>
        </w:num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7675F0">
        <w:rPr>
          <w:rFonts w:ascii="Arial" w:hAnsi="Arial" w:cs="Arial"/>
          <w:sz w:val="22"/>
          <w:szCs w:val="22"/>
        </w:rPr>
        <w:t xml:space="preserve">Smlouva nabývá účinnosti dnem jejího uveřejnění v registru smluv v souladu se zákonem </w:t>
      </w:r>
      <w:r w:rsidR="00DC71FC">
        <w:rPr>
          <w:rFonts w:ascii="Arial" w:hAnsi="Arial" w:cs="Arial"/>
          <w:sz w:val="22"/>
          <w:szCs w:val="22"/>
        </w:rPr>
        <w:br/>
      </w:r>
      <w:r w:rsidRPr="007675F0">
        <w:rPr>
          <w:rFonts w:ascii="Arial" w:hAnsi="Arial" w:cs="Arial"/>
          <w:sz w:val="22"/>
          <w:szCs w:val="22"/>
        </w:rPr>
        <w:t xml:space="preserve">č. 340/2015 Sb., o zvláštních podmínkách účinnosti některých smluv, uveřejňování těchto smluv a o registru smluv (zákon o registru smluv), </w:t>
      </w:r>
      <w:r w:rsidRPr="007675F0">
        <w:rPr>
          <w:rFonts w:ascii="Arial" w:eastAsiaTheme="minorHAnsi" w:hAnsi="Arial" w:cs="Arial"/>
          <w:sz w:val="22"/>
          <w:szCs w:val="22"/>
          <w:lang w:eastAsia="en-US"/>
        </w:rPr>
        <w:t>ve znění pozdějších předpisů</w:t>
      </w:r>
      <w:r w:rsidRPr="007675F0">
        <w:rPr>
          <w:rFonts w:ascii="Arial" w:hAnsi="Arial" w:cs="Arial"/>
          <w:sz w:val="22"/>
          <w:szCs w:val="22"/>
        </w:rPr>
        <w:t>.</w:t>
      </w:r>
    </w:p>
    <w:p w:rsidR="007675F0" w:rsidRPr="00624AFC" w:rsidRDefault="007675F0" w:rsidP="007675F0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7675F0" w:rsidRPr="007675F0" w:rsidRDefault="00F90734" w:rsidP="007675F0">
      <w:pPr>
        <w:pStyle w:val="Odstavecseseznamem"/>
        <w:numPr>
          <w:ilvl w:val="3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675F0">
        <w:rPr>
          <w:rFonts w:ascii="Arial" w:hAnsi="Arial" w:cs="Arial"/>
          <w:sz w:val="22"/>
          <w:szCs w:val="22"/>
        </w:rPr>
        <w:t>Prodávající zašle tuto smlouvu správci registru smluv k uveřejnění bez zbytečného odkl</w:t>
      </w:r>
      <w:r w:rsidRPr="007675F0">
        <w:rPr>
          <w:rFonts w:ascii="Arial" w:hAnsi="Arial" w:cs="Arial"/>
          <w:sz w:val="22"/>
          <w:szCs w:val="22"/>
        </w:rPr>
        <w:t xml:space="preserve">adu, nejpozději však do 30 dnů od uzavření smlouvy. Prodávající předá kupujícímu doklad o uveřejnění smlouvy v registru smluv podle § 5 odst. 4 zákona č. 340/2015 Sb., o registru smluv, </w:t>
      </w:r>
      <w:r w:rsidR="0051439A">
        <w:rPr>
          <w:rFonts w:ascii="Arial" w:hAnsi="Arial" w:cs="Arial"/>
          <w:sz w:val="22"/>
          <w:szCs w:val="22"/>
        </w:rPr>
        <w:t xml:space="preserve">ve znění pozdějších předpisů, </w:t>
      </w:r>
      <w:r w:rsidRPr="007675F0">
        <w:rPr>
          <w:rFonts w:ascii="Arial" w:hAnsi="Arial" w:cs="Arial"/>
          <w:sz w:val="22"/>
          <w:szCs w:val="22"/>
        </w:rPr>
        <w:t>jako potvrzení skutečnosti, že smlouva n</w:t>
      </w:r>
      <w:r w:rsidRPr="007675F0">
        <w:rPr>
          <w:rFonts w:ascii="Arial" w:hAnsi="Arial" w:cs="Arial"/>
          <w:sz w:val="22"/>
          <w:szCs w:val="22"/>
        </w:rPr>
        <w:t>abyla účinnosti.</w:t>
      </w:r>
    </w:p>
    <w:p w:rsidR="007675F0" w:rsidRPr="00624AFC" w:rsidRDefault="007675F0" w:rsidP="007675F0">
      <w:pPr>
        <w:shd w:val="clear" w:color="auto" w:fill="FFFFFF"/>
        <w:ind w:hanging="284"/>
        <w:jc w:val="both"/>
        <w:outlineLvl w:val="0"/>
        <w:rPr>
          <w:rFonts w:ascii="Arial" w:hAnsi="Arial" w:cs="Arial"/>
          <w:sz w:val="22"/>
          <w:szCs w:val="22"/>
        </w:rPr>
      </w:pPr>
    </w:p>
    <w:p w:rsidR="007675F0" w:rsidRPr="007675F0" w:rsidRDefault="00F90734" w:rsidP="007675F0">
      <w:pPr>
        <w:pStyle w:val="Odstavecseseznamem"/>
        <w:numPr>
          <w:ilvl w:val="3"/>
          <w:numId w:val="8"/>
        </w:num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7675F0"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tajemství.</w:t>
      </w:r>
    </w:p>
    <w:p w:rsidR="00225F11" w:rsidRDefault="00225F11" w:rsidP="00225F11">
      <w:pPr>
        <w:shd w:val="clear" w:color="auto" w:fill="FFFFFF"/>
        <w:ind w:left="284" w:hanging="284"/>
        <w:outlineLvl w:val="0"/>
        <w:rPr>
          <w:rFonts w:ascii="Arial" w:hAnsi="Arial" w:cs="Arial"/>
          <w:sz w:val="22"/>
          <w:szCs w:val="22"/>
        </w:rPr>
      </w:pPr>
    </w:p>
    <w:p w:rsidR="00225F11" w:rsidRPr="007675F0" w:rsidRDefault="00F90734" w:rsidP="007675F0">
      <w:pPr>
        <w:pStyle w:val="Odstavecseseznamem"/>
        <w:numPr>
          <w:ilvl w:val="3"/>
          <w:numId w:val="8"/>
        </w:num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7675F0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225F11" w:rsidRDefault="00225F11" w:rsidP="00225F11">
      <w:p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</w:p>
    <w:p w:rsidR="00225F11" w:rsidRDefault="00F90734" w:rsidP="007675F0">
      <w:pPr>
        <w:pStyle w:val="Odstavecseseznamem"/>
        <w:numPr>
          <w:ilvl w:val="3"/>
          <w:numId w:val="8"/>
        </w:num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</w:t>
      </w:r>
      <w:r>
        <w:rPr>
          <w:rFonts w:ascii="Arial" w:hAnsi="Arial" w:cs="Arial"/>
          <w:sz w:val="22"/>
          <w:szCs w:val="22"/>
        </w:rPr>
        <w:t xml:space="preserve">ohodly, že není-li v této smlouvě stanoveno jinak, řídí se práva </w:t>
      </w:r>
      <w:r>
        <w:rPr>
          <w:rFonts w:ascii="Arial" w:hAnsi="Arial" w:cs="Arial"/>
          <w:sz w:val="22"/>
          <w:szCs w:val="22"/>
        </w:rPr>
        <w:br/>
        <w:t>a povinnosti smluvních stran zákonem č. 89/2012 Sb. a zákonem č. 219/2000 Sb.</w:t>
      </w:r>
    </w:p>
    <w:p w:rsidR="00225F11" w:rsidRDefault="00225F11" w:rsidP="00225F11">
      <w:p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</w:p>
    <w:p w:rsidR="00225F11" w:rsidRPr="007675F0" w:rsidRDefault="00F90734" w:rsidP="007675F0">
      <w:pPr>
        <w:pStyle w:val="Odstavecseseznamem"/>
        <w:numPr>
          <w:ilvl w:val="3"/>
          <w:numId w:val="8"/>
        </w:num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7675F0">
        <w:rPr>
          <w:rFonts w:ascii="Arial" w:hAnsi="Arial" w:cs="Arial"/>
          <w:sz w:val="22"/>
          <w:szCs w:val="22"/>
        </w:rPr>
        <w:t xml:space="preserve">Smluvní strany se dohodly, že jakékoli změny a doplňky této smlouvy jsou možné pouze písemnou formou, v podobě </w:t>
      </w:r>
      <w:r w:rsidRPr="007675F0">
        <w:rPr>
          <w:rFonts w:ascii="Arial" w:hAnsi="Arial" w:cs="Arial"/>
          <w:sz w:val="22"/>
          <w:szCs w:val="22"/>
        </w:rPr>
        <w:t>oboustranně uzavřených, vzestupně číslovaných dodatků smlouvy.</w:t>
      </w:r>
    </w:p>
    <w:p w:rsidR="00225F11" w:rsidRDefault="00225F11" w:rsidP="00225F11">
      <w:p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</w:p>
    <w:p w:rsidR="00225F11" w:rsidRDefault="00F90734" w:rsidP="00C37B5C">
      <w:pPr>
        <w:pStyle w:val="Odstavecseseznamem"/>
        <w:numPr>
          <w:ilvl w:val="3"/>
          <w:numId w:val="8"/>
        </w:num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C37B5C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C37B5C">
        <w:rPr>
          <w:rFonts w:ascii="Arial" w:hAnsi="Arial" w:cs="Arial"/>
          <w:sz w:val="22"/>
          <w:szCs w:val="22"/>
        </w:rPr>
        <w:t xml:space="preserve"> čtyřech stejnopisech</w:t>
      </w:r>
      <w:r w:rsidRPr="00C37B5C">
        <w:rPr>
          <w:rFonts w:ascii="Arial" w:hAnsi="Arial" w:cs="Arial"/>
          <w:i/>
          <w:sz w:val="22"/>
          <w:szCs w:val="22"/>
        </w:rPr>
        <w:t xml:space="preserve">. </w:t>
      </w:r>
      <w:r w:rsidRPr="00C37B5C">
        <w:rPr>
          <w:rFonts w:ascii="Arial" w:hAnsi="Arial" w:cs="Arial"/>
          <w:sz w:val="22"/>
          <w:szCs w:val="22"/>
        </w:rPr>
        <w:t xml:space="preserve">Každá ze smluvních stran obdrží po jednom vyhotovení. Jedno vyhotovení bude použito k zápisu vlastnického práva vkladem do katastru </w:t>
      </w:r>
      <w:r w:rsidRPr="00C37B5C">
        <w:rPr>
          <w:rFonts w:ascii="Arial" w:hAnsi="Arial" w:cs="Arial"/>
          <w:sz w:val="22"/>
          <w:szCs w:val="22"/>
        </w:rPr>
        <w:t>nemovitostí.</w:t>
      </w:r>
    </w:p>
    <w:p w:rsidR="00C37B5C" w:rsidRPr="00C37B5C" w:rsidRDefault="00C37B5C" w:rsidP="00C37B5C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225F11" w:rsidRDefault="00F90734" w:rsidP="007675F0">
      <w:pPr>
        <w:pStyle w:val="vnintext"/>
        <w:numPr>
          <w:ilvl w:val="3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 přinucení nebo omylu. Na důkaz toho připojují své vlastnoruční podpisy.</w:t>
      </w:r>
    </w:p>
    <w:p w:rsidR="00225F11" w:rsidRDefault="00225F11" w:rsidP="00225F1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0210A9" w:rsidRDefault="000210A9" w:rsidP="00225F1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804"/>
      </w:tblGrid>
      <w:tr w:rsidR="0077446E" w:rsidTr="000210A9">
        <w:tc>
          <w:tcPr>
            <w:tcW w:w="4605" w:type="dxa"/>
            <w:hideMark/>
          </w:tcPr>
          <w:p w:rsidR="00225F11" w:rsidRDefault="00F90734">
            <w:pPr>
              <w:pStyle w:val="vnintext"/>
              <w:spacing w:line="256" w:lineRule="auto"/>
              <w:ind w:left="426" w:hanging="426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112747880"/>
            <w:r>
              <w:rPr>
                <w:rFonts w:ascii="Arial" w:hAnsi="Arial" w:cs="Arial"/>
                <w:sz w:val="22"/>
                <w:szCs w:val="22"/>
                <w:lang w:eastAsia="en-US"/>
              </w:rPr>
              <w:t>V Hodoníně dne</w:t>
            </w:r>
            <w:r w:rsidR="009006E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29. 12. 2022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605" w:type="dxa"/>
            <w:hideMark/>
          </w:tcPr>
          <w:p w:rsidR="00225F11" w:rsidRDefault="00F90734">
            <w:pPr>
              <w:pStyle w:val="vnintext"/>
              <w:spacing w:line="256" w:lineRule="auto"/>
              <w:ind w:left="426" w:hanging="42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</w:t>
            </w:r>
            <w:r w:rsidR="009006EE">
              <w:rPr>
                <w:rFonts w:ascii="Arial" w:hAnsi="Arial" w:cs="Arial"/>
                <w:sz w:val="22"/>
                <w:szCs w:val="22"/>
                <w:lang w:eastAsia="en-US"/>
              </w:rPr>
              <w:t>Miloticích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dne</w:t>
            </w:r>
            <w:r w:rsidR="009006E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19. 12. 2022</w:t>
            </w:r>
          </w:p>
        </w:tc>
      </w:tr>
      <w:tr w:rsidR="0077446E" w:rsidTr="000210A9">
        <w:trPr>
          <w:trHeight w:val="925"/>
        </w:trPr>
        <w:tc>
          <w:tcPr>
            <w:tcW w:w="4605" w:type="dxa"/>
          </w:tcPr>
          <w:p w:rsidR="00225F11" w:rsidRDefault="00225F11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b/>
                <w:sz w:val="10"/>
                <w:szCs w:val="10"/>
                <w:lang w:eastAsia="en-US"/>
              </w:rPr>
            </w:pPr>
          </w:p>
          <w:p w:rsidR="00225F11" w:rsidRDefault="00F90734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Česká republika – Úřad pro zastupování </w:t>
            </w:r>
          </w:p>
          <w:p w:rsidR="00225F11" w:rsidRDefault="00F90734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státu ve věcech majetkových  </w:t>
            </w:r>
          </w:p>
          <w:p w:rsidR="00225F11" w:rsidRDefault="00225F11">
            <w:pPr>
              <w:pStyle w:val="vnintext"/>
              <w:spacing w:line="256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5F11" w:rsidRDefault="00225F11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5F11" w:rsidRDefault="00225F11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F5641" w:rsidRDefault="002F5641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5" w:type="dxa"/>
          </w:tcPr>
          <w:p w:rsidR="00225F11" w:rsidRDefault="00225F11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GoBack"/>
            <w:bookmarkEnd w:id="3"/>
          </w:p>
        </w:tc>
      </w:tr>
      <w:tr w:rsidR="0077446E" w:rsidTr="000210A9">
        <w:trPr>
          <w:trHeight w:val="61"/>
        </w:trPr>
        <w:tc>
          <w:tcPr>
            <w:tcW w:w="4605" w:type="dxa"/>
            <w:hideMark/>
          </w:tcPr>
          <w:p w:rsidR="00225F11" w:rsidRDefault="00F90734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…………………………….……………….</w:t>
            </w:r>
          </w:p>
        </w:tc>
        <w:tc>
          <w:tcPr>
            <w:tcW w:w="4605" w:type="dxa"/>
            <w:hideMark/>
          </w:tcPr>
          <w:p w:rsidR="00225F11" w:rsidRDefault="00F90734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…………………………….……………………</w:t>
            </w:r>
          </w:p>
        </w:tc>
      </w:tr>
      <w:tr w:rsidR="0077446E" w:rsidTr="000210A9">
        <w:trPr>
          <w:trHeight w:val="567"/>
        </w:trPr>
        <w:tc>
          <w:tcPr>
            <w:tcW w:w="4605" w:type="dxa"/>
          </w:tcPr>
          <w:p w:rsidR="00225F11" w:rsidRDefault="00F90734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Pavla Keňová</w:t>
            </w:r>
          </w:p>
          <w:p w:rsidR="00225F11" w:rsidRDefault="00F90734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 odboru</w:t>
            </w:r>
          </w:p>
          <w:p w:rsidR="00225F11" w:rsidRDefault="00F90734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Odloučené pracoviště Hodonín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225F11" w:rsidRDefault="00225F11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225F11" w:rsidRDefault="00225F11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05" w:type="dxa"/>
          </w:tcPr>
          <w:p w:rsidR="00225F11" w:rsidRDefault="00F90734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Marek Mikéska </w:t>
            </w:r>
          </w:p>
          <w:p w:rsidR="00225F11" w:rsidRDefault="00225F11">
            <w:pPr>
              <w:pStyle w:val="vnintext"/>
              <w:spacing w:line="256" w:lineRule="auto"/>
              <w:ind w:left="426" w:hanging="42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tbl>
            <w:tblPr>
              <w:tblW w:w="4588" w:type="dxa"/>
              <w:tblLook w:val="04A0" w:firstRow="1" w:lastRow="0" w:firstColumn="1" w:lastColumn="0" w:noHBand="0" w:noVBand="1"/>
            </w:tblPr>
            <w:tblGrid>
              <w:gridCol w:w="4588"/>
            </w:tblGrid>
            <w:tr w:rsidR="0077446E">
              <w:trPr>
                <w:trHeight w:val="288"/>
              </w:trPr>
              <w:tc>
                <w:tcPr>
                  <w:tcW w:w="4588" w:type="dxa"/>
                  <w:hideMark/>
                </w:tcPr>
                <w:p w:rsidR="00225F11" w:rsidRDefault="009006EE">
                  <w:pPr>
                    <w:pStyle w:val="vnintext"/>
                    <w:spacing w:line="256" w:lineRule="auto"/>
                    <w:ind w:left="426" w:hanging="426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V Miloticích dne 19. 12. 2022</w:t>
                  </w:r>
                </w:p>
              </w:tc>
            </w:tr>
            <w:tr w:rsidR="0077446E">
              <w:trPr>
                <w:trHeight w:val="1068"/>
              </w:trPr>
              <w:tc>
                <w:tcPr>
                  <w:tcW w:w="4588" w:type="dxa"/>
                </w:tcPr>
                <w:p w:rsidR="004378C3" w:rsidRDefault="004378C3">
                  <w:pPr>
                    <w:pStyle w:val="vnintext"/>
                    <w:spacing w:line="256" w:lineRule="auto"/>
                    <w:ind w:firstLine="0"/>
                    <w:rPr>
                      <w:rFonts w:ascii="Arial" w:hAnsi="Arial" w:cs="Arial"/>
                      <w:sz w:val="2"/>
                      <w:szCs w:val="2"/>
                      <w:lang w:eastAsia="en-US"/>
                    </w:rPr>
                  </w:pPr>
                </w:p>
              </w:tc>
            </w:tr>
            <w:tr w:rsidR="0077446E">
              <w:trPr>
                <w:trHeight w:val="70"/>
              </w:trPr>
              <w:tc>
                <w:tcPr>
                  <w:tcW w:w="4588" w:type="dxa"/>
                  <w:hideMark/>
                </w:tcPr>
                <w:p w:rsidR="00225F11" w:rsidRDefault="00F90734" w:rsidP="000210A9">
                  <w:pPr>
                    <w:pStyle w:val="vnintext"/>
                    <w:spacing w:line="256" w:lineRule="auto"/>
                    <w:ind w:left="426" w:hanging="426"/>
                    <w:rPr>
                      <w:rFonts w:ascii="Arial" w:hAnsi="Arial" w:cs="Arial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…………………………….……………………</w:t>
                  </w:r>
                </w:p>
              </w:tc>
            </w:tr>
            <w:tr w:rsidR="0077446E">
              <w:trPr>
                <w:trHeight w:val="60"/>
              </w:trPr>
              <w:tc>
                <w:tcPr>
                  <w:tcW w:w="4588" w:type="dxa"/>
                  <w:hideMark/>
                </w:tcPr>
                <w:p w:rsidR="00225F11" w:rsidRDefault="00F90734">
                  <w:pPr>
                    <w:pStyle w:val="vnintext"/>
                    <w:spacing w:line="256" w:lineRule="auto"/>
                    <w:ind w:left="426" w:hanging="426"/>
                    <w:jc w:val="center"/>
                    <w:rPr>
                      <w:rFonts w:ascii="Arial" w:hAnsi="Arial" w:cs="Arial"/>
                      <w:b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Hana Mikésková </w:t>
                  </w:r>
                </w:p>
              </w:tc>
            </w:tr>
          </w:tbl>
          <w:p w:rsidR="00225F11" w:rsidRDefault="00225F11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bookmarkEnd w:id="2"/>
    <w:p w:rsidR="00225F11" w:rsidRDefault="00F90734" w:rsidP="00225F11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25F11" w:rsidRPr="00A43C1C" w:rsidRDefault="00225F11" w:rsidP="006B5A0C">
      <w:pPr>
        <w:rPr>
          <w:rFonts w:ascii="Arial" w:hAnsi="Arial" w:cs="Arial"/>
          <w:sz w:val="22"/>
          <w:szCs w:val="22"/>
        </w:rPr>
      </w:pPr>
    </w:p>
    <w:sectPr w:rsidR="00225F11" w:rsidRPr="00A43C1C" w:rsidSect="00345881">
      <w:footerReference w:type="default" r:id="rId8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734" w:rsidRDefault="00F90734">
      <w:r>
        <w:separator/>
      </w:r>
    </w:p>
  </w:endnote>
  <w:endnote w:type="continuationSeparator" w:id="0">
    <w:p w:rsidR="00F90734" w:rsidRDefault="00F9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145762"/>
      <w:docPartObj>
        <w:docPartGallery w:val="Page Numbers (Bottom of Page)"/>
        <w:docPartUnique/>
      </w:docPartObj>
    </w:sdtPr>
    <w:sdtEndPr/>
    <w:sdtContent>
      <w:p w:rsidR="00AB260E" w:rsidRDefault="00F9073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AB260E" w:rsidRDefault="00AB26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734" w:rsidRDefault="00F90734">
      <w:r>
        <w:separator/>
      </w:r>
    </w:p>
  </w:footnote>
  <w:footnote w:type="continuationSeparator" w:id="0">
    <w:p w:rsidR="00F90734" w:rsidRDefault="00F9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A0AFF"/>
    <w:multiLevelType w:val="hybridMultilevel"/>
    <w:tmpl w:val="043E1646"/>
    <w:lvl w:ilvl="0" w:tplc="BC4C5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46744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FC8927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EA22D3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1E03F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322C7F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05AA76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87E2677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3F695F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B02528D"/>
    <w:multiLevelType w:val="hybridMultilevel"/>
    <w:tmpl w:val="330A8454"/>
    <w:lvl w:ilvl="0" w:tplc="1316B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220A06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FF7A9D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8A4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5A681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ACE3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4279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5B845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E40E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C231C"/>
    <w:multiLevelType w:val="multilevel"/>
    <w:tmpl w:val="19089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cs="Times New Roman"/>
      </w:rPr>
    </w:lvl>
  </w:abstractNum>
  <w:abstractNum w:abstractNumId="3" w15:restartNumberingAfterBreak="0">
    <w:nsid w:val="2863099B"/>
    <w:multiLevelType w:val="hybridMultilevel"/>
    <w:tmpl w:val="D1D80CC6"/>
    <w:lvl w:ilvl="0" w:tplc="41803DE6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2"/>
      </w:rPr>
    </w:lvl>
    <w:lvl w:ilvl="1" w:tplc="1F2647B0">
      <w:start w:val="1"/>
      <w:numFmt w:val="lowerLetter"/>
      <w:lvlText w:val="%2."/>
      <w:lvlJc w:val="left"/>
      <w:pPr>
        <w:ind w:left="3600" w:hanging="360"/>
      </w:pPr>
    </w:lvl>
    <w:lvl w:ilvl="2" w:tplc="BD76F4EA">
      <w:start w:val="1"/>
      <w:numFmt w:val="lowerRoman"/>
      <w:lvlText w:val="%3."/>
      <w:lvlJc w:val="right"/>
      <w:pPr>
        <w:ind w:left="4320" w:hanging="180"/>
      </w:pPr>
    </w:lvl>
    <w:lvl w:ilvl="3" w:tplc="4CB8B976">
      <w:start w:val="1"/>
      <w:numFmt w:val="decimal"/>
      <w:lvlText w:val="%4."/>
      <w:lvlJc w:val="left"/>
      <w:pPr>
        <w:ind w:left="5040" w:hanging="360"/>
      </w:pPr>
    </w:lvl>
    <w:lvl w:ilvl="4" w:tplc="838E6E76">
      <w:start w:val="1"/>
      <w:numFmt w:val="lowerLetter"/>
      <w:lvlText w:val="%5."/>
      <w:lvlJc w:val="left"/>
      <w:pPr>
        <w:ind w:left="5760" w:hanging="360"/>
      </w:pPr>
    </w:lvl>
    <w:lvl w:ilvl="5" w:tplc="328C9300">
      <w:start w:val="1"/>
      <w:numFmt w:val="lowerRoman"/>
      <w:lvlText w:val="%6."/>
      <w:lvlJc w:val="right"/>
      <w:pPr>
        <w:ind w:left="6480" w:hanging="180"/>
      </w:pPr>
    </w:lvl>
    <w:lvl w:ilvl="6" w:tplc="EF287710">
      <w:start w:val="1"/>
      <w:numFmt w:val="decimal"/>
      <w:lvlText w:val="%7."/>
      <w:lvlJc w:val="left"/>
      <w:pPr>
        <w:ind w:left="7200" w:hanging="360"/>
      </w:pPr>
    </w:lvl>
    <w:lvl w:ilvl="7" w:tplc="184EB338">
      <w:start w:val="1"/>
      <w:numFmt w:val="lowerLetter"/>
      <w:lvlText w:val="%8."/>
      <w:lvlJc w:val="left"/>
      <w:pPr>
        <w:ind w:left="7920" w:hanging="360"/>
      </w:pPr>
    </w:lvl>
    <w:lvl w:ilvl="8" w:tplc="F31AE90C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3504D82"/>
    <w:multiLevelType w:val="hybridMultilevel"/>
    <w:tmpl w:val="D1D80CC6"/>
    <w:lvl w:ilvl="0" w:tplc="283020E8">
      <w:start w:val="1"/>
      <w:numFmt w:val="decimal"/>
      <w:lvlText w:val="%1."/>
      <w:lvlJc w:val="left"/>
      <w:pPr>
        <w:ind w:left="2880" w:hanging="360"/>
      </w:pPr>
      <w:rPr>
        <w:b w:val="0"/>
        <w:i w:val="0"/>
        <w:sz w:val="22"/>
      </w:rPr>
    </w:lvl>
    <w:lvl w:ilvl="1" w:tplc="BF2EEEA0">
      <w:start w:val="1"/>
      <w:numFmt w:val="lowerLetter"/>
      <w:lvlText w:val="%2."/>
      <w:lvlJc w:val="left"/>
      <w:pPr>
        <w:ind w:left="3600" w:hanging="360"/>
      </w:pPr>
    </w:lvl>
    <w:lvl w:ilvl="2" w:tplc="1A3A8994">
      <w:start w:val="1"/>
      <w:numFmt w:val="lowerRoman"/>
      <w:lvlText w:val="%3."/>
      <w:lvlJc w:val="right"/>
      <w:pPr>
        <w:ind w:left="4320" w:hanging="180"/>
      </w:pPr>
    </w:lvl>
    <w:lvl w:ilvl="3" w:tplc="54ACC296">
      <w:start w:val="1"/>
      <w:numFmt w:val="decimal"/>
      <w:lvlText w:val="%4."/>
      <w:lvlJc w:val="left"/>
      <w:pPr>
        <w:ind w:left="5040" w:hanging="360"/>
      </w:pPr>
    </w:lvl>
    <w:lvl w:ilvl="4" w:tplc="A5228454">
      <w:start w:val="1"/>
      <w:numFmt w:val="lowerLetter"/>
      <w:lvlText w:val="%5."/>
      <w:lvlJc w:val="left"/>
      <w:pPr>
        <w:ind w:left="5760" w:hanging="360"/>
      </w:pPr>
    </w:lvl>
    <w:lvl w:ilvl="5" w:tplc="F67691BE">
      <w:start w:val="1"/>
      <w:numFmt w:val="lowerRoman"/>
      <w:lvlText w:val="%6."/>
      <w:lvlJc w:val="right"/>
      <w:pPr>
        <w:ind w:left="6480" w:hanging="180"/>
      </w:pPr>
    </w:lvl>
    <w:lvl w:ilvl="6" w:tplc="A1A0271E">
      <w:start w:val="1"/>
      <w:numFmt w:val="decimal"/>
      <w:lvlText w:val="%7."/>
      <w:lvlJc w:val="left"/>
      <w:pPr>
        <w:ind w:left="7200" w:hanging="360"/>
      </w:pPr>
    </w:lvl>
    <w:lvl w:ilvl="7" w:tplc="132250F8">
      <w:start w:val="1"/>
      <w:numFmt w:val="lowerLetter"/>
      <w:lvlText w:val="%8."/>
      <w:lvlJc w:val="left"/>
      <w:pPr>
        <w:ind w:left="7920" w:hanging="360"/>
      </w:pPr>
    </w:lvl>
    <w:lvl w:ilvl="8" w:tplc="8B64E4DE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777ED0"/>
    <w:multiLevelType w:val="hybridMultilevel"/>
    <w:tmpl w:val="6F14DAAE"/>
    <w:lvl w:ilvl="0" w:tplc="16A402D4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FD6812F2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636866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6F545C30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C2C1EA6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61E9FDC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1EDE2E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A5E1FB4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AC64E8BA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695D61F9"/>
    <w:multiLevelType w:val="hybridMultilevel"/>
    <w:tmpl w:val="E49CEFC8"/>
    <w:lvl w:ilvl="0" w:tplc="A2FE6A3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 w:tplc="6D0246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1CFA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541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4" w:tplc="3BDCE1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B4FE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A6E7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B88B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6450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9425A3"/>
    <w:multiLevelType w:val="hybridMultilevel"/>
    <w:tmpl w:val="1952AE96"/>
    <w:lvl w:ilvl="0" w:tplc="EFF08A8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DA3A96FA" w:tentative="1">
      <w:start w:val="1"/>
      <w:numFmt w:val="lowerLetter"/>
      <w:lvlText w:val="%2."/>
      <w:lvlJc w:val="left"/>
      <w:pPr>
        <w:ind w:left="1440" w:hanging="360"/>
      </w:pPr>
    </w:lvl>
    <w:lvl w:ilvl="2" w:tplc="7C929242" w:tentative="1">
      <w:start w:val="1"/>
      <w:numFmt w:val="lowerRoman"/>
      <w:lvlText w:val="%3."/>
      <w:lvlJc w:val="right"/>
      <w:pPr>
        <w:ind w:left="2160" w:hanging="180"/>
      </w:pPr>
    </w:lvl>
    <w:lvl w:ilvl="3" w:tplc="82E86FB2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A0F698BA" w:tentative="1">
      <w:start w:val="1"/>
      <w:numFmt w:val="lowerLetter"/>
      <w:lvlText w:val="%5."/>
      <w:lvlJc w:val="left"/>
      <w:pPr>
        <w:ind w:left="3600" w:hanging="360"/>
      </w:pPr>
    </w:lvl>
    <w:lvl w:ilvl="5" w:tplc="96CC906E" w:tentative="1">
      <w:start w:val="1"/>
      <w:numFmt w:val="lowerRoman"/>
      <w:lvlText w:val="%6."/>
      <w:lvlJc w:val="right"/>
      <w:pPr>
        <w:ind w:left="4320" w:hanging="180"/>
      </w:pPr>
    </w:lvl>
    <w:lvl w:ilvl="6" w:tplc="6BB440CE" w:tentative="1">
      <w:start w:val="1"/>
      <w:numFmt w:val="decimal"/>
      <w:lvlText w:val="%7."/>
      <w:lvlJc w:val="left"/>
      <w:pPr>
        <w:ind w:left="5040" w:hanging="360"/>
      </w:pPr>
    </w:lvl>
    <w:lvl w:ilvl="7" w:tplc="A732D09C" w:tentative="1">
      <w:start w:val="1"/>
      <w:numFmt w:val="lowerLetter"/>
      <w:lvlText w:val="%8."/>
      <w:lvlJc w:val="left"/>
      <w:pPr>
        <w:ind w:left="5760" w:hanging="360"/>
      </w:pPr>
    </w:lvl>
    <w:lvl w:ilvl="8" w:tplc="8B248C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210A9"/>
    <w:rsid w:val="00074C6C"/>
    <w:rsid w:val="000756E8"/>
    <w:rsid w:val="0008691A"/>
    <w:rsid w:val="000A1C44"/>
    <w:rsid w:val="000A2DF2"/>
    <w:rsid w:val="000B60E1"/>
    <w:rsid w:val="001440AB"/>
    <w:rsid w:val="00150919"/>
    <w:rsid w:val="001570D4"/>
    <w:rsid w:val="00181D76"/>
    <w:rsid w:val="001C7EDE"/>
    <w:rsid w:val="001E5FA4"/>
    <w:rsid w:val="001E6571"/>
    <w:rsid w:val="001F7A01"/>
    <w:rsid w:val="00201A27"/>
    <w:rsid w:val="00225F11"/>
    <w:rsid w:val="00245AA4"/>
    <w:rsid w:val="00262F31"/>
    <w:rsid w:val="0029456A"/>
    <w:rsid w:val="002F5641"/>
    <w:rsid w:val="00340C2E"/>
    <w:rsid w:val="00345881"/>
    <w:rsid w:val="003810A5"/>
    <w:rsid w:val="00397BA0"/>
    <w:rsid w:val="003A0ED8"/>
    <w:rsid w:val="003A32E9"/>
    <w:rsid w:val="003C27D2"/>
    <w:rsid w:val="003E45C2"/>
    <w:rsid w:val="00423D91"/>
    <w:rsid w:val="00426157"/>
    <w:rsid w:val="0043735F"/>
    <w:rsid w:val="004378C3"/>
    <w:rsid w:val="00442699"/>
    <w:rsid w:val="00442F87"/>
    <w:rsid w:val="00446FE4"/>
    <w:rsid w:val="004638E6"/>
    <w:rsid w:val="00465355"/>
    <w:rsid w:val="00470BDF"/>
    <w:rsid w:val="00486F1B"/>
    <w:rsid w:val="004C4F20"/>
    <w:rsid w:val="004E3209"/>
    <w:rsid w:val="004F0D3F"/>
    <w:rsid w:val="0051439A"/>
    <w:rsid w:val="00514E1D"/>
    <w:rsid w:val="005460E1"/>
    <w:rsid w:val="00555134"/>
    <w:rsid w:val="00572A14"/>
    <w:rsid w:val="00581060"/>
    <w:rsid w:val="005C2827"/>
    <w:rsid w:val="005E7EA1"/>
    <w:rsid w:val="005F7D02"/>
    <w:rsid w:val="006119F4"/>
    <w:rsid w:val="00624AFC"/>
    <w:rsid w:val="00630907"/>
    <w:rsid w:val="00652748"/>
    <w:rsid w:val="00676C52"/>
    <w:rsid w:val="006B5A0C"/>
    <w:rsid w:val="00710088"/>
    <w:rsid w:val="0071682A"/>
    <w:rsid w:val="00742876"/>
    <w:rsid w:val="007675F0"/>
    <w:rsid w:val="0077446E"/>
    <w:rsid w:val="00796795"/>
    <w:rsid w:val="007A3162"/>
    <w:rsid w:val="007A662F"/>
    <w:rsid w:val="007B5E91"/>
    <w:rsid w:val="00805892"/>
    <w:rsid w:val="008214AA"/>
    <w:rsid w:val="00860F94"/>
    <w:rsid w:val="00861145"/>
    <w:rsid w:val="008706FC"/>
    <w:rsid w:val="0087674F"/>
    <w:rsid w:val="008802BF"/>
    <w:rsid w:val="00885F6E"/>
    <w:rsid w:val="008B1374"/>
    <w:rsid w:val="008B15A9"/>
    <w:rsid w:val="008C06E2"/>
    <w:rsid w:val="008D63AD"/>
    <w:rsid w:val="008D6C9F"/>
    <w:rsid w:val="008D750B"/>
    <w:rsid w:val="008E2E34"/>
    <w:rsid w:val="009006EE"/>
    <w:rsid w:val="00935FFB"/>
    <w:rsid w:val="00960620"/>
    <w:rsid w:val="00975498"/>
    <w:rsid w:val="0098294A"/>
    <w:rsid w:val="009C0B16"/>
    <w:rsid w:val="009C21CB"/>
    <w:rsid w:val="009F7BD6"/>
    <w:rsid w:val="00A34317"/>
    <w:rsid w:val="00A43C1C"/>
    <w:rsid w:val="00A464E3"/>
    <w:rsid w:val="00A57848"/>
    <w:rsid w:val="00A6667F"/>
    <w:rsid w:val="00AB260E"/>
    <w:rsid w:val="00B12B3B"/>
    <w:rsid w:val="00B15FE9"/>
    <w:rsid w:val="00B3019C"/>
    <w:rsid w:val="00B63C26"/>
    <w:rsid w:val="00B864BC"/>
    <w:rsid w:val="00B970C3"/>
    <w:rsid w:val="00BC2E73"/>
    <w:rsid w:val="00BD13C5"/>
    <w:rsid w:val="00BD7B45"/>
    <w:rsid w:val="00BE39EC"/>
    <w:rsid w:val="00BF6E12"/>
    <w:rsid w:val="00C11CA4"/>
    <w:rsid w:val="00C3444C"/>
    <w:rsid w:val="00C37B5C"/>
    <w:rsid w:val="00C41738"/>
    <w:rsid w:val="00C93AF6"/>
    <w:rsid w:val="00CA3E79"/>
    <w:rsid w:val="00CA54D8"/>
    <w:rsid w:val="00CB2EC0"/>
    <w:rsid w:val="00CC3ADF"/>
    <w:rsid w:val="00CE765E"/>
    <w:rsid w:val="00D066F0"/>
    <w:rsid w:val="00D1179D"/>
    <w:rsid w:val="00D45009"/>
    <w:rsid w:val="00D45E56"/>
    <w:rsid w:val="00D67D4D"/>
    <w:rsid w:val="00D71111"/>
    <w:rsid w:val="00D80227"/>
    <w:rsid w:val="00D85CFD"/>
    <w:rsid w:val="00D9782F"/>
    <w:rsid w:val="00DC71FC"/>
    <w:rsid w:val="00DD17A3"/>
    <w:rsid w:val="00DE21A0"/>
    <w:rsid w:val="00DF12DF"/>
    <w:rsid w:val="00E07B64"/>
    <w:rsid w:val="00E1670F"/>
    <w:rsid w:val="00E22C86"/>
    <w:rsid w:val="00E23836"/>
    <w:rsid w:val="00E42E14"/>
    <w:rsid w:val="00E57DD7"/>
    <w:rsid w:val="00E834F4"/>
    <w:rsid w:val="00EB4AD5"/>
    <w:rsid w:val="00F04730"/>
    <w:rsid w:val="00F179C9"/>
    <w:rsid w:val="00F21E17"/>
    <w:rsid w:val="00F400D2"/>
    <w:rsid w:val="00F445EC"/>
    <w:rsid w:val="00F821FE"/>
    <w:rsid w:val="00F90734"/>
    <w:rsid w:val="00F91746"/>
    <w:rsid w:val="00F97DB8"/>
    <w:rsid w:val="00FE1E6A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17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5F11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25F11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25F11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25F1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vbloku">
    <w:name w:val="Block Text"/>
    <w:basedOn w:val="Normln"/>
    <w:semiHidden/>
    <w:unhideWhenUsed/>
    <w:rsid w:val="00225F11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225F11"/>
    <w:pPr>
      <w:ind w:left="720"/>
      <w:contextualSpacing/>
    </w:pPr>
  </w:style>
  <w:style w:type="paragraph" w:customStyle="1" w:styleId="adresa">
    <w:name w:val="adresa"/>
    <w:basedOn w:val="Normln"/>
    <w:uiPriority w:val="99"/>
    <w:rsid w:val="00225F1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225F11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225F11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225F11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AB2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6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2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6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B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B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1608</Words>
  <Characters>9493</Characters>
  <Application>Microsoft Office Word</Application>
  <DocSecurity>0</DocSecurity>
  <Lines>79</Lines>
  <Paragraphs>22</Paragraphs>
  <ScaleCrop>false</ScaleCrop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2023-01-02T07:22:00Z</dcterms:created>
  <dcterms:modified xsi:type="dcterms:W3CDTF">2023-01-02T07:22:00Z</dcterms:modified>
</cp:coreProperties>
</file>