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93C0C" w14:textId="254C80C4" w:rsidR="00944A28" w:rsidRPr="00FC6C61" w:rsidRDefault="002B34CC" w:rsidP="007E05AC">
      <w:pPr>
        <w:pStyle w:val="Titul"/>
        <w:spacing w:before="1560"/>
        <w:ind w:right="992"/>
        <w:jc w:val="center"/>
        <w:rPr>
          <w:rFonts w:ascii="NettoPro-Bold" w:hAnsi="NettoPro-Bold" w:cs="NettoPro-Bold"/>
          <w:b w:val="0"/>
          <w:sz w:val="56"/>
          <w:szCs w:val="56"/>
        </w:rPr>
      </w:pPr>
      <w:bookmarkStart w:id="0" w:name="_GoBack"/>
      <w:bookmarkEnd w:id="0"/>
      <w:r w:rsidRPr="00FC6C61">
        <w:rPr>
          <w:rFonts w:ascii="NettoPro-Bold" w:hAnsi="NettoPro-Bold" w:cs="NettoPro-Bold"/>
          <w:b w:val="0"/>
          <w:sz w:val="56"/>
          <w:szCs w:val="56"/>
        </w:rPr>
        <w:t>Smlouva o poskytování</w:t>
      </w:r>
      <w:r w:rsidRPr="00FC6C61">
        <w:rPr>
          <w:rFonts w:ascii="NettoPro-Bold" w:hAnsi="NettoPro-Bold" w:cs="NettoPro-Bold"/>
          <w:b w:val="0"/>
          <w:sz w:val="56"/>
          <w:szCs w:val="56"/>
        </w:rPr>
        <w:br/>
        <w:t>a využívání informací</w:t>
      </w:r>
    </w:p>
    <w:p w14:paraId="0D916EC1" w14:textId="0911CD29" w:rsidR="00E2654A" w:rsidRPr="00BD141D" w:rsidRDefault="00E2654A" w:rsidP="00F75785">
      <w:pPr>
        <w:rPr>
          <w:rFonts w:ascii="Arial" w:hAnsi="Arial" w:cs="Arial"/>
        </w:rPr>
      </w:pPr>
    </w:p>
    <w:p w14:paraId="1F52A627" w14:textId="77777777" w:rsidR="002B34CC" w:rsidRPr="0069583B" w:rsidRDefault="002B34CC" w:rsidP="00DA7E72">
      <w:pPr>
        <w:pStyle w:val="Mezinadpis"/>
        <w:spacing w:before="720"/>
        <w:rPr>
          <w:rFonts w:ascii="NettoPro-Bold" w:hAnsi="NettoPro-Bold" w:cs="NettoPro-Bold"/>
          <w:b w:val="0"/>
        </w:rPr>
      </w:pPr>
      <w:r w:rsidRPr="0069583B">
        <w:rPr>
          <w:rFonts w:ascii="NettoPro-Bold" w:hAnsi="NettoPro-Bold" w:cs="NettoPro-Bold"/>
          <w:b w:val="0"/>
        </w:rPr>
        <w:t>Dnešního dne uzavřely:</w:t>
      </w:r>
    </w:p>
    <w:p w14:paraId="40BCD6F2" w14:textId="77777777" w:rsidR="002B34CC" w:rsidRPr="0069583B" w:rsidRDefault="002B34CC" w:rsidP="009878B4">
      <w:pPr>
        <w:pStyle w:val="podtitul"/>
        <w:rPr>
          <w:rFonts w:ascii="NettoPro-Bold" w:hAnsi="NettoPro-Bold" w:cs="NettoPro-Bold"/>
          <w:b w:val="0"/>
        </w:rPr>
      </w:pPr>
      <w:r w:rsidRPr="0069583B">
        <w:rPr>
          <w:rFonts w:ascii="NettoPro-Bold" w:hAnsi="NettoPro-Bold" w:cs="NettoPro-Bold"/>
          <w:b w:val="0"/>
        </w:rPr>
        <w:t xml:space="preserve">NEWTON Media, a.s. </w:t>
      </w:r>
    </w:p>
    <w:p w14:paraId="278EE545" w14:textId="77777777" w:rsidR="002B34CC" w:rsidRPr="002E21EE" w:rsidRDefault="002B34CC" w:rsidP="002B34CC">
      <w:pPr>
        <w:ind w:left="709"/>
        <w:rPr>
          <w:rFonts w:ascii="NettoPro" w:hAnsi="NettoPro" w:cs="NettoPro"/>
        </w:rPr>
      </w:pPr>
      <w:r w:rsidRPr="002E21EE">
        <w:rPr>
          <w:rFonts w:ascii="NettoPro" w:hAnsi="NettoPro" w:cs="NettoPro"/>
        </w:rPr>
        <w:t xml:space="preserve">zapsaná v obchodním rejstříku vedeném Městským soudem v Praze, </w:t>
      </w:r>
    </w:p>
    <w:p w14:paraId="2FFE5C5D" w14:textId="77777777" w:rsidR="002B34CC" w:rsidRPr="002E21EE" w:rsidRDefault="002B34CC" w:rsidP="002B34CC">
      <w:pPr>
        <w:ind w:left="709"/>
        <w:rPr>
          <w:rFonts w:ascii="NettoPro" w:hAnsi="NettoPro" w:cs="NettoPro"/>
        </w:rPr>
      </w:pPr>
      <w:r w:rsidRPr="002E21EE">
        <w:rPr>
          <w:rFonts w:ascii="NettoPro" w:hAnsi="NettoPro" w:cs="NettoPro"/>
        </w:rPr>
        <w:t>oddíl B, vložka 12446</w:t>
      </w:r>
    </w:p>
    <w:p w14:paraId="4C2A1C86" w14:textId="77777777" w:rsidR="002B34CC" w:rsidRPr="002E21EE" w:rsidRDefault="002B34CC" w:rsidP="002B34CC">
      <w:pPr>
        <w:ind w:left="709"/>
        <w:rPr>
          <w:rFonts w:ascii="NettoPro" w:hAnsi="NettoPro" w:cs="NettoPro"/>
        </w:rPr>
      </w:pPr>
      <w:r w:rsidRPr="002E21EE">
        <w:rPr>
          <w:rFonts w:ascii="NettoPro" w:hAnsi="NettoPro" w:cs="NettoPro"/>
        </w:rPr>
        <w:t>se sídlem Praha 4, Na Pankráci 1683/127, PSČ 140 00</w:t>
      </w:r>
    </w:p>
    <w:p w14:paraId="06951820" w14:textId="77777777" w:rsidR="002B34CC" w:rsidRPr="002E21EE" w:rsidRDefault="002B34CC" w:rsidP="002B34CC">
      <w:pPr>
        <w:ind w:left="709"/>
        <w:rPr>
          <w:rFonts w:ascii="NettoPro" w:hAnsi="NettoPro" w:cs="NettoPro"/>
        </w:rPr>
      </w:pPr>
      <w:r w:rsidRPr="002E21EE">
        <w:rPr>
          <w:rFonts w:ascii="NettoPro" w:hAnsi="NettoPro" w:cs="NettoPro"/>
        </w:rPr>
        <w:t>IČ: 28168356, DIČ: CZ28168356</w:t>
      </w:r>
    </w:p>
    <w:p w14:paraId="20CB3621" w14:textId="77777777" w:rsidR="002B34CC" w:rsidRPr="002E21EE" w:rsidRDefault="002B34CC" w:rsidP="002B34CC">
      <w:pPr>
        <w:ind w:left="709"/>
        <w:rPr>
          <w:rFonts w:ascii="NettoPro" w:hAnsi="NettoPro" w:cs="NettoPro"/>
        </w:rPr>
      </w:pPr>
      <w:r w:rsidRPr="002E21EE">
        <w:rPr>
          <w:rFonts w:ascii="NettoPro" w:hAnsi="NettoPro" w:cs="NettoPro"/>
        </w:rPr>
        <w:t>bankovní spojení: Česká spořitelna, a.s., č. účtu: 2601942/0800</w:t>
      </w:r>
    </w:p>
    <w:p w14:paraId="2EE853CD" w14:textId="77777777" w:rsidR="002B34CC" w:rsidRPr="002E21EE" w:rsidRDefault="002B34CC" w:rsidP="002B34CC">
      <w:pPr>
        <w:ind w:left="709"/>
        <w:rPr>
          <w:rFonts w:ascii="NettoPro" w:hAnsi="NettoPro" w:cs="NettoPro"/>
        </w:rPr>
      </w:pPr>
      <w:r w:rsidRPr="002E21EE">
        <w:rPr>
          <w:rFonts w:ascii="NettoPro" w:hAnsi="NettoPro" w:cs="NettoPro"/>
        </w:rPr>
        <w:t>zastoupená: Ing. Petrem Herianem, předsedou představenstva</w:t>
      </w:r>
    </w:p>
    <w:p w14:paraId="21E3A1B6" w14:textId="77777777" w:rsidR="002B34CC" w:rsidRPr="002E21EE" w:rsidRDefault="002B34CC" w:rsidP="002B34CC">
      <w:pPr>
        <w:ind w:left="709"/>
        <w:rPr>
          <w:rFonts w:ascii="NettoPro" w:hAnsi="NettoPro" w:cs="NettoPro"/>
        </w:rPr>
      </w:pPr>
      <w:r w:rsidRPr="002E21EE">
        <w:rPr>
          <w:rFonts w:ascii="NettoPro" w:hAnsi="NettoPro" w:cs="NettoPro"/>
        </w:rPr>
        <w:t>(dále jen „dodavatel“)</w:t>
      </w:r>
    </w:p>
    <w:p w14:paraId="34BF8C79" w14:textId="77777777" w:rsidR="002B34CC" w:rsidRPr="002E21EE" w:rsidRDefault="002B34CC" w:rsidP="002B34CC">
      <w:pPr>
        <w:ind w:left="709"/>
        <w:rPr>
          <w:rFonts w:ascii="NettoPro" w:hAnsi="NettoPro" w:cs="NettoPro"/>
        </w:rPr>
      </w:pPr>
    </w:p>
    <w:p w14:paraId="337CD121" w14:textId="77777777" w:rsidR="002B34CC" w:rsidRPr="002E21EE" w:rsidRDefault="002B34CC" w:rsidP="002B34CC">
      <w:pPr>
        <w:jc w:val="center"/>
        <w:rPr>
          <w:rFonts w:ascii="NettoPro" w:hAnsi="NettoPro" w:cs="NettoPro"/>
        </w:rPr>
      </w:pPr>
      <w:r w:rsidRPr="002E21EE">
        <w:rPr>
          <w:rFonts w:ascii="NettoPro" w:hAnsi="NettoPro" w:cs="NettoPro"/>
        </w:rPr>
        <w:t>- na straně jedné -</w:t>
      </w:r>
    </w:p>
    <w:p w14:paraId="566FAA4A" w14:textId="77777777" w:rsidR="002B34CC" w:rsidRPr="002E21EE" w:rsidRDefault="002B34CC" w:rsidP="002B34CC">
      <w:pPr>
        <w:rPr>
          <w:rFonts w:ascii="NettoPro" w:hAnsi="NettoPro" w:cs="NettoPro"/>
        </w:rPr>
      </w:pPr>
    </w:p>
    <w:p w14:paraId="14E4C7C8" w14:textId="77777777" w:rsidR="002B34CC" w:rsidRPr="002E21EE" w:rsidRDefault="002B34CC" w:rsidP="002B34CC">
      <w:pPr>
        <w:jc w:val="center"/>
        <w:rPr>
          <w:rFonts w:ascii="NettoPro" w:hAnsi="NettoPro" w:cs="NettoPro"/>
        </w:rPr>
      </w:pPr>
      <w:r w:rsidRPr="002E21EE">
        <w:rPr>
          <w:rFonts w:ascii="NettoPro" w:hAnsi="NettoPro" w:cs="NettoPro"/>
        </w:rPr>
        <w:t>a</w:t>
      </w:r>
    </w:p>
    <w:p w14:paraId="651EF280" w14:textId="62C10944" w:rsidR="00ED5B4F" w:rsidRPr="009878B4" w:rsidRDefault="00811598" w:rsidP="009878B4">
      <w:pPr>
        <w:pStyle w:val="podtitul"/>
        <w:rPr>
          <w:rFonts w:ascii="NettoPro-Bold" w:hAnsi="NettoPro-Bold" w:cs="NettoPro-Bold"/>
          <w:b w:val="0"/>
          <w:bCs/>
          <w:lang w:eastAsia="cs-CZ"/>
        </w:rPr>
      </w:pPr>
      <w:r w:rsidRPr="009878B4">
        <w:rPr>
          <w:rFonts w:ascii="NettoPro-Bold" w:hAnsi="NettoPro-Bold" w:cs="NettoPro-Bold"/>
          <w:b w:val="0"/>
          <w:bCs/>
          <w:lang w:eastAsia="cs-CZ"/>
        </w:rPr>
        <w:t>Statutární město Karlovy Vary</w:t>
      </w:r>
    </w:p>
    <w:p w14:paraId="051F0D6D" w14:textId="2A88A793" w:rsidR="002B34CC" w:rsidRPr="002E21EE" w:rsidRDefault="002B34CC" w:rsidP="002B34CC">
      <w:pPr>
        <w:ind w:firstLine="709"/>
        <w:rPr>
          <w:rFonts w:ascii="NettoPro" w:hAnsi="NettoPro" w:cs="NettoPro"/>
        </w:rPr>
      </w:pPr>
      <w:r w:rsidRPr="002E21EE">
        <w:rPr>
          <w:rFonts w:ascii="NettoPro" w:hAnsi="NettoPro" w:cs="NettoPro"/>
        </w:rPr>
        <w:t xml:space="preserve">se sídlem </w:t>
      </w:r>
      <w:r w:rsidR="004258F7">
        <w:rPr>
          <w:rFonts w:ascii="NettoPro" w:hAnsi="NettoPro" w:cs="NettoPro"/>
        </w:rPr>
        <w:t>Karlovy Vary, Moskevská 2035/21, PSČ 361 20</w:t>
      </w:r>
    </w:p>
    <w:p w14:paraId="1352B6FD" w14:textId="271857C3" w:rsidR="002B34CC" w:rsidRPr="002E21EE" w:rsidRDefault="002B34CC" w:rsidP="002B34CC">
      <w:pPr>
        <w:ind w:firstLine="709"/>
        <w:rPr>
          <w:rFonts w:ascii="NettoPro" w:hAnsi="NettoPro" w:cs="NettoPro"/>
        </w:rPr>
      </w:pPr>
      <w:r w:rsidRPr="002E21EE">
        <w:rPr>
          <w:rFonts w:ascii="NettoPro" w:hAnsi="NettoPro" w:cs="NettoPro"/>
        </w:rPr>
        <w:lastRenderedPageBreak/>
        <w:t xml:space="preserve">IČ: </w:t>
      </w:r>
      <w:r w:rsidR="004258F7">
        <w:rPr>
          <w:rFonts w:ascii="NettoPro" w:hAnsi="NettoPro" w:cs="NettoPro"/>
        </w:rPr>
        <w:t>00254657</w:t>
      </w:r>
      <w:r w:rsidRPr="002E21EE">
        <w:rPr>
          <w:rFonts w:ascii="NettoPro" w:hAnsi="NettoPro" w:cs="NettoPro"/>
        </w:rPr>
        <w:t>, DIČ: CZ</w:t>
      </w:r>
      <w:r w:rsidR="004258F7">
        <w:rPr>
          <w:rFonts w:ascii="NettoPro" w:hAnsi="NettoPro" w:cs="NettoPro"/>
        </w:rPr>
        <w:t>00254657</w:t>
      </w:r>
    </w:p>
    <w:p w14:paraId="6742B7B6" w14:textId="6342BEDB" w:rsidR="002B34CC" w:rsidRPr="002E21EE" w:rsidRDefault="002B34CC" w:rsidP="002B34CC">
      <w:pPr>
        <w:ind w:firstLine="709"/>
        <w:rPr>
          <w:rFonts w:ascii="NettoPro" w:hAnsi="NettoPro" w:cs="NettoPro"/>
        </w:rPr>
      </w:pPr>
      <w:r w:rsidRPr="002E21EE">
        <w:rPr>
          <w:rFonts w:ascii="NettoPro" w:hAnsi="NettoPro" w:cs="NettoPro"/>
        </w:rPr>
        <w:t xml:space="preserve">bankovní spojení: </w:t>
      </w:r>
      <w:r w:rsidR="004258F7">
        <w:rPr>
          <w:rFonts w:ascii="NettoPro" w:hAnsi="NettoPro" w:cs="NettoPro"/>
        </w:rPr>
        <w:t>Česká spořitelna, a.s.</w:t>
      </w:r>
      <w:r w:rsidRPr="002E21EE">
        <w:rPr>
          <w:rFonts w:ascii="NettoPro" w:hAnsi="NettoPro" w:cs="NettoPro"/>
        </w:rPr>
        <w:t xml:space="preserve">, č. účtu: </w:t>
      </w:r>
      <w:r w:rsidR="004258F7">
        <w:rPr>
          <w:rFonts w:ascii="NettoPro" w:hAnsi="NettoPro" w:cs="NettoPro"/>
        </w:rPr>
        <w:t>0800424389/0800</w:t>
      </w:r>
    </w:p>
    <w:p w14:paraId="058EBCFA" w14:textId="21CFDD05" w:rsidR="002B34CC" w:rsidRPr="002E21EE" w:rsidRDefault="002B34CC" w:rsidP="002B34CC">
      <w:pPr>
        <w:ind w:firstLine="709"/>
        <w:rPr>
          <w:rFonts w:ascii="NettoPro" w:hAnsi="NettoPro" w:cs="NettoPro"/>
        </w:rPr>
      </w:pPr>
      <w:r w:rsidRPr="002E21EE">
        <w:rPr>
          <w:rFonts w:ascii="NettoPro" w:hAnsi="NettoPro" w:cs="NettoPro"/>
        </w:rPr>
        <w:t xml:space="preserve">fakturační e-mailová adresa: </w:t>
      </w:r>
      <w:r w:rsidR="004258F7" w:rsidRPr="004258F7">
        <w:rPr>
          <w:rFonts w:ascii="NettoPro" w:hAnsi="NettoPro" w:cs="NettoPro"/>
        </w:rPr>
        <w:t>k.vankatova@mmkv.cz</w:t>
      </w:r>
    </w:p>
    <w:p w14:paraId="4FF47FF6" w14:textId="476A915A" w:rsidR="002B34CC" w:rsidRPr="002E21EE" w:rsidRDefault="002B34CC" w:rsidP="002B34CC">
      <w:pPr>
        <w:ind w:firstLine="709"/>
        <w:rPr>
          <w:rFonts w:ascii="NettoPro" w:hAnsi="NettoPro" w:cs="NettoPro"/>
        </w:rPr>
      </w:pPr>
      <w:r w:rsidRPr="002E21EE">
        <w:rPr>
          <w:rFonts w:ascii="NettoPro" w:hAnsi="NettoPro" w:cs="NettoPro"/>
        </w:rPr>
        <w:t xml:space="preserve">zastoupená: </w:t>
      </w:r>
      <w:r w:rsidR="004258F7">
        <w:rPr>
          <w:rFonts w:ascii="NettoPro" w:hAnsi="NettoPro" w:cs="NettoPro"/>
        </w:rPr>
        <w:t>Mgr. Renata Hybnerová, vedoucí odboru kanceláře primátora</w:t>
      </w:r>
    </w:p>
    <w:p w14:paraId="71DDE298" w14:textId="77777777" w:rsidR="002B34CC" w:rsidRPr="002E21EE" w:rsidRDefault="002B34CC" w:rsidP="002B34CC">
      <w:pPr>
        <w:ind w:firstLine="709"/>
        <w:rPr>
          <w:rFonts w:ascii="NettoPro" w:hAnsi="NettoPro" w:cs="NettoPro"/>
        </w:rPr>
      </w:pPr>
      <w:r w:rsidRPr="002E21EE">
        <w:rPr>
          <w:rFonts w:ascii="NettoPro" w:hAnsi="NettoPro" w:cs="NettoPro"/>
        </w:rPr>
        <w:t>(dále jen „odběratel“)</w:t>
      </w:r>
    </w:p>
    <w:p w14:paraId="1C775565" w14:textId="77777777" w:rsidR="002B34CC" w:rsidRPr="002E21EE" w:rsidRDefault="002B34CC" w:rsidP="00F62B93">
      <w:pPr>
        <w:jc w:val="center"/>
        <w:rPr>
          <w:rFonts w:ascii="NettoPro" w:hAnsi="NettoPro" w:cs="NettoPro"/>
        </w:rPr>
      </w:pPr>
      <w:r w:rsidRPr="002E21EE">
        <w:rPr>
          <w:rFonts w:ascii="NettoPro" w:hAnsi="NettoPro" w:cs="NettoPro"/>
        </w:rPr>
        <w:t>- na straně druhé -</w:t>
      </w:r>
    </w:p>
    <w:p w14:paraId="2913BD17" w14:textId="77777777" w:rsidR="002B34CC" w:rsidRPr="002E21EE" w:rsidRDefault="002B34CC" w:rsidP="002B34CC">
      <w:pPr>
        <w:spacing w:before="240"/>
        <w:jc w:val="center"/>
        <w:rPr>
          <w:rFonts w:ascii="NettoPro" w:hAnsi="NettoPro" w:cs="NettoPro"/>
        </w:rPr>
      </w:pPr>
      <w:r w:rsidRPr="002E21EE">
        <w:rPr>
          <w:rFonts w:ascii="NettoPro" w:hAnsi="NettoPro" w:cs="NettoPro"/>
        </w:rPr>
        <w:t>tuto</w:t>
      </w:r>
    </w:p>
    <w:p w14:paraId="7549D413" w14:textId="77777777" w:rsidR="002B34CC" w:rsidRPr="0069583B" w:rsidRDefault="002B34CC" w:rsidP="002B34CC">
      <w:pPr>
        <w:pStyle w:val="Mezinadpis"/>
        <w:jc w:val="center"/>
        <w:rPr>
          <w:rFonts w:ascii="NettoPro-Bold" w:hAnsi="NettoPro-Bold" w:cs="NettoPro-Bold"/>
          <w:b w:val="0"/>
        </w:rPr>
      </w:pPr>
      <w:r w:rsidRPr="0069583B">
        <w:rPr>
          <w:rFonts w:ascii="NettoPro-Bold" w:hAnsi="NettoPro-Bold" w:cs="NettoPro-Bold"/>
          <w:b w:val="0"/>
        </w:rPr>
        <w:t>smlouvu o poskytování a využívání informací.</w:t>
      </w:r>
    </w:p>
    <w:p w14:paraId="2C59CA00" w14:textId="77777777" w:rsidR="007810E8" w:rsidRPr="00BD141D" w:rsidRDefault="007810E8" w:rsidP="007810E8">
      <w:pPr>
        <w:pStyle w:val="Mezinadpis"/>
        <w:rPr>
          <w:rFonts w:ascii="Arial" w:hAnsi="Arial" w:cs="Arial"/>
        </w:rPr>
      </w:pPr>
    </w:p>
    <w:p w14:paraId="0BA72776" w14:textId="77777777" w:rsidR="007D204B" w:rsidRPr="002E21EE" w:rsidRDefault="007D204B" w:rsidP="007D204B">
      <w:pPr>
        <w:rPr>
          <w:rFonts w:ascii="NettoPro" w:hAnsi="NettoPro" w:cs="NettoPro"/>
        </w:rPr>
      </w:pPr>
      <w:r w:rsidRPr="002E21EE">
        <w:rPr>
          <w:rFonts w:ascii="NettoPro" w:hAnsi="NettoPro" w:cs="NettoPro"/>
        </w:rPr>
        <w:t xml:space="preserve">Smluvní strany, vědomy si svých závazků v této smlouvě obsažených a s úmyslem být touto smlouvou vázány, dohodly se v souladu s ustanovením § 1746 odst. 2 zákona č. 89/2012 Sb., občanský zákoník, ve znění pozdějších předpisů (dále jen </w:t>
      </w:r>
      <w:r w:rsidRPr="00340E2B">
        <w:rPr>
          <w:rFonts w:ascii="NettoPro-Bold" w:hAnsi="NettoPro-Bold" w:cs="NettoPro-Bold"/>
        </w:rPr>
        <w:t>„občanský zákoník“</w:t>
      </w:r>
      <w:r w:rsidRPr="002E21EE">
        <w:rPr>
          <w:rFonts w:ascii="NettoPro" w:hAnsi="NettoPro" w:cs="NettoPro"/>
        </w:rPr>
        <w:t xml:space="preserve">) na následujícím znění smlouvy (dále jen </w:t>
      </w:r>
      <w:r w:rsidRPr="00340E2B">
        <w:rPr>
          <w:rFonts w:ascii="NettoPro-Bold" w:hAnsi="NettoPro-Bold" w:cs="NettoPro-Bold"/>
        </w:rPr>
        <w:t>„smlouva“</w:t>
      </w:r>
      <w:r w:rsidRPr="002E21EE">
        <w:rPr>
          <w:rFonts w:ascii="NettoPro" w:hAnsi="NettoPro" w:cs="NettoPro"/>
        </w:rPr>
        <w:t>):</w:t>
      </w:r>
    </w:p>
    <w:p w14:paraId="26A19BF5" w14:textId="77777777" w:rsidR="007D204B" w:rsidRPr="002E21EE" w:rsidRDefault="007D204B" w:rsidP="000907D2">
      <w:pPr>
        <w:pStyle w:val="HlavniNadpis"/>
        <w:rPr>
          <w:rFonts w:ascii="NettoPro-Bold" w:hAnsi="NettoPro-Bold" w:cs="NettoPro-Bold"/>
          <w:b w:val="0"/>
        </w:rPr>
      </w:pPr>
      <w:r w:rsidRPr="002E21EE">
        <w:rPr>
          <w:rFonts w:ascii="NettoPro-Bold" w:hAnsi="NettoPro-Bold" w:cs="NettoPro-Bold"/>
          <w:b w:val="0"/>
        </w:rPr>
        <w:t>Předmět smlouvy</w:t>
      </w:r>
    </w:p>
    <w:p w14:paraId="20E8C16D" w14:textId="77777777" w:rsidR="007D204B" w:rsidRPr="002E21EE" w:rsidRDefault="007D204B" w:rsidP="000907D2">
      <w:pPr>
        <w:pStyle w:val="Podnadpis1"/>
        <w:rPr>
          <w:rFonts w:ascii="NettoPro" w:hAnsi="NettoPro" w:cs="NettoPro"/>
        </w:rPr>
      </w:pPr>
      <w:bookmarkStart w:id="1" w:name="_Ref252256328"/>
      <w:r w:rsidRPr="002E21EE">
        <w:rPr>
          <w:rFonts w:ascii="NettoPro" w:hAnsi="NettoPro" w:cs="NettoPro"/>
        </w:rPr>
        <w:t>Dodavatel se touto smlouvou zavazuje poskytovat odběrateli plnění způsobem, ve lhůtách a za podmínek</w:t>
      </w:r>
      <w:r w:rsidR="00796765" w:rsidRPr="002E21EE">
        <w:rPr>
          <w:rFonts w:ascii="NettoPro" w:hAnsi="NettoPro" w:cs="NettoPro"/>
        </w:rPr>
        <w:t xml:space="preserve"> stanovených touto smlouvou, tj.</w:t>
      </w:r>
      <w:r w:rsidRPr="002E21EE">
        <w:rPr>
          <w:rFonts w:ascii="NettoPro" w:hAnsi="NettoPro" w:cs="NettoPro"/>
        </w:rPr>
        <w:t>:</w:t>
      </w:r>
      <w:bookmarkEnd w:id="1"/>
    </w:p>
    <w:p w14:paraId="1C5127A6" w14:textId="018BC0CA" w:rsidR="000B6A51" w:rsidRPr="002E21EE" w:rsidRDefault="007C1CA0" w:rsidP="000B6A51">
      <w:pPr>
        <w:pStyle w:val="PodPodNadpis"/>
        <w:rPr>
          <w:rFonts w:ascii="NettoPro" w:hAnsi="NettoPro" w:cs="NettoPro"/>
          <w:color w:val="4A4A49" w:themeColor="text2"/>
        </w:rPr>
      </w:pPr>
      <w:bookmarkStart w:id="2" w:name="_Hlk5897926"/>
      <w:r w:rsidRPr="002E21EE">
        <w:rPr>
          <w:rFonts w:ascii="NettoPro" w:hAnsi="NettoPro" w:cs="NettoPro"/>
          <w:color w:val="4A4A49" w:themeColor="text2"/>
        </w:rPr>
        <w:t xml:space="preserve">Poskytovat </w:t>
      </w:r>
      <w:r w:rsidR="00720714" w:rsidRPr="002E21EE">
        <w:rPr>
          <w:rFonts w:ascii="NettoPro-Bold" w:hAnsi="NettoPro-Bold" w:cs="NettoPro-Bold"/>
          <w:color w:val="4A4A49" w:themeColor="text2"/>
        </w:rPr>
        <w:t>platformu</w:t>
      </w:r>
      <w:r w:rsidRPr="002E21EE">
        <w:rPr>
          <w:rFonts w:ascii="NettoPro-Bold" w:hAnsi="NettoPro-Bold" w:cs="NettoPro-Bold"/>
          <w:color w:val="4A4A49" w:themeColor="text2"/>
        </w:rPr>
        <w:t xml:space="preserve"> NewtonOne</w:t>
      </w:r>
      <w:r w:rsidR="003C1531" w:rsidRPr="002E21EE">
        <w:rPr>
          <w:rFonts w:ascii="NettoPro" w:hAnsi="NettoPro" w:cs="NettoPro"/>
          <w:color w:val="4A4A49" w:themeColor="text2"/>
        </w:rPr>
        <w:t xml:space="preserve">, která obsahuje níže uvedené </w:t>
      </w:r>
      <w:r w:rsidR="00E9005D">
        <w:rPr>
          <w:rFonts w:ascii="NettoPro" w:hAnsi="NettoPro" w:cs="NettoPro"/>
          <w:color w:val="4A4A49" w:themeColor="text2"/>
        </w:rPr>
        <w:t>varianty služeb</w:t>
      </w:r>
      <w:r w:rsidR="003C1531" w:rsidRPr="002E21EE">
        <w:rPr>
          <w:rFonts w:ascii="NettoPro" w:hAnsi="NettoPro" w:cs="NettoPro"/>
          <w:color w:val="4A4A49" w:themeColor="text2"/>
        </w:rPr>
        <w:t>:</w:t>
      </w:r>
    </w:p>
    <w:tbl>
      <w:tblPr>
        <w:tblStyle w:val="Prosttabulka21"/>
        <w:tblW w:w="0" w:type="auto"/>
        <w:tblLook w:val="04A0" w:firstRow="1" w:lastRow="0" w:firstColumn="1" w:lastColumn="0" w:noHBand="0" w:noVBand="1"/>
      </w:tblPr>
      <w:tblGrid>
        <w:gridCol w:w="9759"/>
      </w:tblGrid>
      <w:tr w:rsidR="003C1531" w14:paraId="4D9B287F" w14:textId="77777777" w:rsidTr="002E21EE">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bookmarkStart w:id="3" w:name="_Hlk2599612"/>
          <w:bookmarkEnd w:id="2"/>
          <w:p w14:paraId="706AD5DB" w14:textId="4AEA738B" w:rsidR="003C1531" w:rsidRPr="00933067" w:rsidRDefault="00F34FB6">
            <w:pPr>
              <w:pStyle w:val="Podnadpis1"/>
              <w:numPr>
                <w:ilvl w:val="0"/>
                <w:numId w:val="0"/>
              </w:numPr>
              <w:rPr>
                <w:rFonts w:ascii="NettoPro-Bold" w:hAnsi="NettoPro-Bold" w:cs="NettoPro-Bold"/>
                <w:b w:val="0"/>
                <w:highlight w:val="yellow"/>
              </w:rPr>
            </w:pPr>
            <w:sdt>
              <w:sdtPr>
                <w:rPr>
                  <w:rFonts w:ascii="NettoPro-Bold" w:hAnsi="NettoPro-Bold" w:cs="NettoPro-Bold"/>
                  <w:color w:val="auto"/>
                </w:rPr>
                <w:id w:val="-113830965"/>
                <w14:checkbox>
                  <w14:checked w14:val="1"/>
                  <w14:checkedState w14:val="2612" w14:font="MS Gothic"/>
                  <w14:uncheckedState w14:val="2610" w14:font="MS Gothic"/>
                </w14:checkbox>
              </w:sdtPr>
              <w:sdtEndPr/>
              <w:sdtContent>
                <w:r w:rsidR="004258F7">
                  <w:rPr>
                    <w:rFonts w:ascii="MS Gothic" w:eastAsia="MS Gothic" w:hAnsi="MS Gothic" w:cs="NettoPro-Bold" w:hint="eastAsia"/>
                    <w:color w:val="auto"/>
                  </w:rPr>
                  <w:t>☒</w:t>
                </w:r>
              </w:sdtContent>
            </w:sdt>
            <w:r w:rsidR="003C1531" w:rsidRPr="00933067">
              <w:rPr>
                <w:rFonts w:ascii="NettoPro-Bold" w:hAnsi="NettoPro-Bold" w:cs="NettoPro-Bold"/>
                <w:b w:val="0"/>
                <w:color w:val="auto"/>
              </w:rPr>
              <w:t xml:space="preserve"> </w:t>
            </w:r>
            <w:r w:rsidR="007D31A4" w:rsidRPr="00933067">
              <w:rPr>
                <w:rFonts w:ascii="NettoPro-Bold" w:hAnsi="NettoPro-Bold" w:cs="NettoPro-Bold"/>
                <w:b w:val="0"/>
                <w:sz w:val="24"/>
              </w:rPr>
              <w:t>NewtonOne</w:t>
            </w:r>
          </w:p>
        </w:tc>
      </w:tr>
      <w:tr w:rsidR="003C1531" w14:paraId="53F28AB6" w14:textId="77777777" w:rsidTr="002E21E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546D6661" w14:textId="77777777" w:rsidR="007F0675" w:rsidRPr="002E21EE" w:rsidRDefault="007F0675" w:rsidP="002E21EE">
            <w:pPr>
              <w:pStyle w:val="Podnadpis1"/>
              <w:numPr>
                <w:ilvl w:val="0"/>
                <w:numId w:val="0"/>
              </w:numPr>
              <w:spacing w:line="276" w:lineRule="auto"/>
              <w:ind w:left="360"/>
              <w:rPr>
                <w:rFonts w:ascii="NettoPro" w:hAnsi="NettoPro" w:cs="NettoPro"/>
                <w:b w:val="0"/>
              </w:rPr>
            </w:pPr>
            <w:r w:rsidRPr="002E21EE">
              <w:rPr>
                <w:rFonts w:ascii="NettoPro" w:hAnsi="NettoPro" w:cs="NettoPro"/>
                <w:b w:val="0"/>
              </w:rPr>
              <w:t xml:space="preserve">Platforma a mobilní aplikace: </w:t>
            </w:r>
          </w:p>
          <w:p w14:paraId="03FD73B4" w14:textId="77777777" w:rsidR="008D0662" w:rsidRPr="002E21EE" w:rsidRDefault="007D31A4" w:rsidP="002E21EE">
            <w:pPr>
              <w:pStyle w:val="Podnadpis1"/>
              <w:numPr>
                <w:ilvl w:val="0"/>
                <w:numId w:val="47"/>
              </w:numPr>
              <w:spacing w:line="276" w:lineRule="auto"/>
              <w:rPr>
                <w:rFonts w:ascii="NettoPro" w:hAnsi="NettoPro" w:cs="NettoPro"/>
                <w:b w:val="0"/>
              </w:rPr>
            </w:pPr>
            <w:r w:rsidRPr="002E21EE">
              <w:rPr>
                <w:rFonts w:ascii="NettoPro" w:hAnsi="NettoPro" w:cs="NettoPro"/>
                <w:b w:val="0"/>
              </w:rPr>
              <w:t xml:space="preserve">Přístup do </w:t>
            </w:r>
            <w:r w:rsidR="007F0675" w:rsidRPr="002E21EE">
              <w:rPr>
                <w:rFonts w:ascii="NettoPro" w:hAnsi="NettoPro" w:cs="NettoPro"/>
                <w:b w:val="0"/>
              </w:rPr>
              <w:t xml:space="preserve">desktopové </w:t>
            </w:r>
            <w:r w:rsidRPr="002E21EE">
              <w:rPr>
                <w:rFonts w:ascii="NettoPro" w:hAnsi="NettoPro" w:cs="NettoPro"/>
                <w:b w:val="0"/>
              </w:rPr>
              <w:t>platformy NewtonOne</w:t>
            </w:r>
          </w:p>
          <w:p w14:paraId="2D4C796A" w14:textId="77777777" w:rsidR="000B6A51" w:rsidRPr="002E21EE" w:rsidRDefault="000B6A51" w:rsidP="002E21EE">
            <w:pPr>
              <w:pStyle w:val="Podnadpis1"/>
              <w:numPr>
                <w:ilvl w:val="0"/>
                <w:numId w:val="47"/>
              </w:numPr>
              <w:spacing w:line="276" w:lineRule="auto"/>
              <w:rPr>
                <w:rFonts w:ascii="NettoPro" w:hAnsi="NettoPro" w:cs="NettoPro"/>
                <w:b w:val="0"/>
              </w:rPr>
            </w:pPr>
            <w:r w:rsidRPr="002E21EE">
              <w:rPr>
                <w:rFonts w:ascii="NettoPro" w:hAnsi="NettoPro" w:cs="NettoPro"/>
                <w:b w:val="0"/>
              </w:rPr>
              <w:t>Monitoring médií s datovou analytikou</w:t>
            </w:r>
          </w:p>
          <w:p w14:paraId="69DA93BF" w14:textId="77777777" w:rsidR="007D31A4" w:rsidRPr="002E21EE" w:rsidRDefault="00C863D9" w:rsidP="002E21EE">
            <w:pPr>
              <w:pStyle w:val="Odstavecseseznamem"/>
              <w:numPr>
                <w:ilvl w:val="0"/>
                <w:numId w:val="47"/>
              </w:numPr>
              <w:spacing w:line="276" w:lineRule="auto"/>
              <w:rPr>
                <w:rFonts w:ascii="NettoPro" w:hAnsi="NettoPro" w:cs="NettoPro"/>
                <w:b w:val="0"/>
              </w:rPr>
            </w:pPr>
            <w:r w:rsidRPr="002E21EE">
              <w:rPr>
                <w:rFonts w:ascii="NettoPro" w:hAnsi="NettoPro" w:cs="NettoPro"/>
                <w:b w:val="0"/>
              </w:rPr>
              <w:t>Z</w:t>
            </w:r>
            <w:r w:rsidR="007D31A4" w:rsidRPr="002E21EE">
              <w:rPr>
                <w:rFonts w:ascii="NettoPro" w:hAnsi="NettoPro" w:cs="NettoPro"/>
                <w:b w:val="0"/>
              </w:rPr>
              <w:t>asílání monitoringu v podobě newsmailu</w:t>
            </w:r>
          </w:p>
          <w:p w14:paraId="01630817" w14:textId="77777777" w:rsidR="00C863D9" w:rsidRPr="002E21EE" w:rsidRDefault="007D31A4" w:rsidP="00E07BEE">
            <w:pPr>
              <w:pStyle w:val="Podnadpis1"/>
              <w:numPr>
                <w:ilvl w:val="0"/>
                <w:numId w:val="47"/>
              </w:numPr>
              <w:spacing w:line="276" w:lineRule="auto"/>
              <w:ind w:left="714" w:hanging="357"/>
              <w:rPr>
                <w:rFonts w:ascii="NettoPro" w:hAnsi="NettoPro" w:cs="NettoPro"/>
                <w:b w:val="0"/>
              </w:rPr>
            </w:pPr>
            <w:r w:rsidRPr="002E21EE">
              <w:rPr>
                <w:rFonts w:ascii="NettoPro" w:hAnsi="NettoPro" w:cs="NettoPro"/>
                <w:b w:val="0"/>
              </w:rPr>
              <w:t>Vyhledávání v</w:t>
            </w:r>
            <w:r w:rsidR="00C863D9" w:rsidRPr="002E21EE">
              <w:rPr>
                <w:rFonts w:ascii="NettoPro" w:hAnsi="NettoPro" w:cs="NettoPro"/>
                <w:b w:val="0"/>
              </w:rPr>
              <w:t> </w:t>
            </w:r>
            <w:r w:rsidRPr="002E21EE">
              <w:rPr>
                <w:rFonts w:ascii="NettoPro" w:hAnsi="NettoPro" w:cs="NettoPro"/>
                <w:b w:val="0"/>
              </w:rPr>
              <w:t>databázi</w:t>
            </w:r>
          </w:p>
          <w:p w14:paraId="4F3A1DF1" w14:textId="77777777" w:rsidR="001B1214" w:rsidRPr="002E21EE" w:rsidRDefault="001B1214" w:rsidP="00E07BEE">
            <w:pPr>
              <w:pStyle w:val="Odstavecseseznamem"/>
              <w:numPr>
                <w:ilvl w:val="0"/>
                <w:numId w:val="47"/>
              </w:numPr>
              <w:spacing w:after="120" w:line="276" w:lineRule="auto"/>
              <w:ind w:left="714" w:hanging="357"/>
              <w:contextualSpacing w:val="0"/>
              <w:rPr>
                <w:rFonts w:ascii="NettoPro" w:hAnsi="NettoPro" w:cs="NettoPro"/>
                <w:b w:val="0"/>
              </w:rPr>
            </w:pPr>
            <w:r w:rsidRPr="002E21EE">
              <w:rPr>
                <w:rFonts w:ascii="NettoPro" w:hAnsi="NettoPro" w:cs="NettoPro"/>
                <w:b w:val="0"/>
              </w:rPr>
              <w:t>Přístup do mobilní aplikace NewtonOne (dostupná pro iOS a Android) určenou pro čtení výsledků monitoringu a zasílání notifikací</w:t>
            </w:r>
          </w:p>
          <w:p w14:paraId="039B7A40" w14:textId="77777777" w:rsidR="006F7264" w:rsidRPr="002E21EE" w:rsidRDefault="001B1214" w:rsidP="00E07BEE">
            <w:pPr>
              <w:pStyle w:val="Odstavecseseznamem"/>
              <w:numPr>
                <w:ilvl w:val="0"/>
                <w:numId w:val="47"/>
              </w:numPr>
              <w:spacing w:after="120" w:line="276" w:lineRule="auto"/>
              <w:ind w:left="714" w:hanging="357"/>
              <w:contextualSpacing w:val="0"/>
              <w:rPr>
                <w:rFonts w:ascii="NettoPro" w:hAnsi="NettoPro" w:cs="NettoPro"/>
                <w:b w:val="0"/>
              </w:rPr>
            </w:pPr>
            <w:r w:rsidRPr="002E21EE">
              <w:rPr>
                <w:rFonts w:ascii="NettoPro" w:hAnsi="NettoPro" w:cs="NettoPro"/>
                <w:b w:val="0"/>
              </w:rPr>
              <w:t>Extra: manuální tagging sentimentu a důležitých zpráv, export zpráv</w:t>
            </w:r>
          </w:p>
          <w:p w14:paraId="667C1091" w14:textId="7E543655" w:rsidR="003D14DB" w:rsidRPr="002E21EE" w:rsidRDefault="006F7264" w:rsidP="002E21EE">
            <w:pPr>
              <w:pStyle w:val="Odstavecseseznamem"/>
              <w:numPr>
                <w:ilvl w:val="0"/>
                <w:numId w:val="47"/>
              </w:numPr>
              <w:spacing w:line="276" w:lineRule="auto"/>
              <w:rPr>
                <w:rFonts w:ascii="NettoPro" w:hAnsi="NettoPro" w:cs="NettoPro"/>
                <w:b w:val="0"/>
              </w:rPr>
            </w:pPr>
            <w:r w:rsidRPr="002E21EE">
              <w:rPr>
                <w:rFonts w:ascii="NettoPro" w:hAnsi="NettoPro" w:cs="NettoPro"/>
                <w:b w:val="0"/>
              </w:rPr>
              <w:t>Online podpora</w:t>
            </w:r>
            <w:r w:rsidR="00F55935" w:rsidRPr="002E21EE">
              <w:rPr>
                <w:rFonts w:ascii="NettoPro" w:hAnsi="NettoPro" w:cs="NettoPro"/>
                <w:b w:val="0"/>
              </w:rPr>
              <w:br/>
            </w:r>
          </w:p>
          <w:p w14:paraId="40947633" w14:textId="7DAD2F25" w:rsidR="00C863D9" w:rsidRPr="004258F7" w:rsidRDefault="00C863D9" w:rsidP="002E21EE">
            <w:pPr>
              <w:spacing w:line="276" w:lineRule="auto"/>
              <w:ind w:left="360"/>
              <w:rPr>
                <w:rFonts w:ascii="NettoPro" w:hAnsi="NettoPro" w:cs="NettoPro"/>
                <w:b w:val="0"/>
              </w:rPr>
            </w:pPr>
            <w:r w:rsidRPr="004258F7">
              <w:rPr>
                <w:rFonts w:ascii="NettoPro" w:hAnsi="NettoPro" w:cs="NettoPro"/>
                <w:b w:val="0"/>
              </w:rPr>
              <w:t>Zpřístupněné moduly:</w:t>
            </w:r>
          </w:p>
          <w:p w14:paraId="29A5251D" w14:textId="3932CD54" w:rsidR="00F30DFD" w:rsidRPr="004258F7" w:rsidRDefault="00F34FB6" w:rsidP="004258F7">
            <w:pPr>
              <w:pStyle w:val="Podnadpis1"/>
              <w:numPr>
                <w:ilvl w:val="0"/>
                <w:numId w:val="0"/>
              </w:numPr>
              <w:spacing w:line="240" w:lineRule="auto"/>
              <w:ind w:left="360"/>
              <w:rPr>
                <w:rFonts w:ascii="NettoPro" w:hAnsi="NettoPro" w:cs="NettoPro"/>
                <w:b w:val="0"/>
                <w:color w:val="333333" w:themeColor="text1" w:themeShade="80"/>
              </w:rPr>
            </w:pPr>
            <w:sdt>
              <w:sdtPr>
                <w:rPr>
                  <w:rFonts w:ascii="NettoPro" w:hAnsi="NettoPro" w:cs="NettoPro"/>
                  <w:color w:val="333333" w:themeColor="text1" w:themeShade="80"/>
                </w:rPr>
                <w:id w:val="-1828275644"/>
                <w14:checkbox>
                  <w14:checked w14:val="1"/>
                  <w14:checkedState w14:val="2612" w14:font="MS Gothic"/>
                  <w14:uncheckedState w14:val="2610" w14:font="MS Gothic"/>
                </w14:checkbox>
              </w:sdtPr>
              <w:sdtEndPr/>
              <w:sdtContent>
                <w:r w:rsidR="00EB3A03">
                  <w:rPr>
                    <w:rFonts w:ascii="MS Gothic" w:eastAsia="MS Gothic" w:hAnsi="MS Gothic" w:cs="NettoPro" w:hint="eastAsia"/>
                    <w:color w:val="333333" w:themeColor="text1" w:themeShade="80"/>
                  </w:rPr>
                  <w:t>☒</w:t>
                </w:r>
              </w:sdtContent>
            </w:sdt>
            <w:r w:rsidR="00F30DFD" w:rsidRPr="004258F7">
              <w:rPr>
                <w:rFonts w:ascii="NettoPro" w:hAnsi="NettoPro" w:cs="NettoPro"/>
                <w:b w:val="0"/>
                <w:color w:val="333333" w:themeColor="text1" w:themeShade="80"/>
              </w:rPr>
              <w:t xml:space="preserve"> Monitoring: </w:t>
            </w:r>
            <w:r w:rsidR="004258F7" w:rsidRPr="004258F7">
              <w:rPr>
                <w:rFonts w:ascii="NettoPro" w:hAnsi="NettoPro" w:cs="NettoPro"/>
                <w:b w:val="0"/>
                <w:color w:val="333333" w:themeColor="text1" w:themeShade="80"/>
              </w:rPr>
              <w:t>N1, CZ</w:t>
            </w:r>
          </w:p>
          <w:p w14:paraId="1A874F1B" w14:textId="071A20CA" w:rsidR="004258F7" w:rsidRPr="004258F7" w:rsidRDefault="00F34FB6" w:rsidP="004258F7">
            <w:pPr>
              <w:pStyle w:val="Podnadpis1"/>
              <w:numPr>
                <w:ilvl w:val="0"/>
                <w:numId w:val="0"/>
              </w:numPr>
              <w:spacing w:line="240" w:lineRule="auto"/>
              <w:ind w:left="360"/>
              <w:rPr>
                <w:rFonts w:ascii="NettoPro" w:hAnsi="NettoPro" w:cs="NettoPro"/>
                <w:b w:val="0"/>
                <w:color w:val="333333" w:themeColor="text1" w:themeShade="80"/>
              </w:rPr>
            </w:pPr>
            <w:sdt>
              <w:sdtPr>
                <w:rPr>
                  <w:rFonts w:ascii="NettoPro" w:hAnsi="NettoPro" w:cs="NettoPro"/>
                  <w:color w:val="333333" w:themeColor="text1" w:themeShade="80"/>
                </w:rPr>
                <w:id w:val="-815109188"/>
                <w14:checkbox>
                  <w14:checked w14:val="1"/>
                  <w14:checkedState w14:val="2612" w14:font="MS Gothic"/>
                  <w14:uncheckedState w14:val="2610" w14:font="MS Gothic"/>
                </w14:checkbox>
              </w:sdtPr>
              <w:sdtEndPr/>
              <w:sdtContent>
                <w:r w:rsidR="00EB3A03">
                  <w:rPr>
                    <w:rFonts w:ascii="MS Gothic" w:eastAsia="MS Gothic" w:hAnsi="MS Gothic" w:cs="NettoPro" w:hint="eastAsia"/>
                    <w:color w:val="333333" w:themeColor="text1" w:themeShade="80"/>
                  </w:rPr>
                  <w:t>☒</w:t>
                </w:r>
              </w:sdtContent>
            </w:sdt>
            <w:r w:rsidR="004258F7" w:rsidRPr="004258F7">
              <w:rPr>
                <w:rFonts w:ascii="NettoPro" w:hAnsi="NettoPro" w:cs="NettoPro"/>
                <w:b w:val="0"/>
                <w:color w:val="333333" w:themeColor="text1" w:themeShade="80"/>
              </w:rPr>
              <w:t xml:space="preserve"> Archiv: N1, 5 let, CZ</w:t>
            </w:r>
            <w:r w:rsidR="004258F7" w:rsidRPr="002E21EE">
              <w:rPr>
                <w:rFonts w:ascii="NettoPro" w:hAnsi="NettoPro" w:cs="NettoPro"/>
                <w:b w:val="0"/>
                <w:color w:val="333333" w:themeColor="text1" w:themeShade="80"/>
              </w:rPr>
              <w:t xml:space="preserve">  </w:t>
            </w:r>
          </w:p>
        </w:tc>
      </w:tr>
      <w:tr w:rsidR="00C863D9" w14:paraId="23B533BB" w14:textId="77777777" w:rsidTr="004258F7">
        <w:trPr>
          <w:trHeight w:val="574"/>
        </w:trPr>
        <w:tc>
          <w:tcPr>
            <w:cnfStyle w:val="001000000000" w:firstRow="0" w:lastRow="0" w:firstColumn="1" w:lastColumn="0" w:oddVBand="0" w:evenVBand="0" w:oddHBand="0" w:evenHBand="0" w:firstRowFirstColumn="0" w:firstRowLastColumn="0" w:lastRowFirstColumn="0" w:lastRowLastColumn="0"/>
            <w:tcW w:w="9759" w:type="dxa"/>
          </w:tcPr>
          <w:p w14:paraId="1AC04209" w14:textId="77777777" w:rsidR="00C863D9" w:rsidRPr="002E21EE" w:rsidRDefault="00C863D9" w:rsidP="00C863D9">
            <w:pPr>
              <w:pStyle w:val="Podnadpis1"/>
              <w:numPr>
                <w:ilvl w:val="0"/>
                <w:numId w:val="0"/>
              </w:numPr>
              <w:ind w:left="360"/>
              <w:rPr>
                <w:rFonts w:ascii="NettoPro-Bold" w:hAnsi="NettoPro-Bold" w:cs="NettoPro-Bold"/>
                <w:b w:val="0"/>
              </w:rPr>
            </w:pPr>
            <w:r w:rsidRPr="002E21EE">
              <w:rPr>
                <w:rFonts w:ascii="NettoPro-Bold" w:hAnsi="NettoPro-Bold" w:cs="NettoPro-Bold"/>
                <w:b w:val="0"/>
              </w:rPr>
              <w:lastRenderedPageBreak/>
              <w:t xml:space="preserve">Zdroje: </w:t>
            </w:r>
          </w:p>
          <w:p w14:paraId="5CB2058C" w14:textId="5D3F7BE6" w:rsidR="00C863D9" w:rsidRPr="002E21EE" w:rsidRDefault="00F34FB6" w:rsidP="002E21EE">
            <w:pPr>
              <w:pStyle w:val="Podnadpis1"/>
              <w:numPr>
                <w:ilvl w:val="0"/>
                <w:numId w:val="0"/>
              </w:numPr>
              <w:spacing w:line="240" w:lineRule="auto"/>
              <w:ind w:left="360"/>
              <w:rPr>
                <w:rFonts w:ascii="NettoPro" w:hAnsi="NettoPro" w:cs="NettoPro"/>
                <w:b w:val="0"/>
              </w:rPr>
            </w:pPr>
            <w:sdt>
              <w:sdtPr>
                <w:rPr>
                  <w:rFonts w:ascii="NettoPro" w:hAnsi="NettoPro" w:cs="NettoPro"/>
                  <w:color w:val="auto"/>
                </w:rPr>
                <w:id w:val="-2033413041"/>
                <w14:checkbox>
                  <w14:checked w14:val="1"/>
                  <w14:checkedState w14:val="2612" w14:font="MS Gothic"/>
                  <w14:uncheckedState w14:val="2610" w14:font="MS Gothic"/>
                </w14:checkbox>
              </w:sdtPr>
              <w:sdtEndPr/>
              <w:sdtContent>
                <w:r w:rsidR="004258F7">
                  <w:rPr>
                    <w:rFonts w:ascii="MS Gothic" w:eastAsia="MS Gothic" w:hAnsi="MS Gothic" w:cs="NettoPro" w:hint="eastAsia"/>
                    <w:color w:val="auto"/>
                  </w:rPr>
                  <w:t>☒</w:t>
                </w:r>
              </w:sdtContent>
            </w:sdt>
            <w:r w:rsidR="00C863D9" w:rsidRPr="002E21EE">
              <w:rPr>
                <w:rFonts w:ascii="NettoPro" w:hAnsi="NettoPro" w:cs="NettoPro"/>
                <w:color w:val="auto"/>
              </w:rPr>
              <w:t xml:space="preserve"> </w:t>
            </w:r>
            <w:r w:rsidR="00C863D9" w:rsidRPr="002E21EE">
              <w:rPr>
                <w:rFonts w:ascii="NettoPro" w:hAnsi="NettoPro" w:cs="NettoPro"/>
                <w:b w:val="0"/>
              </w:rPr>
              <w:t xml:space="preserve">Tisk z těchto zemí: </w:t>
            </w:r>
            <w:r w:rsidR="004258F7">
              <w:rPr>
                <w:rFonts w:ascii="NettoPro" w:hAnsi="NettoPro" w:cs="NettoPro"/>
              </w:rPr>
              <w:t>CZ</w:t>
            </w:r>
          </w:p>
          <w:p w14:paraId="348BA121" w14:textId="5F34A39B" w:rsidR="00C863D9" w:rsidRPr="002E21EE" w:rsidRDefault="00F34FB6" w:rsidP="002E21EE">
            <w:pPr>
              <w:pStyle w:val="Podnadpis1"/>
              <w:numPr>
                <w:ilvl w:val="0"/>
                <w:numId w:val="0"/>
              </w:numPr>
              <w:spacing w:line="240" w:lineRule="auto"/>
              <w:ind w:left="360"/>
              <w:rPr>
                <w:rFonts w:ascii="NettoPro" w:hAnsi="NettoPro" w:cs="NettoPro"/>
                <w:b w:val="0"/>
              </w:rPr>
            </w:pPr>
            <w:sdt>
              <w:sdtPr>
                <w:rPr>
                  <w:rFonts w:ascii="NettoPro" w:hAnsi="NettoPro" w:cs="NettoPro"/>
                  <w:color w:val="auto"/>
                </w:rPr>
                <w:id w:val="883523782"/>
                <w14:checkbox>
                  <w14:checked w14:val="1"/>
                  <w14:checkedState w14:val="2612" w14:font="MS Gothic"/>
                  <w14:uncheckedState w14:val="2610" w14:font="MS Gothic"/>
                </w14:checkbox>
              </w:sdtPr>
              <w:sdtEndPr/>
              <w:sdtContent>
                <w:r w:rsidR="004258F7">
                  <w:rPr>
                    <w:rFonts w:ascii="MS Gothic" w:eastAsia="MS Gothic" w:hAnsi="MS Gothic" w:cs="NettoPro" w:hint="eastAsia"/>
                    <w:color w:val="auto"/>
                  </w:rPr>
                  <w:t>☒</w:t>
                </w:r>
              </w:sdtContent>
            </w:sdt>
            <w:r w:rsidR="00C863D9" w:rsidRPr="002E21EE">
              <w:rPr>
                <w:rFonts w:ascii="NettoPro" w:hAnsi="NettoPro" w:cs="NettoPro"/>
                <w:b w:val="0"/>
                <w:color w:val="auto"/>
              </w:rPr>
              <w:t xml:space="preserve"> </w:t>
            </w:r>
            <w:r w:rsidR="00C863D9" w:rsidRPr="002E21EE">
              <w:rPr>
                <w:rFonts w:ascii="NettoPro" w:hAnsi="NettoPro" w:cs="NettoPro"/>
                <w:b w:val="0"/>
              </w:rPr>
              <w:t xml:space="preserve">TV a rozhlas z těchto zemí: </w:t>
            </w:r>
            <w:r w:rsidR="004258F7">
              <w:rPr>
                <w:rFonts w:ascii="NettoPro" w:hAnsi="NettoPro" w:cs="NettoPro"/>
              </w:rPr>
              <w:t>CZ</w:t>
            </w:r>
          </w:p>
          <w:p w14:paraId="09949217" w14:textId="745211BC" w:rsidR="00444278" w:rsidRPr="002E21EE" w:rsidRDefault="00F34FB6" w:rsidP="004258F7">
            <w:pPr>
              <w:pStyle w:val="Podnadpis1"/>
              <w:numPr>
                <w:ilvl w:val="0"/>
                <w:numId w:val="0"/>
              </w:numPr>
              <w:spacing w:line="240" w:lineRule="auto"/>
              <w:ind w:left="360"/>
              <w:rPr>
                <w:rFonts w:ascii="NettoPro" w:hAnsi="NettoPro" w:cs="NettoPro"/>
                <w:b w:val="0"/>
                <w:bCs w:val="0"/>
              </w:rPr>
            </w:pPr>
            <w:sdt>
              <w:sdtPr>
                <w:rPr>
                  <w:rFonts w:ascii="NettoPro" w:hAnsi="NettoPro" w:cs="NettoPro"/>
                  <w:color w:val="auto"/>
                </w:rPr>
                <w:id w:val="2008248334"/>
                <w14:checkbox>
                  <w14:checked w14:val="1"/>
                  <w14:checkedState w14:val="2612" w14:font="MS Gothic"/>
                  <w14:uncheckedState w14:val="2610" w14:font="MS Gothic"/>
                </w14:checkbox>
              </w:sdtPr>
              <w:sdtEndPr/>
              <w:sdtContent>
                <w:r w:rsidR="004258F7">
                  <w:rPr>
                    <w:rFonts w:ascii="MS Gothic" w:eastAsia="MS Gothic" w:hAnsi="MS Gothic" w:cs="NettoPro" w:hint="eastAsia"/>
                    <w:color w:val="auto"/>
                  </w:rPr>
                  <w:t>☒</w:t>
                </w:r>
              </w:sdtContent>
            </w:sdt>
            <w:r w:rsidR="00C863D9" w:rsidRPr="002E21EE">
              <w:rPr>
                <w:rFonts w:ascii="NettoPro" w:hAnsi="NettoPro" w:cs="NettoPro"/>
                <w:b w:val="0"/>
                <w:color w:val="auto"/>
              </w:rPr>
              <w:t xml:space="preserve"> </w:t>
            </w:r>
            <w:r w:rsidR="00C863D9" w:rsidRPr="002E21EE">
              <w:rPr>
                <w:rFonts w:ascii="NettoPro" w:hAnsi="NettoPro" w:cs="NettoPro"/>
                <w:b w:val="0"/>
              </w:rPr>
              <w:t xml:space="preserve">Online weby z těchto zemí: </w:t>
            </w:r>
            <w:r w:rsidR="004258F7">
              <w:rPr>
                <w:rFonts w:ascii="NettoPro" w:hAnsi="NettoPro" w:cs="NettoPro"/>
              </w:rPr>
              <w:t>CZ</w:t>
            </w:r>
          </w:p>
        </w:tc>
      </w:tr>
      <w:tr w:rsidR="00444278" w14:paraId="46045A6D" w14:textId="77777777" w:rsidTr="004C688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3394DE54" w14:textId="77777777" w:rsidR="00DF5390" w:rsidRPr="002E21EE" w:rsidRDefault="003054C8" w:rsidP="002E21EE">
            <w:pPr>
              <w:spacing w:line="276" w:lineRule="auto"/>
              <w:ind w:left="360"/>
              <w:rPr>
                <w:rFonts w:ascii="NettoPro-Bold" w:hAnsi="NettoPro-Bold" w:cs="NettoPro-Bold"/>
                <w:b w:val="0"/>
              </w:rPr>
            </w:pPr>
            <w:r>
              <w:rPr>
                <w:rFonts w:ascii="NettoPro-Bold" w:hAnsi="NettoPro-Bold" w:cs="NettoPro-Bold"/>
              </w:rPr>
              <w:br/>
            </w:r>
            <w:r w:rsidR="00DF5390" w:rsidRPr="002E21EE">
              <w:rPr>
                <w:rFonts w:ascii="NettoPro-Bold" w:hAnsi="NettoPro-Bold" w:cs="NettoPro-Bold"/>
                <w:b w:val="0"/>
              </w:rPr>
              <w:t>Výstupy dat:</w:t>
            </w:r>
          </w:p>
          <w:p w14:paraId="71221AB3" w14:textId="79879B23" w:rsidR="00DF5390" w:rsidRPr="002E21EE" w:rsidRDefault="009975BA" w:rsidP="00DF5390">
            <w:pPr>
              <w:pStyle w:val="Podnadpis1"/>
              <w:numPr>
                <w:ilvl w:val="0"/>
                <w:numId w:val="0"/>
              </w:numPr>
              <w:spacing w:line="276" w:lineRule="auto"/>
              <w:ind w:left="360"/>
              <w:rPr>
                <w:rFonts w:ascii="NettoPro" w:hAnsi="NettoPro" w:cs="NettoPro"/>
                <w:b w:val="0"/>
                <w:bCs w:val="0"/>
              </w:rPr>
            </w:pPr>
            <w:r w:rsidRPr="002E21EE">
              <w:rPr>
                <w:rFonts w:ascii="NettoPro" w:hAnsi="NettoPro" w:cs="NettoPro"/>
                <w:b w:val="0"/>
              </w:rPr>
              <w:t>Platforma NewtonOne</w:t>
            </w:r>
            <w:r w:rsidR="00DF5390" w:rsidRPr="002E21EE">
              <w:rPr>
                <w:rFonts w:ascii="NettoPro" w:hAnsi="NettoPro" w:cs="NettoPro"/>
                <w:b w:val="0"/>
              </w:rPr>
              <w:t xml:space="preserve"> bude dostupná na níže uvedené URL adrese pro uživatele přistupující ze zařízení připojeného k</w:t>
            </w:r>
            <w:r w:rsidR="0069241A" w:rsidRPr="002E21EE">
              <w:rPr>
                <w:rFonts w:ascii="NettoPro" w:hAnsi="NettoPro" w:cs="NettoPro"/>
                <w:b w:val="0"/>
              </w:rPr>
              <w:t> </w:t>
            </w:r>
            <w:r w:rsidR="00DF5390" w:rsidRPr="002E21EE">
              <w:rPr>
                <w:rFonts w:ascii="NettoPro" w:hAnsi="NettoPro" w:cs="NettoPro"/>
                <w:b w:val="0"/>
              </w:rPr>
              <w:t>internetu</w:t>
            </w:r>
            <w:r w:rsidR="0069241A" w:rsidRPr="002E21EE">
              <w:rPr>
                <w:rFonts w:ascii="NettoPro" w:hAnsi="NettoPro" w:cs="NettoPro"/>
                <w:b w:val="0"/>
              </w:rPr>
              <w:t xml:space="preserve"> a do mobilní aplikace</w:t>
            </w:r>
            <w:r w:rsidR="00DF5390" w:rsidRPr="002E21EE">
              <w:rPr>
                <w:rFonts w:ascii="NettoPro" w:hAnsi="NettoPro" w:cs="NettoPro"/>
                <w:b w:val="0"/>
              </w:rPr>
              <w:t>, jejichž přihlašovací účty budou chráněné uživatelskými jmény a hesly</w:t>
            </w:r>
            <w:r w:rsidR="00117423" w:rsidRPr="002E21EE">
              <w:rPr>
                <w:rFonts w:ascii="NettoPro" w:hAnsi="NettoPro" w:cs="NettoPro"/>
                <w:b w:val="0"/>
              </w:rPr>
              <w:t xml:space="preserve"> zaslané uživatelům</w:t>
            </w:r>
            <w:r w:rsidR="00B05AF5" w:rsidRPr="002E21EE">
              <w:rPr>
                <w:rFonts w:ascii="NettoPro" w:hAnsi="NettoPro" w:cs="NettoPro"/>
                <w:b w:val="0"/>
              </w:rPr>
              <w:t xml:space="preserve"> odběratele</w:t>
            </w:r>
            <w:r w:rsidR="00DF5390" w:rsidRPr="002E21EE">
              <w:rPr>
                <w:rFonts w:ascii="NettoPro" w:hAnsi="NettoPro" w:cs="NettoPro"/>
                <w:b w:val="0"/>
              </w:rPr>
              <w:t>:</w:t>
            </w:r>
          </w:p>
          <w:p w14:paraId="44672B3B" w14:textId="2F639146" w:rsidR="00DF5390" w:rsidRPr="002E21EE" w:rsidRDefault="00DF5390" w:rsidP="002E21EE">
            <w:pPr>
              <w:pStyle w:val="Podnadpis1"/>
              <w:numPr>
                <w:ilvl w:val="0"/>
                <w:numId w:val="0"/>
              </w:numPr>
              <w:spacing w:line="276" w:lineRule="auto"/>
              <w:ind w:left="360"/>
              <w:rPr>
                <w:rFonts w:ascii="NettoPro" w:hAnsi="NettoPro" w:cs="NettoPro"/>
              </w:rPr>
            </w:pPr>
            <w:r w:rsidRPr="002E21EE">
              <w:rPr>
                <w:rFonts w:ascii="NettoPro" w:hAnsi="NettoPro" w:cs="NettoPro"/>
                <w:b w:val="0"/>
              </w:rPr>
              <w:t xml:space="preserve">URL adresa: </w:t>
            </w:r>
            <w:r w:rsidRPr="002E21EE">
              <w:rPr>
                <w:rFonts w:ascii="NettoPro" w:hAnsi="NettoPro" w:cs="NettoPro"/>
                <w:b w:val="0"/>
              </w:rPr>
              <w:br/>
            </w:r>
            <w:hyperlink r:id="rId11" w:history="1">
              <w:r w:rsidRPr="000B179B">
                <w:rPr>
                  <w:rFonts w:ascii="NettoPro-Bold" w:hAnsi="NettoPro-Bold" w:cs="NettoPro-Bold"/>
                  <w:b w:val="0"/>
                </w:rPr>
                <w:t>https://newtonone.newtonmedia.eu</w:t>
              </w:r>
            </w:hyperlink>
          </w:p>
          <w:p w14:paraId="3577F765" w14:textId="129A09AB" w:rsidR="00444278" w:rsidRPr="002E21EE" w:rsidRDefault="00DF5390" w:rsidP="003054C8">
            <w:pPr>
              <w:pStyle w:val="Podnadpis1"/>
              <w:numPr>
                <w:ilvl w:val="0"/>
                <w:numId w:val="0"/>
              </w:numPr>
              <w:spacing w:line="276" w:lineRule="auto"/>
              <w:ind w:left="360"/>
              <w:rPr>
                <w:rFonts w:ascii="NettoPro" w:hAnsi="NettoPro" w:cs="NettoPro"/>
                <w:b w:val="0"/>
                <w:bCs w:val="0"/>
              </w:rPr>
            </w:pPr>
            <w:r w:rsidRPr="002E21EE">
              <w:rPr>
                <w:rFonts w:ascii="NettoPro" w:hAnsi="NettoPro" w:cs="NettoPro"/>
                <w:b w:val="0"/>
              </w:rPr>
              <w:t xml:space="preserve">Odběratel je odpovědný za </w:t>
            </w:r>
            <w:r w:rsidR="00B05AF5" w:rsidRPr="002E21EE">
              <w:rPr>
                <w:rFonts w:ascii="NettoPro" w:hAnsi="NettoPro" w:cs="NettoPro"/>
                <w:b w:val="0"/>
              </w:rPr>
              <w:t xml:space="preserve">uživatele, za </w:t>
            </w:r>
            <w:r w:rsidRPr="002E21EE">
              <w:rPr>
                <w:rFonts w:ascii="NettoPro" w:hAnsi="NettoPro" w:cs="NettoPro"/>
                <w:b w:val="0"/>
              </w:rPr>
              <w:t>ochranu přístupových údajů, jejich pravidelnou změnu, uchovávání v tajnosti a za jejich případné zneužití třetími osobami.</w:t>
            </w:r>
          </w:p>
          <w:p w14:paraId="565AA3D3" w14:textId="77777777" w:rsidR="009610B4" w:rsidRDefault="009610B4" w:rsidP="009610B4">
            <w:pPr>
              <w:rPr>
                <w:b w:val="0"/>
                <w:bCs w:val="0"/>
              </w:rPr>
            </w:pPr>
          </w:p>
          <w:p w14:paraId="6E4BB017" w14:textId="4A4CCD53" w:rsidR="009610B4" w:rsidRPr="002E21EE" w:rsidRDefault="00FA7F8F" w:rsidP="00200698">
            <w:pPr>
              <w:spacing w:line="276" w:lineRule="auto"/>
              <w:ind w:left="360"/>
              <w:rPr>
                <w:rFonts w:ascii="NettoPro-Bold" w:hAnsi="NettoPro-Bold" w:cs="NettoPro-Bold"/>
                <w:b w:val="0"/>
                <w:bCs w:val="0"/>
              </w:rPr>
            </w:pPr>
            <w:r w:rsidRPr="002E21EE">
              <w:rPr>
                <w:rFonts w:ascii="NettoPro-Bold" w:hAnsi="NettoPro-Bold" w:cs="NettoPro-Bold"/>
                <w:b w:val="0"/>
              </w:rPr>
              <w:t>Frekvence zasílání</w:t>
            </w:r>
            <w:r w:rsidR="009610B4" w:rsidRPr="002E21EE">
              <w:rPr>
                <w:rFonts w:ascii="NettoPro-Bold" w:hAnsi="NettoPro-Bold" w:cs="NettoPro-Bold"/>
                <w:b w:val="0"/>
              </w:rPr>
              <w:t>:</w:t>
            </w:r>
          </w:p>
          <w:p w14:paraId="10FA4FB4" w14:textId="50D3FC7B" w:rsidR="0032158B" w:rsidRDefault="00F34FB6" w:rsidP="0032158B">
            <w:pPr>
              <w:pStyle w:val="Podnadpis1"/>
              <w:numPr>
                <w:ilvl w:val="0"/>
                <w:numId w:val="0"/>
              </w:numPr>
              <w:spacing w:line="276" w:lineRule="auto"/>
              <w:ind w:left="360"/>
              <w:rPr>
                <w:rFonts w:ascii="NettoPro" w:hAnsi="NettoPro" w:cs="NettoPro"/>
                <w:bCs w:val="0"/>
              </w:rPr>
            </w:pPr>
            <w:sdt>
              <w:sdtPr>
                <w:rPr>
                  <w:rFonts w:ascii="NettoPro" w:hAnsi="NettoPro" w:cs="NettoPro"/>
                  <w:color w:val="auto"/>
                </w:rPr>
                <w:id w:val="-1738392368"/>
                <w14:checkbox>
                  <w14:checked w14:val="1"/>
                  <w14:checkedState w14:val="2612" w14:font="MS Gothic"/>
                  <w14:uncheckedState w14:val="2610" w14:font="MS Gothic"/>
                </w14:checkbox>
              </w:sdtPr>
              <w:sdtEndPr/>
              <w:sdtContent>
                <w:r w:rsidR="004258F7">
                  <w:rPr>
                    <w:rFonts w:ascii="MS Gothic" w:eastAsia="MS Gothic" w:hAnsi="MS Gothic" w:cs="NettoPro" w:hint="eastAsia"/>
                    <w:color w:val="auto"/>
                  </w:rPr>
                  <w:t>☒</w:t>
                </w:r>
              </w:sdtContent>
            </w:sdt>
            <w:r w:rsidR="00FA7F8F" w:rsidRPr="006D6F66">
              <w:rPr>
                <w:rFonts w:ascii="NettoPro" w:hAnsi="NettoPro" w:cs="NettoPro"/>
                <w:b w:val="0"/>
                <w:color w:val="auto"/>
              </w:rPr>
              <w:t xml:space="preserve"> </w:t>
            </w:r>
            <w:r w:rsidR="00FA7F8F" w:rsidRPr="006D6F66">
              <w:rPr>
                <w:rFonts w:ascii="NettoPro" w:hAnsi="NettoPro" w:cs="NettoPro"/>
                <w:b w:val="0"/>
              </w:rPr>
              <w:t>1x</w:t>
            </w:r>
            <w:r w:rsidR="00FA7F8F" w:rsidRPr="006D6F66">
              <w:rPr>
                <w:rFonts w:ascii="NettoPro" w:hAnsi="NettoPro" w:cs="NettoPro"/>
                <w:b w:val="0"/>
                <w:color w:val="auto"/>
              </w:rPr>
              <w:t xml:space="preserve"> </w:t>
            </w:r>
            <w:r w:rsidR="00FA7F8F" w:rsidRPr="006D6F66">
              <w:rPr>
                <w:rFonts w:ascii="NettoPro" w:hAnsi="NettoPro" w:cs="NettoPro"/>
                <w:b w:val="0"/>
              </w:rPr>
              <w:t>denně (přehled zpráv</w:t>
            </w:r>
            <w:r w:rsidR="00FA7F8F">
              <w:rPr>
                <w:rFonts w:ascii="NettoPro" w:hAnsi="NettoPro" w:cs="NettoPro"/>
                <w:b w:val="0"/>
              </w:rPr>
              <w:t>)</w:t>
            </w:r>
            <w:r w:rsidR="00FA7F8F" w:rsidRPr="00B13472">
              <w:rPr>
                <w:rFonts w:ascii="NettoPro" w:hAnsi="NettoPro" w:cs="NettoPro"/>
                <w:b w:val="0"/>
              </w:rPr>
              <w:t xml:space="preserve"> </w:t>
            </w:r>
            <w:sdt>
              <w:sdtPr>
                <w:rPr>
                  <w:rFonts w:ascii="NettoPro" w:hAnsi="NettoPro" w:cs="NettoPro"/>
                  <w:color w:val="auto"/>
                </w:rPr>
                <w:id w:val="-1151749712"/>
                <w14:checkbox>
                  <w14:checked w14:val="0"/>
                  <w14:checkedState w14:val="2612" w14:font="MS Gothic"/>
                  <w14:uncheckedState w14:val="2610" w14:font="MS Gothic"/>
                </w14:checkbox>
              </w:sdtPr>
              <w:sdtEndPr/>
              <w:sdtContent>
                <w:r w:rsidR="007E05AC">
                  <w:rPr>
                    <w:rFonts w:ascii="MS Gothic" w:eastAsia="MS Gothic" w:hAnsi="MS Gothic" w:cs="NettoPro" w:hint="eastAsia"/>
                    <w:color w:val="auto"/>
                  </w:rPr>
                  <w:t>☐</w:t>
                </w:r>
              </w:sdtContent>
            </w:sdt>
            <w:r w:rsidR="00FA7F8F" w:rsidRPr="00B13472">
              <w:rPr>
                <w:rFonts w:ascii="NettoPro" w:hAnsi="NettoPro" w:cs="NettoPro"/>
                <w:b w:val="0"/>
                <w:color w:val="auto"/>
              </w:rPr>
              <w:t xml:space="preserve"> </w:t>
            </w:r>
            <w:r w:rsidR="00FA7F8F">
              <w:rPr>
                <w:rFonts w:ascii="NettoPro" w:hAnsi="NettoPro" w:cs="NettoPro"/>
                <w:b w:val="0"/>
              </w:rPr>
              <w:t>několikrát denně (novinky)</w:t>
            </w:r>
            <w:r w:rsidR="00FA7F8F" w:rsidRPr="00B13472">
              <w:rPr>
                <w:rFonts w:ascii="NettoPro" w:hAnsi="NettoPro" w:cs="NettoPro"/>
                <w:b w:val="0"/>
              </w:rPr>
              <w:t xml:space="preserve">  </w:t>
            </w:r>
            <w:sdt>
              <w:sdtPr>
                <w:rPr>
                  <w:rFonts w:ascii="NettoPro" w:hAnsi="NettoPro" w:cs="NettoPro"/>
                  <w:color w:val="auto"/>
                </w:rPr>
                <w:id w:val="1273982389"/>
                <w14:checkbox>
                  <w14:checked w14:val="0"/>
                  <w14:checkedState w14:val="2612" w14:font="MS Gothic"/>
                  <w14:uncheckedState w14:val="2610" w14:font="MS Gothic"/>
                </w14:checkbox>
              </w:sdtPr>
              <w:sdtEndPr/>
              <w:sdtContent>
                <w:r w:rsidR="00FA7F8F">
                  <w:rPr>
                    <w:rFonts w:ascii="MS Gothic" w:eastAsia="MS Gothic" w:hAnsi="MS Gothic" w:cs="NettoPro" w:hint="eastAsia"/>
                    <w:b w:val="0"/>
                    <w:color w:val="auto"/>
                  </w:rPr>
                  <w:t>☐</w:t>
                </w:r>
              </w:sdtContent>
            </w:sdt>
            <w:r w:rsidR="00FA7F8F" w:rsidRPr="00B13472">
              <w:rPr>
                <w:rFonts w:ascii="NettoPro" w:hAnsi="NettoPro" w:cs="NettoPro"/>
                <w:b w:val="0"/>
                <w:color w:val="auto"/>
              </w:rPr>
              <w:t xml:space="preserve"> </w:t>
            </w:r>
            <w:r w:rsidR="00FA7F8F">
              <w:rPr>
                <w:rFonts w:ascii="NettoPro" w:hAnsi="NettoPro" w:cs="NettoPro"/>
                <w:b w:val="0"/>
              </w:rPr>
              <w:t>týdně</w:t>
            </w:r>
            <w:r w:rsidR="00FA7F8F" w:rsidRPr="00B13472">
              <w:rPr>
                <w:rFonts w:ascii="NettoPro" w:hAnsi="NettoPro" w:cs="NettoPro"/>
                <w:b w:val="0"/>
              </w:rPr>
              <w:t xml:space="preserve">    </w:t>
            </w:r>
            <w:sdt>
              <w:sdtPr>
                <w:rPr>
                  <w:rFonts w:ascii="NettoPro" w:hAnsi="NettoPro" w:cs="NettoPro"/>
                  <w:color w:val="auto"/>
                </w:rPr>
                <w:id w:val="322626402"/>
                <w14:checkbox>
                  <w14:checked w14:val="0"/>
                  <w14:checkedState w14:val="2612" w14:font="MS Gothic"/>
                  <w14:uncheckedState w14:val="2610" w14:font="MS Gothic"/>
                </w14:checkbox>
              </w:sdtPr>
              <w:sdtEndPr/>
              <w:sdtContent>
                <w:r w:rsidR="00FA7F8F">
                  <w:rPr>
                    <w:rFonts w:ascii="MS Gothic" w:eastAsia="MS Gothic" w:hAnsi="MS Gothic" w:cs="NettoPro" w:hint="eastAsia"/>
                    <w:b w:val="0"/>
                    <w:color w:val="auto"/>
                  </w:rPr>
                  <w:t>☐</w:t>
                </w:r>
              </w:sdtContent>
            </w:sdt>
            <w:r w:rsidR="00FA7F8F" w:rsidRPr="00B13472">
              <w:rPr>
                <w:rFonts w:ascii="NettoPro" w:hAnsi="NettoPro" w:cs="NettoPro"/>
                <w:b w:val="0"/>
                <w:color w:val="auto"/>
              </w:rPr>
              <w:t xml:space="preserve"> </w:t>
            </w:r>
            <w:r w:rsidR="00FA7F8F">
              <w:rPr>
                <w:rFonts w:ascii="NettoPro" w:hAnsi="NettoPro" w:cs="NettoPro"/>
                <w:b w:val="0"/>
              </w:rPr>
              <w:t>měsíčně</w:t>
            </w:r>
          </w:p>
          <w:p w14:paraId="11A2914B" w14:textId="21FAD67E" w:rsidR="00FA7F8F" w:rsidRPr="00F50D8E" w:rsidRDefault="00FA7F8F" w:rsidP="00FA7F8F">
            <w:pPr>
              <w:spacing w:line="276" w:lineRule="auto"/>
              <w:ind w:left="360"/>
              <w:rPr>
                <w:rFonts w:ascii="NettoPro-Bold" w:hAnsi="NettoPro-Bold" w:cs="NettoPro-Bold"/>
                <w:b w:val="0"/>
                <w:bCs w:val="0"/>
              </w:rPr>
            </w:pPr>
            <w:r w:rsidRPr="00F50D8E">
              <w:rPr>
                <w:rFonts w:ascii="NettoPro-Bold" w:hAnsi="NettoPro-Bold" w:cs="NettoPro-Bold"/>
                <w:b w:val="0"/>
              </w:rPr>
              <w:t>Čas zasílání:</w:t>
            </w:r>
          </w:p>
          <w:p w14:paraId="292069D3" w14:textId="4B26B707" w:rsidR="00FA7F8F" w:rsidRPr="004258F7" w:rsidRDefault="004258F7" w:rsidP="00FA7F8F">
            <w:pPr>
              <w:ind w:left="360"/>
              <w:rPr>
                <w:rFonts w:ascii="NettoPro" w:hAnsi="NettoPro" w:cs="NettoPro"/>
                <w:b w:val="0"/>
                <w:bCs w:val="0"/>
              </w:rPr>
            </w:pPr>
            <w:r w:rsidRPr="004258F7">
              <w:rPr>
                <w:rFonts w:ascii="NettoPro" w:hAnsi="NettoPro" w:cs="NettoPro"/>
                <w:b w:val="0"/>
              </w:rPr>
              <w:t>Do 7:30</w:t>
            </w:r>
          </w:p>
          <w:p w14:paraId="62D4874E" w14:textId="08B070E7" w:rsidR="00FA7F8F" w:rsidRPr="004258F7" w:rsidRDefault="00FA7F8F" w:rsidP="00200698">
            <w:pPr>
              <w:pStyle w:val="Podnadpis1"/>
              <w:numPr>
                <w:ilvl w:val="0"/>
                <w:numId w:val="0"/>
              </w:numPr>
              <w:spacing w:line="276" w:lineRule="auto"/>
              <w:ind w:left="360"/>
              <w:rPr>
                <w:rFonts w:ascii="NettoPro" w:hAnsi="NettoPro" w:cs="NettoPro"/>
                <w:b w:val="0"/>
                <w:i/>
              </w:rPr>
            </w:pPr>
            <w:r w:rsidRPr="004258F7">
              <w:rPr>
                <w:rFonts w:ascii="NettoPro" w:hAnsi="NettoPro" w:cs="NettoPro"/>
                <w:b w:val="0"/>
                <w:i/>
              </w:rPr>
              <w:t>Čas</w:t>
            </w:r>
            <w:r w:rsidR="00B83D54" w:rsidRPr="004258F7">
              <w:rPr>
                <w:rFonts w:ascii="NettoPro" w:hAnsi="NettoPro" w:cs="NettoPro"/>
                <w:b w:val="0"/>
                <w:i/>
              </w:rPr>
              <w:t xml:space="preserve">, </w:t>
            </w:r>
            <w:r w:rsidRPr="004258F7">
              <w:rPr>
                <w:rFonts w:ascii="NettoPro" w:hAnsi="NettoPro" w:cs="NettoPro"/>
                <w:b w:val="0"/>
                <w:i/>
              </w:rPr>
              <w:t xml:space="preserve">frekvenci </w:t>
            </w:r>
            <w:r w:rsidR="00B83D54" w:rsidRPr="004258F7">
              <w:rPr>
                <w:rFonts w:ascii="NettoPro" w:hAnsi="NettoPro" w:cs="NettoPro"/>
                <w:b w:val="0"/>
                <w:i/>
              </w:rPr>
              <w:t xml:space="preserve">a formát newsmailu </w:t>
            </w:r>
            <w:r w:rsidRPr="004258F7">
              <w:rPr>
                <w:rFonts w:ascii="NettoPro" w:hAnsi="NettoPro" w:cs="NettoPro"/>
                <w:b w:val="0"/>
                <w:i/>
              </w:rPr>
              <w:t>zasílání lze kdykoliv změnit</w:t>
            </w:r>
            <w:r w:rsidR="00E81CE1" w:rsidRPr="004258F7">
              <w:rPr>
                <w:rFonts w:ascii="NettoPro" w:hAnsi="NettoPro" w:cs="NettoPro"/>
                <w:b w:val="0"/>
                <w:i/>
              </w:rPr>
              <w:t xml:space="preserve"> kontaktováním obchodního zástupce, týmu </w:t>
            </w:r>
            <w:r w:rsidR="009D44DF" w:rsidRPr="004258F7">
              <w:rPr>
                <w:rFonts w:ascii="NettoPro" w:hAnsi="NettoPro" w:cs="NettoPro"/>
                <w:b w:val="0"/>
                <w:i/>
              </w:rPr>
              <w:t>Customer Care</w:t>
            </w:r>
            <w:r w:rsidR="00E81CE1" w:rsidRPr="004258F7">
              <w:rPr>
                <w:rFonts w:ascii="NettoPro" w:hAnsi="NettoPro" w:cs="NettoPro"/>
                <w:b w:val="0"/>
                <w:i/>
              </w:rPr>
              <w:t xml:space="preserve"> (</w:t>
            </w:r>
            <w:hyperlink r:id="rId12" w:history="1">
              <w:r w:rsidR="00E81CE1" w:rsidRPr="004258F7">
                <w:rPr>
                  <w:rFonts w:ascii="NettoPro" w:hAnsi="NettoPro" w:cs="NettoPro"/>
                  <w:b w:val="0"/>
                  <w:i/>
                </w:rPr>
                <w:t>customercare@newtonmedia.cz</w:t>
              </w:r>
            </w:hyperlink>
            <w:r w:rsidR="00E81CE1" w:rsidRPr="004258F7">
              <w:rPr>
                <w:rFonts w:ascii="NettoPro" w:hAnsi="NettoPro" w:cs="NettoPro"/>
                <w:b w:val="0"/>
                <w:i/>
              </w:rPr>
              <w:t xml:space="preserve">) nebo prostřednictvím chatu přímo ve webové aplikaci NewtonOne. </w:t>
            </w:r>
          </w:p>
          <w:p w14:paraId="2706AC15" w14:textId="77777777" w:rsidR="009610B4" w:rsidRPr="002E21EE" w:rsidRDefault="009610B4" w:rsidP="002E21EE"/>
        </w:tc>
      </w:tr>
      <w:bookmarkEnd w:id="3"/>
    </w:tbl>
    <w:p w14:paraId="24F98FCF" w14:textId="77777777" w:rsidR="000B6A51" w:rsidRPr="000B6A51" w:rsidRDefault="000B6A51" w:rsidP="00EC30E2">
      <w:pPr>
        <w:rPr>
          <w:highlight w:val="yellow"/>
        </w:rPr>
      </w:pPr>
    </w:p>
    <w:p w14:paraId="6ACCDCF8" w14:textId="77777777" w:rsidR="007D204B" w:rsidRPr="00030AB2" w:rsidRDefault="007D204B" w:rsidP="000907D2">
      <w:pPr>
        <w:pStyle w:val="Podnadpis1"/>
        <w:rPr>
          <w:rFonts w:ascii="NettoPro" w:hAnsi="NettoPro" w:cs="NettoPro"/>
        </w:rPr>
      </w:pPr>
      <w:r w:rsidRPr="00030AB2">
        <w:rPr>
          <w:rFonts w:ascii="NettoPro" w:hAnsi="NettoPro" w:cs="NettoPro"/>
        </w:rPr>
        <w:t>Odběratel se touto smlouvou zavazuje zaplatit dodavatel</w:t>
      </w:r>
      <w:r w:rsidR="002764D3" w:rsidRPr="00030AB2">
        <w:rPr>
          <w:rFonts w:ascii="NettoPro" w:hAnsi="NettoPro" w:cs="NettoPro"/>
        </w:rPr>
        <w:t xml:space="preserve">i za jeho plnění odměnu dle </w:t>
      </w:r>
      <w:r w:rsidR="00142E2D" w:rsidRPr="00030AB2">
        <w:rPr>
          <w:rFonts w:ascii="NettoPro" w:hAnsi="NettoPro" w:cs="NettoPro"/>
        </w:rPr>
        <w:t xml:space="preserve">zvoleného rozsahu služeb (dále jen </w:t>
      </w:r>
      <w:r w:rsidR="00227193" w:rsidRPr="00030AB2">
        <w:rPr>
          <w:rFonts w:ascii="NettoPro" w:hAnsi="NettoPro" w:cs="NettoPro"/>
        </w:rPr>
        <w:t>„</w:t>
      </w:r>
      <w:r w:rsidR="00142E2D" w:rsidRPr="00030AB2">
        <w:rPr>
          <w:rFonts w:ascii="NettoPro" w:hAnsi="NettoPro" w:cs="NettoPro"/>
        </w:rPr>
        <w:t>odměna</w:t>
      </w:r>
      <w:r w:rsidR="00227193" w:rsidRPr="00030AB2">
        <w:rPr>
          <w:rFonts w:ascii="NettoPro" w:hAnsi="NettoPro" w:cs="NettoPro"/>
        </w:rPr>
        <w:t>“</w:t>
      </w:r>
      <w:r w:rsidR="00142E2D" w:rsidRPr="00030AB2">
        <w:rPr>
          <w:rFonts w:ascii="NettoPro" w:hAnsi="NettoPro" w:cs="NettoPro"/>
        </w:rPr>
        <w:t xml:space="preserve">) dle </w:t>
      </w:r>
      <w:r w:rsidR="00A6279C" w:rsidRPr="00030AB2">
        <w:rPr>
          <w:rFonts w:ascii="NettoPro" w:hAnsi="NettoPro" w:cs="NettoPro"/>
        </w:rPr>
        <w:t>článku 2 této smlouvy.</w:t>
      </w:r>
    </w:p>
    <w:p w14:paraId="5045FF98" w14:textId="77777777" w:rsidR="00142E2D" w:rsidRPr="00030AB2" w:rsidRDefault="00142E2D" w:rsidP="00142E2D">
      <w:pPr>
        <w:pStyle w:val="Podnadpis1"/>
        <w:rPr>
          <w:rFonts w:ascii="NettoPro" w:hAnsi="NettoPro" w:cs="NettoPro"/>
        </w:rPr>
      </w:pPr>
      <w:r w:rsidRPr="00030AB2">
        <w:rPr>
          <w:rFonts w:ascii="NettoPro" w:hAnsi="NettoPro" w:cs="NettoPro"/>
        </w:rPr>
        <w:t xml:space="preserve">Odběratel není oprávněn bez předchozího písemného souhlasu dodavatele </w:t>
      </w:r>
      <w:r w:rsidR="00E23CD3" w:rsidRPr="00030AB2">
        <w:rPr>
          <w:rFonts w:ascii="NettoPro" w:hAnsi="NettoPro" w:cs="NettoPro"/>
        </w:rPr>
        <w:t xml:space="preserve">rozmnožovat, rozšiřovat, pronajímat, půjčovat, vystavovat, sdělovat veřejnosti či jinak </w:t>
      </w:r>
      <w:r w:rsidRPr="00030AB2">
        <w:rPr>
          <w:rFonts w:ascii="NettoPro" w:hAnsi="NettoPro" w:cs="NettoPro"/>
        </w:rPr>
        <w:t xml:space="preserve">poskytnout nebo jakkoli zpřístupnit získaná data </w:t>
      </w:r>
      <w:r w:rsidR="009A1C98" w:rsidRPr="00030AB2">
        <w:rPr>
          <w:rFonts w:ascii="NettoPro" w:hAnsi="NettoPro" w:cs="NettoPro"/>
        </w:rPr>
        <w:t>a výstupy</w:t>
      </w:r>
      <w:r w:rsidR="00E23CD3" w:rsidRPr="00030AB2">
        <w:rPr>
          <w:rFonts w:ascii="NettoPro" w:hAnsi="NettoPro" w:cs="NettoPro"/>
        </w:rPr>
        <w:t>, představující plnění dodavatele dle článku 1 této smlouvy,</w:t>
      </w:r>
      <w:r w:rsidR="009A1C98" w:rsidRPr="00030AB2">
        <w:rPr>
          <w:rFonts w:ascii="NettoPro" w:hAnsi="NettoPro" w:cs="NettoPro"/>
        </w:rPr>
        <w:t xml:space="preserve"> </w:t>
      </w:r>
      <w:r w:rsidR="00E23CD3" w:rsidRPr="00030AB2">
        <w:rPr>
          <w:rFonts w:ascii="NettoPro" w:hAnsi="NettoPro" w:cs="NettoPro"/>
        </w:rPr>
        <w:t xml:space="preserve">jakýmkoliv </w:t>
      </w:r>
      <w:r w:rsidRPr="00030AB2">
        <w:rPr>
          <w:rFonts w:ascii="NettoPro" w:hAnsi="NettoPro" w:cs="NettoPro"/>
        </w:rPr>
        <w:t>třetím osobám, za které se považují nejen fyzické a právnické osoby, ale i jejich společníci nebo členové, či organizační složky státu</w:t>
      </w:r>
      <w:r w:rsidR="00E23CD3" w:rsidRPr="00030AB2">
        <w:rPr>
          <w:rFonts w:ascii="NettoPro" w:hAnsi="NettoPro" w:cs="NettoPro"/>
        </w:rPr>
        <w:t>, apod</w:t>
      </w:r>
      <w:r w:rsidR="00EE05DB" w:rsidRPr="00030AB2">
        <w:rPr>
          <w:rFonts w:ascii="NettoPro" w:hAnsi="NettoPro" w:cs="NettoPro"/>
        </w:rPr>
        <w:t>.</w:t>
      </w:r>
    </w:p>
    <w:p w14:paraId="286B3A78" w14:textId="53A2958F" w:rsidR="007D204B" w:rsidRPr="00030AB2" w:rsidRDefault="007D204B" w:rsidP="000907D2">
      <w:pPr>
        <w:pStyle w:val="Podnadpis1"/>
        <w:rPr>
          <w:rFonts w:ascii="NettoPro" w:hAnsi="NettoPro" w:cs="NettoPro"/>
        </w:rPr>
      </w:pPr>
      <w:r w:rsidRPr="00030AB2">
        <w:rPr>
          <w:rFonts w:ascii="NettoPro" w:hAnsi="NettoPro" w:cs="NettoPro"/>
        </w:rPr>
        <w:t xml:space="preserve">Odběratel se touto smlouvou zavazuje poskytnout dodavateli nezbytnou součinnost pro řádné plnění jeho závazků vzniklých na základě této smlouvy. </w:t>
      </w:r>
    </w:p>
    <w:p w14:paraId="34AED5AD" w14:textId="77777777" w:rsidR="00BD4FA5" w:rsidRPr="005D74D9" w:rsidRDefault="008C44A4" w:rsidP="000907D2">
      <w:pPr>
        <w:pStyle w:val="HlavniNadpis"/>
        <w:rPr>
          <w:rFonts w:ascii="NettoPro-Bold" w:hAnsi="NettoPro-Bold" w:cs="NettoPro-Bold"/>
          <w:b w:val="0"/>
        </w:rPr>
      </w:pPr>
      <w:r w:rsidRPr="005D74D9">
        <w:rPr>
          <w:rFonts w:ascii="NettoPro-Bold" w:hAnsi="NettoPro-Bold" w:cs="NettoPro-Bold"/>
          <w:b w:val="0"/>
        </w:rPr>
        <w:t>Odměna</w:t>
      </w:r>
    </w:p>
    <w:p w14:paraId="32481DA6" w14:textId="04C80449" w:rsidR="00F6661E" w:rsidRPr="005D74D9" w:rsidRDefault="007D204B" w:rsidP="008E5EA6">
      <w:pPr>
        <w:pStyle w:val="Podnadpis1"/>
        <w:rPr>
          <w:rFonts w:ascii="NettoPro" w:hAnsi="NettoPro" w:cs="NettoPro"/>
        </w:rPr>
      </w:pPr>
      <w:r w:rsidRPr="005D74D9">
        <w:rPr>
          <w:rFonts w:ascii="NettoPro" w:hAnsi="NettoPro" w:cs="NettoPro"/>
        </w:rPr>
        <w:t xml:space="preserve">Za plnění dle této smlouvy přísluší dodavateli </w:t>
      </w:r>
      <w:r w:rsidR="0020384F">
        <w:rPr>
          <w:rFonts w:ascii="NettoPro" w:hAnsi="NettoPro" w:cs="NettoPro"/>
        </w:rPr>
        <w:t xml:space="preserve">následující </w:t>
      </w:r>
      <w:r w:rsidRPr="005D74D9">
        <w:rPr>
          <w:rFonts w:ascii="NettoPro" w:hAnsi="NettoPro" w:cs="NettoPro"/>
        </w:rPr>
        <w:t>odměna</w:t>
      </w:r>
      <w:r w:rsidR="00F6661E" w:rsidRPr="005D74D9">
        <w:rPr>
          <w:rFonts w:ascii="NettoPro" w:hAnsi="NettoPro" w:cs="NettoPro"/>
        </w:rPr>
        <w:t>:</w:t>
      </w:r>
    </w:p>
    <w:p w14:paraId="53343FF4" w14:textId="77777777" w:rsidR="00EB1A43" w:rsidRDefault="00EB1A43" w:rsidP="00EC30E2">
      <w:pPr>
        <w:pStyle w:val="PodPodNadpis"/>
        <w:numPr>
          <w:ilvl w:val="0"/>
          <w:numId w:val="0"/>
        </w:numPr>
        <w:ind w:left="1276"/>
      </w:pPr>
    </w:p>
    <w:tbl>
      <w:tblPr>
        <w:tblStyle w:val="Svtlmkazvraznn2"/>
        <w:tblW w:w="0" w:type="auto"/>
        <w:tblInd w:w="85" w:type="dxa"/>
        <w:tblBorders>
          <w:top w:val="single" w:sz="4" w:space="0" w:color="00A3E2"/>
          <w:left w:val="single" w:sz="4" w:space="0" w:color="00A3E2"/>
          <w:bottom w:val="single" w:sz="4" w:space="0" w:color="00A3E2"/>
          <w:right w:val="single" w:sz="4" w:space="0" w:color="00A3E2"/>
          <w:insideH w:val="single" w:sz="4" w:space="0" w:color="00A3E2"/>
          <w:insideV w:val="single" w:sz="4" w:space="0" w:color="00A3E2"/>
        </w:tblBorders>
        <w:tblCellMar>
          <w:top w:w="85" w:type="dxa"/>
          <w:left w:w="85" w:type="dxa"/>
          <w:bottom w:w="85" w:type="dxa"/>
          <w:right w:w="85" w:type="dxa"/>
        </w:tblCellMar>
        <w:tblLook w:val="04A0" w:firstRow="1" w:lastRow="0" w:firstColumn="1" w:lastColumn="0" w:noHBand="0" w:noVBand="1"/>
      </w:tblPr>
      <w:tblGrid>
        <w:gridCol w:w="5044"/>
        <w:gridCol w:w="2753"/>
        <w:gridCol w:w="2307"/>
      </w:tblGrid>
      <w:tr w:rsidR="0099122E" w:rsidRPr="00781FB9" w14:paraId="1DED4E1C" w14:textId="77777777" w:rsidTr="00206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Borders>
              <w:top w:val="nil"/>
              <w:left w:val="nil"/>
              <w:bottom w:val="single" w:sz="12" w:space="0" w:color="00A3E2"/>
              <w:right w:val="single" w:sz="12" w:space="0" w:color="00A3E2"/>
            </w:tcBorders>
            <w:shd w:val="clear" w:color="auto" w:fill="auto"/>
          </w:tcPr>
          <w:p w14:paraId="4DC44168" w14:textId="77777777" w:rsidR="0099122E" w:rsidRPr="00781FB9" w:rsidRDefault="0099122E" w:rsidP="000F0EE5">
            <w:pPr>
              <w:rPr>
                <w:rFonts w:ascii="NettoPro-Bold" w:hAnsi="NettoPro-Bold" w:cs="NettoPro-Bold"/>
                <w:b w:val="0"/>
                <w:color w:val="555555"/>
                <w:szCs w:val="20"/>
                <w:shd w:val="clear" w:color="auto" w:fill="FFFFFF"/>
              </w:rPr>
            </w:pPr>
            <w:bookmarkStart w:id="4" w:name="_Hlk2600556"/>
            <w:r w:rsidRPr="00781FB9">
              <w:rPr>
                <w:rFonts w:ascii="NettoPro-Bold" w:hAnsi="NettoPro-Bold" w:cs="NettoPro-Bold"/>
                <w:b w:val="0"/>
                <w:color w:val="555555"/>
                <w:szCs w:val="20"/>
                <w:shd w:val="clear" w:color="auto" w:fill="FFFFFF"/>
              </w:rPr>
              <w:t>Produkt/služba</w:t>
            </w:r>
          </w:p>
        </w:tc>
        <w:tc>
          <w:tcPr>
            <w:tcW w:w="2307" w:type="dxa"/>
            <w:tcBorders>
              <w:top w:val="single" w:sz="12" w:space="0" w:color="FFFFFF" w:themeColor="background1"/>
              <w:left w:val="single" w:sz="12" w:space="0" w:color="00A3E2"/>
              <w:bottom w:val="single" w:sz="12" w:space="0" w:color="00A3E2"/>
              <w:right w:val="single" w:sz="12" w:space="0" w:color="00A3E2"/>
            </w:tcBorders>
          </w:tcPr>
          <w:p w14:paraId="7D0E0546" w14:textId="0E81A4D4" w:rsidR="0099122E" w:rsidRPr="00781FB9" w:rsidRDefault="0099122E" w:rsidP="00206229">
            <w:pPr>
              <w:jc w:val="center"/>
              <w:cnfStyle w:val="100000000000" w:firstRow="1" w:lastRow="0" w:firstColumn="0" w:lastColumn="0" w:oddVBand="0" w:evenVBand="0" w:oddHBand="0" w:evenHBand="0" w:firstRowFirstColumn="0" w:firstRowLastColumn="0" w:lastRowFirstColumn="0" w:lastRowLastColumn="0"/>
              <w:rPr>
                <w:rFonts w:ascii="NettoPro-Bold" w:hAnsi="NettoPro-Bold" w:cs="NettoPro-Bold"/>
                <w:b w:val="0"/>
                <w:color w:val="555555"/>
                <w:szCs w:val="20"/>
                <w:shd w:val="clear" w:color="auto" w:fill="FFFFFF"/>
              </w:rPr>
            </w:pPr>
            <w:r w:rsidRPr="00781FB9">
              <w:rPr>
                <w:rFonts w:ascii="NettoPro-Bold" w:hAnsi="NettoPro-Bold" w:cs="NettoPro-Bold"/>
                <w:b w:val="0"/>
                <w:color w:val="555555"/>
                <w:szCs w:val="20"/>
                <w:shd w:val="clear" w:color="auto" w:fill="FFFFFF"/>
              </w:rPr>
              <w:t>Cena bez DPH</w:t>
            </w:r>
          </w:p>
        </w:tc>
      </w:tr>
      <w:tr w:rsidR="00F62B93" w:rsidRPr="0035557A" w14:paraId="711CE4A2" w14:textId="77777777" w:rsidTr="0020622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44" w:type="dxa"/>
            <w:vMerge w:val="restart"/>
            <w:tcBorders>
              <w:top w:val="single" w:sz="12" w:space="0" w:color="00A3E2"/>
              <w:left w:val="nil"/>
              <w:right w:val="single" w:sz="12" w:space="0" w:color="00A3E2"/>
            </w:tcBorders>
            <w:shd w:val="clear" w:color="auto" w:fill="FFFFFF" w:themeFill="background1"/>
          </w:tcPr>
          <w:p w14:paraId="33DA4F6E" w14:textId="4E1931BA" w:rsidR="00B7707A" w:rsidRPr="00C81585" w:rsidRDefault="00B7707A" w:rsidP="00B7707A">
            <w:pPr>
              <w:rPr>
                <w:rFonts w:ascii="NettoPro-Bold" w:hAnsi="NettoPro-Bold" w:cs="NettoPro-Bold"/>
                <w:b w:val="0"/>
                <w:bCs w:val="0"/>
              </w:rPr>
            </w:pPr>
            <w:r w:rsidRPr="00C81585">
              <w:rPr>
                <w:rFonts w:ascii="NettoPro-Bold" w:hAnsi="NettoPro-Bold" w:cs="NettoPro-Bold"/>
                <w:b w:val="0"/>
              </w:rPr>
              <w:t>NewtonOne</w:t>
            </w:r>
          </w:p>
          <w:p w14:paraId="5925FED5" w14:textId="77777777" w:rsidR="00B7707A" w:rsidRPr="00C81585" w:rsidRDefault="00B7707A" w:rsidP="00B7707A">
            <w:pPr>
              <w:rPr>
                <w:rFonts w:ascii="NettoPro-Bold" w:hAnsi="NettoPro-Bold" w:cs="NettoPro-Bold"/>
                <w:b w:val="0"/>
                <w:bCs w:val="0"/>
              </w:rPr>
            </w:pPr>
          </w:p>
        </w:tc>
        <w:tc>
          <w:tcPr>
            <w:tcW w:w="2753" w:type="dxa"/>
            <w:tcBorders>
              <w:top w:val="single" w:sz="12" w:space="0" w:color="00A3E2"/>
              <w:left w:val="single" w:sz="12" w:space="0" w:color="00A3E2"/>
              <w:bottom w:val="single" w:sz="12" w:space="0" w:color="00A3E2"/>
              <w:right w:val="single" w:sz="12" w:space="0" w:color="00A3E2"/>
            </w:tcBorders>
            <w:shd w:val="clear" w:color="auto" w:fill="FFFFFF" w:themeFill="background1"/>
            <w:vAlign w:val="center"/>
          </w:tcPr>
          <w:p w14:paraId="21AE2359" w14:textId="3D7A6E9F" w:rsidR="00B7707A" w:rsidRDefault="00F34FB6" w:rsidP="00B7707A">
            <w:pPr>
              <w:cnfStyle w:val="000000100000" w:firstRow="0" w:lastRow="0" w:firstColumn="0" w:lastColumn="0" w:oddVBand="0" w:evenVBand="0" w:oddHBand="1" w:evenHBand="0" w:firstRowFirstColumn="0" w:firstRowLastColumn="0" w:lastRowFirstColumn="0" w:lastRowLastColumn="0"/>
              <w:rPr>
                <w:rFonts w:ascii="NettoPro" w:hAnsi="NettoPro" w:cs="NettoPro"/>
              </w:rPr>
            </w:pPr>
            <w:sdt>
              <w:sdtPr>
                <w:rPr>
                  <w:rFonts w:ascii="NettoPro-Bold" w:hAnsi="NettoPro-Bold" w:cs="NettoPro-Bold"/>
                </w:rPr>
                <w:id w:val="-702014227"/>
                <w14:checkbox>
                  <w14:checked w14:val="1"/>
                  <w14:checkedState w14:val="2612" w14:font="MS Gothic"/>
                  <w14:uncheckedState w14:val="2610" w14:font="MS Gothic"/>
                </w14:checkbox>
              </w:sdtPr>
              <w:sdtEndPr/>
              <w:sdtContent>
                <w:r w:rsidR="00206229">
                  <w:rPr>
                    <w:rFonts w:ascii="MS Gothic" w:eastAsia="MS Gothic" w:hAnsi="MS Gothic" w:cs="NettoPro-Bold" w:hint="eastAsia"/>
                  </w:rPr>
                  <w:t>☒</w:t>
                </w:r>
              </w:sdtContent>
            </w:sdt>
            <w:r w:rsidR="00B7707A">
              <w:rPr>
                <w:rFonts w:ascii="NettoPro-Bold" w:hAnsi="NettoPro-Bold" w:cs="NettoPro-Bold"/>
              </w:rPr>
              <w:t xml:space="preserve"> </w:t>
            </w:r>
            <w:r w:rsidR="00B7707A">
              <w:rPr>
                <w:rFonts w:ascii="NettoPro" w:hAnsi="NettoPro" w:cs="NettoPro"/>
              </w:rPr>
              <w:t>Monitoring médií</w:t>
            </w:r>
          </w:p>
        </w:tc>
        <w:tc>
          <w:tcPr>
            <w:tcW w:w="2307" w:type="dxa"/>
            <w:tcBorders>
              <w:top w:val="single" w:sz="12" w:space="0" w:color="00A3E2"/>
              <w:left w:val="single" w:sz="12" w:space="0" w:color="00A3E2"/>
              <w:bottom w:val="single" w:sz="12" w:space="0" w:color="00A3E2" w:themeColor="accent1"/>
              <w:right w:val="single" w:sz="12" w:space="0" w:color="00A3E2"/>
            </w:tcBorders>
            <w:shd w:val="clear" w:color="auto" w:fill="FFFFFF" w:themeFill="background1"/>
            <w:vAlign w:val="center"/>
          </w:tcPr>
          <w:p w14:paraId="308ECB60" w14:textId="5E5DD62D" w:rsidR="00B7707A" w:rsidRPr="0099122E" w:rsidRDefault="00206229" w:rsidP="00206229">
            <w:pPr>
              <w:jc w:val="center"/>
              <w:cnfStyle w:val="000000100000" w:firstRow="0" w:lastRow="0" w:firstColumn="0" w:lastColumn="0" w:oddVBand="0" w:evenVBand="0" w:oddHBand="1" w:evenHBand="0" w:firstRowFirstColumn="0" w:firstRowLastColumn="0" w:lastRowFirstColumn="0" w:lastRowLastColumn="0"/>
              <w:rPr>
                <w:rFonts w:ascii="NettoPro" w:hAnsi="NettoPro" w:cs="NettoPro"/>
              </w:rPr>
            </w:pPr>
            <w:r>
              <w:rPr>
                <w:rFonts w:ascii="NettoPro" w:hAnsi="NettoPro" w:cs="NettoPro"/>
              </w:rPr>
              <w:t>5.000</w:t>
            </w:r>
            <w:r w:rsidR="00B7707A">
              <w:rPr>
                <w:rFonts w:ascii="NettoPro" w:hAnsi="NettoPro" w:cs="NettoPro"/>
              </w:rPr>
              <w:t xml:space="preserve"> Kč</w:t>
            </w:r>
            <w:r>
              <w:rPr>
                <w:rFonts w:ascii="NettoPro" w:hAnsi="NettoPro" w:cs="NettoPro"/>
              </w:rPr>
              <w:t xml:space="preserve"> /měsíc</w:t>
            </w:r>
          </w:p>
        </w:tc>
      </w:tr>
      <w:tr w:rsidR="00F62B93" w:rsidRPr="0035557A" w14:paraId="7FB10619" w14:textId="77777777" w:rsidTr="00206229">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044" w:type="dxa"/>
            <w:vMerge/>
            <w:tcBorders>
              <w:left w:val="nil"/>
              <w:right w:val="single" w:sz="12" w:space="0" w:color="00A3E2"/>
            </w:tcBorders>
            <w:shd w:val="clear" w:color="auto" w:fill="FFFFFF" w:themeFill="background1"/>
          </w:tcPr>
          <w:p w14:paraId="7C7C14FB" w14:textId="77777777" w:rsidR="00B7707A" w:rsidRPr="00C81585" w:rsidRDefault="00B7707A" w:rsidP="00B7707A">
            <w:pPr>
              <w:rPr>
                <w:rFonts w:ascii="NettoPro-Bold" w:hAnsi="NettoPro-Bold" w:cs="NettoPro-Bold"/>
                <w:b w:val="0"/>
              </w:rPr>
            </w:pPr>
          </w:p>
        </w:tc>
        <w:tc>
          <w:tcPr>
            <w:tcW w:w="2753" w:type="dxa"/>
            <w:tcBorders>
              <w:top w:val="single" w:sz="12" w:space="0" w:color="00A3E2"/>
              <w:left w:val="single" w:sz="12" w:space="0" w:color="00A3E2"/>
              <w:bottom w:val="single" w:sz="12" w:space="0" w:color="00A3E2"/>
              <w:right w:val="single" w:sz="12" w:space="0" w:color="00A3E2"/>
            </w:tcBorders>
            <w:shd w:val="clear" w:color="auto" w:fill="FFFFFF" w:themeFill="background1"/>
            <w:vAlign w:val="center"/>
          </w:tcPr>
          <w:p w14:paraId="3F3DE462" w14:textId="65AD9B94" w:rsidR="00B7707A" w:rsidRDefault="00F34FB6" w:rsidP="00B7707A">
            <w:pPr>
              <w:cnfStyle w:val="000000010000" w:firstRow="0" w:lastRow="0" w:firstColumn="0" w:lastColumn="0" w:oddVBand="0" w:evenVBand="0" w:oddHBand="0" w:evenHBand="1" w:firstRowFirstColumn="0" w:firstRowLastColumn="0" w:lastRowFirstColumn="0" w:lastRowLastColumn="0"/>
              <w:rPr>
                <w:rFonts w:ascii="NettoPro" w:hAnsi="NettoPro" w:cs="NettoPro"/>
              </w:rPr>
            </w:pPr>
            <w:sdt>
              <w:sdtPr>
                <w:rPr>
                  <w:rFonts w:ascii="NettoPro-Bold" w:hAnsi="NettoPro-Bold" w:cs="NettoPro-Bold"/>
                </w:rPr>
                <w:id w:val="-1409219470"/>
                <w14:checkbox>
                  <w14:checked w14:val="1"/>
                  <w14:checkedState w14:val="2612" w14:font="MS Gothic"/>
                  <w14:uncheckedState w14:val="2610" w14:font="MS Gothic"/>
                </w14:checkbox>
              </w:sdtPr>
              <w:sdtEndPr/>
              <w:sdtContent>
                <w:r w:rsidR="00206229">
                  <w:rPr>
                    <w:rFonts w:ascii="MS Gothic" w:eastAsia="MS Gothic" w:hAnsi="MS Gothic" w:cs="NettoPro-Bold" w:hint="eastAsia"/>
                  </w:rPr>
                  <w:t>☒</w:t>
                </w:r>
              </w:sdtContent>
            </w:sdt>
            <w:r w:rsidR="00B7707A">
              <w:rPr>
                <w:rFonts w:ascii="NettoPro" w:hAnsi="NettoPro" w:cs="NettoPro"/>
              </w:rPr>
              <w:t xml:space="preserve"> Archiv</w:t>
            </w:r>
          </w:p>
        </w:tc>
        <w:tc>
          <w:tcPr>
            <w:tcW w:w="2307" w:type="dxa"/>
            <w:tcBorders>
              <w:top w:val="single" w:sz="12" w:space="0" w:color="00A3E2" w:themeColor="accent1"/>
              <w:left w:val="single" w:sz="12" w:space="0" w:color="00A3E2"/>
              <w:bottom w:val="single" w:sz="12" w:space="0" w:color="00A3E2" w:themeColor="accent1"/>
              <w:right w:val="single" w:sz="12" w:space="0" w:color="00A3E2"/>
            </w:tcBorders>
            <w:shd w:val="clear" w:color="auto" w:fill="FFFFFF" w:themeFill="background1"/>
            <w:vAlign w:val="center"/>
          </w:tcPr>
          <w:p w14:paraId="446F5F8A" w14:textId="35969965" w:rsidR="00B7707A" w:rsidRPr="0099122E" w:rsidRDefault="00206229" w:rsidP="00206229">
            <w:pPr>
              <w:jc w:val="center"/>
              <w:cnfStyle w:val="000000010000" w:firstRow="0" w:lastRow="0" w:firstColumn="0" w:lastColumn="0" w:oddVBand="0" w:evenVBand="0" w:oddHBand="0" w:evenHBand="1" w:firstRowFirstColumn="0" w:firstRowLastColumn="0" w:lastRowFirstColumn="0" w:lastRowLastColumn="0"/>
              <w:rPr>
                <w:rFonts w:ascii="NettoPro" w:hAnsi="NettoPro" w:cs="NettoPro"/>
              </w:rPr>
            </w:pPr>
            <w:r>
              <w:rPr>
                <w:rFonts w:ascii="NettoPro" w:hAnsi="NettoPro" w:cs="NettoPro"/>
              </w:rPr>
              <w:t>v ceně</w:t>
            </w:r>
            <w:r w:rsidR="00B7707A">
              <w:rPr>
                <w:rFonts w:ascii="NettoPro" w:hAnsi="NettoPro" w:cs="NettoPro"/>
              </w:rPr>
              <w:t xml:space="preserve"> </w:t>
            </w:r>
          </w:p>
        </w:tc>
      </w:tr>
      <w:tr w:rsidR="00B7707A" w:rsidRPr="00F44D8A" w14:paraId="57FFE4A8" w14:textId="77777777" w:rsidTr="00206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bottom w:val="single" w:sz="12" w:space="0" w:color="00A3E2"/>
              <w:right w:val="single" w:sz="12" w:space="0" w:color="00A3E2"/>
            </w:tcBorders>
            <w:shd w:val="clear" w:color="auto" w:fill="F2F2F2" w:themeFill="background1" w:themeFillShade="F2"/>
          </w:tcPr>
          <w:p w14:paraId="41A1FE70" w14:textId="78CB4391" w:rsidR="00B7707A" w:rsidRPr="00906518" w:rsidRDefault="00B7707A" w:rsidP="00B7707A">
            <w:pPr>
              <w:rPr>
                <w:rFonts w:ascii="NettoPro-Bold" w:hAnsi="NettoPro-Bold" w:cs="NettoPro-Bold"/>
                <w:b w:val="0"/>
                <w:szCs w:val="20"/>
              </w:rPr>
            </w:pPr>
            <w:r w:rsidRPr="00906518">
              <w:rPr>
                <w:rFonts w:ascii="NettoPro-Bold" w:hAnsi="NettoPro-Bold" w:cs="NettoPro-Bold"/>
                <w:b w:val="0"/>
                <w:szCs w:val="20"/>
              </w:rPr>
              <w:t>CELKEM</w:t>
            </w:r>
            <w:r w:rsidR="00206229">
              <w:rPr>
                <w:rFonts w:ascii="NettoPro-Bold" w:hAnsi="NettoPro-Bold" w:cs="NettoPro-Bold"/>
                <w:b w:val="0"/>
                <w:szCs w:val="20"/>
              </w:rPr>
              <w:t xml:space="preserve"> za jeden kalendářní měsíc</w:t>
            </w:r>
          </w:p>
        </w:tc>
        <w:tc>
          <w:tcPr>
            <w:tcW w:w="2753" w:type="dxa"/>
            <w:tcBorders>
              <w:top w:val="single" w:sz="12" w:space="0" w:color="00A3E2"/>
              <w:left w:val="single" w:sz="12" w:space="0" w:color="00A3E2"/>
              <w:bottom w:val="single" w:sz="12" w:space="0" w:color="00A3E2"/>
              <w:right w:val="single" w:sz="12" w:space="0" w:color="00A3E2"/>
            </w:tcBorders>
            <w:shd w:val="clear" w:color="auto" w:fill="F2F2F2" w:themeFill="background1" w:themeFillShade="F2"/>
            <w:vAlign w:val="center"/>
          </w:tcPr>
          <w:p w14:paraId="7EAAF87C" w14:textId="77777777" w:rsidR="00B7707A" w:rsidRPr="00F1397E" w:rsidRDefault="00B7707A" w:rsidP="00B7707A">
            <w:pPr>
              <w:ind w:firstLine="567"/>
              <w:jc w:val="left"/>
              <w:cnfStyle w:val="000000100000" w:firstRow="0" w:lastRow="0" w:firstColumn="0" w:lastColumn="0" w:oddVBand="0" w:evenVBand="0" w:oddHBand="1" w:evenHBand="0" w:firstRowFirstColumn="0" w:firstRowLastColumn="0" w:lastRowFirstColumn="0" w:lastRowLastColumn="0"/>
              <w:rPr>
                <w:sz w:val="18"/>
              </w:rPr>
            </w:pPr>
          </w:p>
        </w:tc>
        <w:tc>
          <w:tcPr>
            <w:tcW w:w="2307" w:type="dxa"/>
            <w:tcBorders>
              <w:top w:val="single" w:sz="12" w:space="0" w:color="00A3E2"/>
              <w:left w:val="single" w:sz="12" w:space="0" w:color="00A3E2"/>
              <w:bottom w:val="single" w:sz="12" w:space="0" w:color="00A3E2"/>
              <w:right w:val="single" w:sz="12" w:space="0" w:color="00A3E2"/>
            </w:tcBorders>
            <w:shd w:val="clear" w:color="auto" w:fill="F2F2F2" w:themeFill="background1" w:themeFillShade="F2"/>
            <w:vAlign w:val="center"/>
          </w:tcPr>
          <w:p w14:paraId="000B992C" w14:textId="7CA407C0" w:rsidR="00B7707A" w:rsidRPr="00EC30E2" w:rsidRDefault="00206229" w:rsidP="00B7707A">
            <w:pPr>
              <w:jc w:val="center"/>
              <w:cnfStyle w:val="000000100000" w:firstRow="0" w:lastRow="0" w:firstColumn="0" w:lastColumn="0" w:oddVBand="0" w:evenVBand="0" w:oddHBand="1" w:evenHBand="0" w:firstRowFirstColumn="0" w:firstRowLastColumn="0" w:lastRowFirstColumn="0" w:lastRowLastColumn="0"/>
              <w:rPr>
                <w:rFonts w:ascii="NettoPro" w:hAnsi="NettoPro" w:cs="NettoPro"/>
              </w:rPr>
            </w:pPr>
            <w:r>
              <w:rPr>
                <w:rFonts w:ascii="NettoPro" w:hAnsi="NettoPro" w:cs="NettoPro"/>
              </w:rPr>
              <w:t>5.000</w:t>
            </w:r>
            <w:r w:rsidR="00B7707A">
              <w:rPr>
                <w:rFonts w:ascii="NettoPro" w:hAnsi="NettoPro" w:cs="NettoPro"/>
              </w:rPr>
              <w:t xml:space="preserve"> Kč</w:t>
            </w:r>
            <w:r>
              <w:rPr>
                <w:rFonts w:ascii="NettoPro" w:hAnsi="NettoPro" w:cs="NettoPro"/>
              </w:rPr>
              <w:t xml:space="preserve"> / měsíc</w:t>
            </w:r>
          </w:p>
        </w:tc>
      </w:tr>
      <w:tr w:rsidR="00206229" w:rsidRPr="00F44D8A" w14:paraId="097B3210" w14:textId="77777777" w:rsidTr="002062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bottom w:val="nil"/>
              <w:right w:val="single" w:sz="12" w:space="0" w:color="00A3E2"/>
            </w:tcBorders>
            <w:shd w:val="clear" w:color="auto" w:fill="F2F2F2" w:themeFill="background1" w:themeFillShade="F2"/>
          </w:tcPr>
          <w:p w14:paraId="3A5DA243" w14:textId="211210C6" w:rsidR="00206229" w:rsidRPr="00906518" w:rsidRDefault="00206229" w:rsidP="00B7707A">
            <w:pPr>
              <w:rPr>
                <w:rFonts w:ascii="NettoPro-Bold" w:hAnsi="NettoPro-Bold" w:cs="NettoPro-Bold"/>
              </w:rPr>
            </w:pPr>
            <w:r>
              <w:rPr>
                <w:rFonts w:ascii="NettoPro-Bold" w:hAnsi="NettoPro-Bold" w:cs="NettoPro-Bold"/>
              </w:rPr>
              <w:t xml:space="preserve">CELKEM za </w:t>
            </w:r>
            <w:r w:rsidR="009878B4">
              <w:rPr>
                <w:rFonts w:ascii="NettoPro-Bold" w:hAnsi="NettoPro-Bold" w:cs="NettoPro-Bold"/>
              </w:rPr>
              <w:t xml:space="preserve">dvanáct </w:t>
            </w:r>
            <w:r>
              <w:rPr>
                <w:rFonts w:ascii="NettoPro-Bold" w:hAnsi="NettoPro-Bold" w:cs="NettoPro-Bold"/>
              </w:rPr>
              <w:t>kalendářních měsíců</w:t>
            </w:r>
          </w:p>
        </w:tc>
        <w:tc>
          <w:tcPr>
            <w:tcW w:w="2753"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3526C5AC" w14:textId="77777777" w:rsidR="00206229" w:rsidRPr="00F1397E" w:rsidRDefault="00206229" w:rsidP="00B7707A">
            <w:pPr>
              <w:ind w:firstLine="567"/>
              <w:cnfStyle w:val="000000010000" w:firstRow="0" w:lastRow="0" w:firstColumn="0" w:lastColumn="0" w:oddVBand="0" w:evenVBand="0" w:oddHBand="0" w:evenHBand="1" w:firstRowFirstColumn="0" w:firstRowLastColumn="0" w:lastRowFirstColumn="0" w:lastRowLastColumn="0"/>
              <w:rPr>
                <w:sz w:val="18"/>
              </w:rPr>
            </w:pPr>
          </w:p>
        </w:tc>
        <w:tc>
          <w:tcPr>
            <w:tcW w:w="2307"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2B7A2F74" w14:textId="0428B176" w:rsidR="00206229" w:rsidRDefault="009878B4" w:rsidP="00B7707A">
            <w:pPr>
              <w:jc w:val="center"/>
              <w:cnfStyle w:val="000000010000" w:firstRow="0" w:lastRow="0" w:firstColumn="0" w:lastColumn="0" w:oddVBand="0" w:evenVBand="0" w:oddHBand="0" w:evenHBand="1" w:firstRowFirstColumn="0" w:firstRowLastColumn="0" w:lastRowFirstColumn="0" w:lastRowLastColumn="0"/>
              <w:rPr>
                <w:rFonts w:ascii="NettoPro" w:hAnsi="NettoPro" w:cs="NettoPro"/>
              </w:rPr>
            </w:pPr>
            <w:r>
              <w:rPr>
                <w:rFonts w:ascii="NettoPro" w:hAnsi="NettoPro" w:cs="NettoPro"/>
              </w:rPr>
              <w:t>60.000</w:t>
            </w:r>
            <w:r w:rsidR="00206229">
              <w:rPr>
                <w:rFonts w:ascii="NettoPro" w:hAnsi="NettoPro" w:cs="NettoPro"/>
              </w:rPr>
              <w:t xml:space="preserve"> Kč / </w:t>
            </w:r>
            <w:r>
              <w:rPr>
                <w:rFonts w:ascii="NettoPro" w:hAnsi="NettoPro" w:cs="NettoPro"/>
              </w:rPr>
              <w:t xml:space="preserve">12 </w:t>
            </w:r>
            <w:r w:rsidR="00206229">
              <w:rPr>
                <w:rFonts w:ascii="NettoPro" w:hAnsi="NettoPro" w:cs="NettoPro"/>
              </w:rPr>
              <w:t>měsíců</w:t>
            </w:r>
          </w:p>
        </w:tc>
      </w:tr>
      <w:bookmarkEnd w:id="4"/>
    </w:tbl>
    <w:p w14:paraId="0EF3D94D" w14:textId="77777777" w:rsidR="0066481D" w:rsidRDefault="0066481D" w:rsidP="0066481D"/>
    <w:p w14:paraId="1E886DCD" w14:textId="77777777" w:rsidR="00053F0E" w:rsidRPr="00A171B8" w:rsidRDefault="007D204B" w:rsidP="00053F0E">
      <w:pPr>
        <w:pStyle w:val="Podnadpis1"/>
        <w:numPr>
          <w:ilvl w:val="0"/>
          <w:numId w:val="0"/>
        </w:numPr>
        <w:ind w:left="567"/>
        <w:rPr>
          <w:rFonts w:ascii="NettoPro" w:hAnsi="NettoPro" w:cs="NettoPro"/>
        </w:rPr>
      </w:pPr>
      <w:r w:rsidRPr="00A171B8">
        <w:rPr>
          <w:rFonts w:ascii="NettoPro" w:hAnsi="NettoPro" w:cs="NettoPro"/>
        </w:rPr>
        <w:t>Smluvní strany se dohodly, že veškeré daňové doklady a podklady týkající se splatnosti a fakturace budou zasílány výlučně</w:t>
      </w:r>
      <w:r w:rsidR="00053F0E" w:rsidRPr="00A171B8">
        <w:rPr>
          <w:rFonts w:ascii="NettoPro" w:hAnsi="NettoPro" w:cs="NettoPro"/>
        </w:rPr>
        <w:t>:</w:t>
      </w:r>
      <w:r w:rsidRPr="00A171B8">
        <w:rPr>
          <w:rFonts w:ascii="NettoPro" w:hAnsi="NettoPro" w:cs="NettoPro"/>
        </w:rPr>
        <w:t xml:space="preserve"> </w:t>
      </w:r>
    </w:p>
    <w:p w14:paraId="72E911E9" w14:textId="53AB7C40" w:rsidR="00053F0E" w:rsidRPr="00A171B8" w:rsidRDefault="00F34FB6" w:rsidP="00053F0E">
      <w:pPr>
        <w:pStyle w:val="Podnadpis1"/>
        <w:numPr>
          <w:ilvl w:val="0"/>
          <w:numId w:val="0"/>
        </w:numPr>
        <w:ind w:left="567"/>
        <w:rPr>
          <w:rFonts w:ascii="NettoPro" w:hAnsi="NettoPro" w:cs="NettoPro"/>
        </w:rPr>
      </w:pPr>
      <w:sdt>
        <w:sdtPr>
          <w:rPr>
            <w:rFonts w:ascii="NettoPro" w:hAnsi="NettoPro" w:cs="NettoPro"/>
            <w:b/>
            <w:szCs w:val="22"/>
          </w:rPr>
          <w:id w:val="442585948"/>
          <w14:checkbox>
            <w14:checked w14:val="1"/>
            <w14:checkedState w14:val="2612" w14:font="MS Gothic"/>
            <w14:uncheckedState w14:val="2610" w14:font="MS Gothic"/>
          </w14:checkbox>
        </w:sdtPr>
        <w:sdtEndPr/>
        <w:sdtContent>
          <w:r w:rsidR="00206229" w:rsidRPr="00EB3A03">
            <w:rPr>
              <w:rFonts w:ascii="MS Gothic" w:eastAsia="MS Gothic" w:hAnsi="MS Gothic" w:cs="NettoPro" w:hint="eastAsia"/>
              <w:b/>
              <w:szCs w:val="22"/>
            </w:rPr>
            <w:t>☒</w:t>
          </w:r>
        </w:sdtContent>
      </w:sdt>
      <w:r w:rsidR="00053F0E" w:rsidRPr="00A171B8">
        <w:rPr>
          <w:rFonts w:ascii="NettoPro" w:hAnsi="NettoPro" w:cs="NettoPro"/>
          <w:szCs w:val="22"/>
        </w:rPr>
        <w:t xml:space="preserve"> </w:t>
      </w:r>
      <w:r w:rsidR="00053F0E" w:rsidRPr="00A171B8">
        <w:rPr>
          <w:rFonts w:ascii="NettoPro" w:hAnsi="NettoPro" w:cs="NettoPro"/>
        </w:rPr>
        <w:t xml:space="preserve">v elektronické podobě na e-mailovou adresu odběratele </w:t>
      </w:r>
    </w:p>
    <w:p w14:paraId="7260F993" w14:textId="20A5CA99" w:rsidR="00053F0E" w:rsidRPr="00A171B8" w:rsidRDefault="00F34FB6" w:rsidP="00053F0E">
      <w:pPr>
        <w:pStyle w:val="Podnadpis1"/>
        <w:numPr>
          <w:ilvl w:val="0"/>
          <w:numId w:val="0"/>
        </w:numPr>
        <w:ind w:left="567"/>
        <w:rPr>
          <w:rFonts w:ascii="NettoPro" w:hAnsi="NettoPro" w:cs="NettoPro"/>
        </w:rPr>
      </w:pPr>
      <w:sdt>
        <w:sdtPr>
          <w:rPr>
            <w:rFonts w:ascii="NettoPro" w:hAnsi="NettoPro" w:cs="NettoPro"/>
            <w:szCs w:val="22"/>
          </w:rPr>
          <w:id w:val="953907918"/>
          <w14:checkbox>
            <w14:checked w14:val="0"/>
            <w14:checkedState w14:val="2612" w14:font="MS Gothic"/>
            <w14:uncheckedState w14:val="2610" w14:font="MS Gothic"/>
          </w14:checkbox>
        </w:sdtPr>
        <w:sdtEndPr/>
        <w:sdtContent>
          <w:r w:rsidR="0053380D" w:rsidRPr="00A171B8">
            <w:rPr>
              <w:rFonts w:ascii="NettoPro" w:eastAsia="MS Gothic" w:hAnsi="NettoPro" w:cs="NettoPro"/>
              <w:szCs w:val="22"/>
            </w:rPr>
            <w:t>☐</w:t>
          </w:r>
        </w:sdtContent>
      </w:sdt>
      <w:r w:rsidR="00053F0E" w:rsidRPr="00A171B8">
        <w:rPr>
          <w:rFonts w:ascii="NettoPro" w:hAnsi="NettoPro" w:cs="NettoPro"/>
          <w:szCs w:val="22"/>
        </w:rPr>
        <w:t xml:space="preserve"> </w:t>
      </w:r>
      <w:r w:rsidR="00053F0E" w:rsidRPr="00A171B8">
        <w:rPr>
          <w:rFonts w:ascii="NettoPro" w:hAnsi="NettoPro" w:cs="NettoPro"/>
        </w:rPr>
        <w:t>na fyzickou adresu odběratele specifikovanou v záhlaví této smlouvy, nedošlo-li ke změně této adresy způsobem, který je touto smlouvou předvídán.</w:t>
      </w:r>
    </w:p>
    <w:p w14:paraId="0D5365D4" w14:textId="77777777" w:rsidR="007D204B" w:rsidRPr="00A171B8" w:rsidRDefault="007D204B" w:rsidP="000907D2">
      <w:pPr>
        <w:pStyle w:val="Podnadpis1"/>
        <w:rPr>
          <w:rFonts w:ascii="NettoPro" w:hAnsi="NettoPro" w:cs="NettoPro"/>
        </w:rPr>
      </w:pPr>
      <w:r w:rsidRPr="00A171B8">
        <w:rPr>
          <w:rFonts w:ascii="NettoPro" w:hAnsi="NettoPro" w:cs="NettoPro"/>
        </w:rPr>
        <w:t>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53763F5F" w14:textId="77777777" w:rsidR="007D204B" w:rsidRPr="00A171B8" w:rsidRDefault="007D204B" w:rsidP="000907D2">
      <w:pPr>
        <w:pStyle w:val="Podnadpis1"/>
        <w:rPr>
          <w:rFonts w:ascii="NettoPro" w:hAnsi="NettoPro" w:cs="NettoPro"/>
        </w:rPr>
      </w:pPr>
      <w:r w:rsidRPr="00A171B8">
        <w:rPr>
          <w:rFonts w:ascii="NettoPro" w:hAnsi="NettoPro" w:cs="NettoPro"/>
        </w:rPr>
        <w:t xml:space="preserve">V případě zvýšení cen vstupů dodavatele nezbytných pro plnění této smlouvy je dodavatel oprávněn zvýšit odměnu za poskytované plnění odběrateli, a to výhradně v rozsahu zvýšení ceny příslušného vstupu. Dodavatel se zavazuje oznámit zvýšení ceny odběrateli nejméně jeden (1) měsíc předem. Nevyjádří-li odběratel nesouhlas s takovým zvýšením, a to písemným oznámením doručeným dodavateli ve lhůtě čtrnácti (14) dnů ode dne doručení písemného oznámení o zvýšení ceny, má se za to, že s takovým zvýšením souhlasí.  Nesouhlasí-li odběratel se zvýšením ceny, má dodavatel právo vypovědět smlouvu v rozsahu plnění, které je dotčeno zvýšením cen, a to s účinností ke dni účinnosti </w:t>
      </w:r>
      <w:r w:rsidRPr="00A171B8">
        <w:rPr>
          <w:rFonts w:ascii="NettoPro" w:hAnsi="NettoPro" w:cs="NettoPro"/>
        </w:rPr>
        <w:lastRenderedPageBreak/>
        <w:t>zvýšení odměny. V případě, že dodavatel nevypoví část smlouvy podle předchozí věty, platí dále ceny před navrhovaným zvýšením.</w:t>
      </w:r>
    </w:p>
    <w:p w14:paraId="7A69F2AE" w14:textId="16C1069E" w:rsidR="007D204B" w:rsidRDefault="007D204B" w:rsidP="000907D2">
      <w:pPr>
        <w:pStyle w:val="Podnadpis1"/>
        <w:rPr>
          <w:rFonts w:ascii="NettoPro" w:hAnsi="NettoPro" w:cs="NettoPro"/>
        </w:rPr>
      </w:pPr>
      <w:r w:rsidRPr="00A171B8">
        <w:rPr>
          <w:rFonts w:ascii="NettoPro" w:hAnsi="NettoPro" w:cs="NettoPro"/>
        </w:rPr>
        <w:t>Výše úroku z prodlení odběratele je smluvními stranami dohodnuta ve výši 0,1 % z dlužné částky za každý i započatý den prodlení.</w:t>
      </w:r>
    </w:p>
    <w:p w14:paraId="0A369788" w14:textId="1A6FB2DB" w:rsidR="00A171B8" w:rsidRPr="00493924" w:rsidRDefault="00A171B8" w:rsidP="00A171B8">
      <w:pPr>
        <w:pStyle w:val="HlavniNadpis"/>
        <w:rPr>
          <w:rFonts w:ascii="NettoPro-Bold" w:hAnsi="NettoPro-Bold" w:cs="NettoPro-Bold"/>
          <w:b w:val="0"/>
        </w:rPr>
      </w:pPr>
      <w:r w:rsidRPr="00493924">
        <w:rPr>
          <w:rFonts w:ascii="NettoPro-Bold" w:hAnsi="NettoPro-Bold" w:cs="NettoPro-Bold"/>
          <w:b w:val="0"/>
        </w:rPr>
        <w:t>Kontaktní osoby</w:t>
      </w:r>
    </w:p>
    <w:p w14:paraId="38B39034" w14:textId="04D42AB7" w:rsidR="00A171B8" w:rsidRPr="00CB561A" w:rsidRDefault="00A171B8" w:rsidP="00CB561A">
      <w:pPr>
        <w:pStyle w:val="Podnadpis1"/>
        <w:rPr>
          <w:rFonts w:ascii="NettoPro" w:hAnsi="NettoPro" w:cs="NettoPro"/>
        </w:rPr>
      </w:pPr>
      <w:r w:rsidRPr="00CB561A">
        <w:rPr>
          <w:rFonts w:ascii="NettoPro" w:hAnsi="NettoPro" w:cs="NettoPro"/>
        </w:rPr>
        <w:t>Kontaktn</w:t>
      </w:r>
      <w:r w:rsidR="00C1751D">
        <w:rPr>
          <w:rFonts w:ascii="NettoPro" w:hAnsi="NettoPro" w:cs="NettoPro"/>
        </w:rPr>
        <w:t>í</w:t>
      </w:r>
      <w:r w:rsidRPr="00CB561A">
        <w:rPr>
          <w:rFonts w:ascii="NettoPro" w:hAnsi="NettoPro" w:cs="NettoPro"/>
        </w:rPr>
        <w:t xml:space="preserve"> osobou odběratele: </w:t>
      </w:r>
    </w:p>
    <w:p w14:paraId="05398D08" w14:textId="21C2FDB8" w:rsidR="00A171B8" w:rsidRPr="00EC30E2" w:rsidRDefault="00A171B8" w:rsidP="00EC30E2">
      <w:pPr>
        <w:pStyle w:val="Podnadpis1"/>
        <w:numPr>
          <w:ilvl w:val="0"/>
          <w:numId w:val="0"/>
        </w:numPr>
        <w:ind w:left="567" w:firstLine="141"/>
        <w:rPr>
          <w:rFonts w:ascii="NettoPro" w:hAnsi="NettoPro" w:cs="NettoPro"/>
        </w:rPr>
      </w:pPr>
      <w:r>
        <w:rPr>
          <w:rFonts w:ascii="NettoPro" w:hAnsi="NettoPro" w:cs="NettoPro"/>
        </w:rPr>
        <w:t>Jméno, příjmení</w:t>
      </w:r>
      <w:r w:rsidRPr="00EC30E2">
        <w:rPr>
          <w:rFonts w:ascii="NettoPro" w:hAnsi="NettoPro" w:cs="NettoPro"/>
        </w:rPr>
        <w:t xml:space="preserve">: </w:t>
      </w:r>
      <w:r w:rsidR="00440B2D">
        <w:rPr>
          <w:rFonts w:ascii="NettoPro" w:hAnsi="NettoPro" w:cs="NettoPro"/>
        </w:rPr>
        <w:t>Jan Kopál</w:t>
      </w:r>
    </w:p>
    <w:p w14:paraId="0BE41C50" w14:textId="14A913D6" w:rsidR="00A171B8" w:rsidRPr="00EC30E2" w:rsidRDefault="00A171B8" w:rsidP="00EC30E2">
      <w:pPr>
        <w:pStyle w:val="Podnadpis1"/>
        <w:numPr>
          <w:ilvl w:val="0"/>
          <w:numId w:val="0"/>
        </w:numPr>
        <w:ind w:left="567" w:firstLine="141"/>
        <w:rPr>
          <w:rFonts w:ascii="NettoPro" w:hAnsi="NettoPro" w:cs="NettoPro"/>
        </w:rPr>
      </w:pPr>
      <w:r>
        <w:rPr>
          <w:rFonts w:ascii="NettoPro" w:hAnsi="NettoPro" w:cs="NettoPro"/>
        </w:rPr>
        <w:t>Email</w:t>
      </w:r>
      <w:r w:rsidRPr="00EC30E2">
        <w:rPr>
          <w:rFonts w:ascii="NettoPro" w:hAnsi="NettoPro" w:cs="NettoPro"/>
        </w:rPr>
        <w:t xml:space="preserve">: </w:t>
      </w:r>
      <w:r w:rsidR="00440B2D">
        <w:rPr>
          <w:rFonts w:ascii="NettoPro" w:hAnsi="NettoPro" w:cs="NettoPro"/>
        </w:rPr>
        <w:t>j.kopal@mmkv.cz</w:t>
      </w:r>
    </w:p>
    <w:p w14:paraId="1CDC6C05" w14:textId="2A245B8C" w:rsidR="00CB561A" w:rsidRDefault="00CB561A" w:rsidP="00C81585">
      <w:pPr>
        <w:pStyle w:val="Podnadpis1"/>
        <w:numPr>
          <w:ilvl w:val="0"/>
          <w:numId w:val="0"/>
        </w:numPr>
        <w:ind w:left="567" w:firstLine="141"/>
        <w:rPr>
          <w:rFonts w:ascii="NettoPro" w:hAnsi="NettoPro" w:cs="NettoPro"/>
        </w:rPr>
      </w:pPr>
      <w:r>
        <w:rPr>
          <w:rFonts w:ascii="NettoPro" w:hAnsi="NettoPro" w:cs="NettoPro"/>
        </w:rPr>
        <w:t>Telefon</w:t>
      </w:r>
      <w:r w:rsidR="00A171B8" w:rsidRPr="00EC30E2">
        <w:rPr>
          <w:rFonts w:ascii="NettoPro" w:hAnsi="NettoPro" w:cs="NettoPro"/>
        </w:rPr>
        <w:t xml:space="preserve">: </w:t>
      </w:r>
      <w:r w:rsidR="00440B2D">
        <w:rPr>
          <w:rFonts w:ascii="NettoPro" w:hAnsi="NettoPro" w:cs="NettoPro"/>
        </w:rPr>
        <w:t>725 050 114</w:t>
      </w:r>
    </w:p>
    <w:p w14:paraId="4194E7E6" w14:textId="3E069059" w:rsidR="00A171B8" w:rsidRPr="00CB561A" w:rsidRDefault="00A171B8" w:rsidP="00CB561A">
      <w:pPr>
        <w:pStyle w:val="Podnadpis1"/>
        <w:rPr>
          <w:rFonts w:ascii="NettoPro" w:hAnsi="NettoPro" w:cs="NettoPro"/>
        </w:rPr>
      </w:pPr>
      <w:r w:rsidRPr="00CB561A">
        <w:rPr>
          <w:rFonts w:ascii="NettoPro" w:hAnsi="NettoPro" w:cs="NettoPro"/>
        </w:rPr>
        <w:t>Kontaktní osobou dodavatele:</w:t>
      </w:r>
    </w:p>
    <w:p w14:paraId="557A347F" w14:textId="2EFDB4FE" w:rsidR="00CB561A" w:rsidRPr="00EC30E2" w:rsidRDefault="00CB561A" w:rsidP="00EC30E2">
      <w:pPr>
        <w:pStyle w:val="Podnadpis1"/>
        <w:numPr>
          <w:ilvl w:val="0"/>
          <w:numId w:val="0"/>
        </w:numPr>
        <w:ind w:left="567" w:firstLine="141"/>
        <w:rPr>
          <w:rFonts w:ascii="NettoPro" w:hAnsi="NettoPro" w:cs="NettoPro"/>
        </w:rPr>
      </w:pPr>
      <w:r w:rsidRPr="00CB561A">
        <w:rPr>
          <w:rFonts w:ascii="NettoPro" w:hAnsi="NettoPro" w:cs="NettoPro"/>
        </w:rPr>
        <w:t>Jméno, příjmení</w:t>
      </w:r>
      <w:r w:rsidRPr="00EC30E2">
        <w:rPr>
          <w:rFonts w:ascii="NettoPro" w:hAnsi="NettoPro" w:cs="NettoPro"/>
        </w:rPr>
        <w:t xml:space="preserve">: </w:t>
      </w:r>
      <w:r w:rsidR="00440B2D">
        <w:rPr>
          <w:rFonts w:ascii="NettoPro" w:hAnsi="NettoPro" w:cs="NettoPro"/>
        </w:rPr>
        <w:t>Eliška Kovandová</w:t>
      </w:r>
    </w:p>
    <w:p w14:paraId="4C3CBC9C" w14:textId="1BD0C75E" w:rsidR="00CB561A" w:rsidRPr="00EC30E2" w:rsidRDefault="00CB561A" w:rsidP="00EC30E2">
      <w:pPr>
        <w:pStyle w:val="Podnadpis1"/>
        <w:numPr>
          <w:ilvl w:val="0"/>
          <w:numId w:val="0"/>
        </w:numPr>
        <w:ind w:left="567" w:firstLine="141"/>
        <w:rPr>
          <w:rFonts w:ascii="NettoPro" w:hAnsi="NettoPro" w:cs="NettoPro"/>
        </w:rPr>
      </w:pPr>
      <w:r w:rsidRPr="00CB561A">
        <w:rPr>
          <w:rFonts w:ascii="NettoPro" w:hAnsi="NettoPro" w:cs="NettoPro"/>
        </w:rPr>
        <w:t>Email</w:t>
      </w:r>
      <w:r w:rsidRPr="00EC30E2">
        <w:rPr>
          <w:rFonts w:ascii="NettoPro" w:hAnsi="NettoPro" w:cs="NettoPro"/>
        </w:rPr>
        <w:t xml:space="preserve">: </w:t>
      </w:r>
      <w:r w:rsidR="00440B2D">
        <w:rPr>
          <w:rFonts w:ascii="NettoPro" w:hAnsi="NettoPro" w:cs="NettoPro"/>
        </w:rPr>
        <w:t>eliska.kovandova@anopress.cz</w:t>
      </w:r>
      <w:r w:rsidR="00617661">
        <w:rPr>
          <w:rFonts w:ascii="NettoPro" w:hAnsi="NettoPro" w:cs="NettoPro"/>
        </w:rPr>
        <w:t xml:space="preserve"> / obchodni@newtonmedia.cz</w:t>
      </w:r>
    </w:p>
    <w:p w14:paraId="5DAFFE2C" w14:textId="4E5493F3" w:rsidR="00A171B8" w:rsidRPr="00C1751D" w:rsidRDefault="00CB561A" w:rsidP="00C1751D">
      <w:pPr>
        <w:pStyle w:val="Podnadpis1"/>
        <w:numPr>
          <w:ilvl w:val="0"/>
          <w:numId w:val="0"/>
        </w:numPr>
        <w:ind w:left="567" w:firstLine="141"/>
        <w:rPr>
          <w:rFonts w:ascii="NettoPro" w:hAnsi="NettoPro" w:cs="NettoPro"/>
        </w:rPr>
      </w:pPr>
      <w:r w:rsidRPr="00CB561A">
        <w:rPr>
          <w:rFonts w:ascii="NettoPro" w:hAnsi="NettoPro" w:cs="NettoPro"/>
        </w:rPr>
        <w:t>Telefon</w:t>
      </w:r>
      <w:r w:rsidRPr="00EC30E2">
        <w:rPr>
          <w:rFonts w:ascii="NettoPro" w:hAnsi="NettoPro" w:cs="NettoPro"/>
        </w:rPr>
        <w:t xml:space="preserve">: </w:t>
      </w:r>
      <w:r w:rsidR="00440B2D">
        <w:rPr>
          <w:rFonts w:ascii="NettoPro" w:hAnsi="NettoPro" w:cs="NettoPro"/>
        </w:rPr>
        <w:t>777 713 113 / 225 540 801</w:t>
      </w:r>
    </w:p>
    <w:p w14:paraId="4D8FEEE0" w14:textId="6BFC802F" w:rsidR="007D204B" w:rsidRPr="00EC30E2" w:rsidRDefault="00BD4FA5" w:rsidP="000907D2">
      <w:pPr>
        <w:pStyle w:val="HlavniNadpis"/>
        <w:rPr>
          <w:rFonts w:ascii="NettoPro-Bold" w:hAnsi="NettoPro-Bold" w:cs="NettoPro-Bold"/>
          <w:b w:val="0"/>
        </w:rPr>
      </w:pPr>
      <w:r w:rsidRPr="00EC30E2">
        <w:rPr>
          <w:rFonts w:ascii="NettoPro-Bold" w:hAnsi="NettoPro-Bold" w:cs="NettoPro-Bold"/>
          <w:b w:val="0"/>
        </w:rPr>
        <w:t>Závěrečná ustanovení</w:t>
      </w:r>
    </w:p>
    <w:p w14:paraId="25CBF659" w14:textId="0E3792D9" w:rsidR="00AF704E" w:rsidRPr="00EC30E2" w:rsidRDefault="007D204B" w:rsidP="00AF704E">
      <w:pPr>
        <w:pStyle w:val="Podnadpis1"/>
        <w:numPr>
          <w:ilvl w:val="0"/>
          <w:numId w:val="0"/>
        </w:numPr>
        <w:ind w:left="567"/>
        <w:rPr>
          <w:rFonts w:ascii="NettoPro" w:hAnsi="NettoPro" w:cs="NettoPro"/>
        </w:rPr>
      </w:pPr>
      <w:r w:rsidRPr="00EC30E2">
        <w:rPr>
          <w:rFonts w:ascii="NettoPro" w:hAnsi="NettoPro" w:cs="NettoPro"/>
        </w:rPr>
        <w:t xml:space="preserve">Tato smlouva nabývá </w:t>
      </w:r>
      <w:r w:rsidR="002C2902">
        <w:rPr>
          <w:rFonts w:ascii="NettoPro" w:hAnsi="NettoPro" w:cs="NettoPro"/>
        </w:rPr>
        <w:t>platnosti</w:t>
      </w:r>
      <w:r w:rsidR="002C2902" w:rsidRPr="00EC30E2">
        <w:rPr>
          <w:rFonts w:ascii="NettoPro" w:hAnsi="NettoPro" w:cs="NettoPro"/>
        </w:rPr>
        <w:t xml:space="preserve"> </w:t>
      </w:r>
      <w:r w:rsidRPr="00EC30E2">
        <w:rPr>
          <w:rFonts w:ascii="NettoPro" w:hAnsi="NettoPro" w:cs="NettoPro"/>
        </w:rPr>
        <w:t>dnem podpisu oběma smluvními stranami, přičem</w:t>
      </w:r>
      <w:r w:rsidR="00142E2D" w:rsidRPr="00EC30E2">
        <w:rPr>
          <w:rFonts w:ascii="NettoPro" w:hAnsi="NettoPro" w:cs="NettoPro"/>
        </w:rPr>
        <w:t>ž je uzavřena na dobu</w:t>
      </w:r>
      <w:r w:rsidR="00AF704E" w:rsidRPr="00EC30E2">
        <w:rPr>
          <w:rFonts w:ascii="NettoPro" w:hAnsi="NettoPro" w:cs="NettoPro"/>
        </w:rPr>
        <w:t>:</w:t>
      </w:r>
      <w:r w:rsidR="00142E2D" w:rsidRPr="00EC30E2">
        <w:rPr>
          <w:rFonts w:ascii="NettoPro" w:hAnsi="NettoPro" w:cs="NettoPro"/>
        </w:rPr>
        <w:t xml:space="preserve"> </w:t>
      </w:r>
    </w:p>
    <w:p w14:paraId="1CB6682F" w14:textId="2834D5EE" w:rsidR="00AF704E" w:rsidRPr="00EC30E2" w:rsidRDefault="00F34FB6" w:rsidP="009878B4">
      <w:pPr>
        <w:pStyle w:val="Podnadpis1"/>
        <w:numPr>
          <w:ilvl w:val="0"/>
          <w:numId w:val="0"/>
        </w:numPr>
        <w:ind w:left="567"/>
        <w:rPr>
          <w:rFonts w:ascii="NettoPro" w:hAnsi="NettoPro" w:cs="NettoPro"/>
        </w:rPr>
      </w:pPr>
      <w:sdt>
        <w:sdtPr>
          <w:rPr>
            <w:rFonts w:ascii="NettoPro" w:hAnsi="NettoPro" w:cs="NettoPro"/>
            <w:szCs w:val="22"/>
          </w:rPr>
          <w:id w:val="-1822427206"/>
          <w14:checkbox>
            <w14:checked w14:val="0"/>
            <w14:checkedState w14:val="2612" w14:font="MS Gothic"/>
            <w14:uncheckedState w14:val="2610" w14:font="MS Gothic"/>
          </w14:checkbox>
        </w:sdtPr>
        <w:sdtEndPr/>
        <w:sdtContent>
          <w:r w:rsidR="002209B1" w:rsidRPr="00EC30E2">
            <w:rPr>
              <w:rFonts w:ascii="MS Gothic" w:eastAsia="MS Gothic" w:hAnsi="MS Gothic" w:cs="NettoPro"/>
              <w:szCs w:val="22"/>
            </w:rPr>
            <w:t>☐</w:t>
          </w:r>
        </w:sdtContent>
      </w:sdt>
      <w:r w:rsidR="00AF704E" w:rsidRPr="00EC30E2">
        <w:rPr>
          <w:rFonts w:ascii="NettoPro" w:hAnsi="NettoPro" w:cs="NettoPro"/>
          <w:szCs w:val="22"/>
        </w:rPr>
        <w:t xml:space="preserve"> </w:t>
      </w:r>
      <w:r w:rsidR="00AF704E" w:rsidRPr="00EC30E2">
        <w:rPr>
          <w:rFonts w:ascii="NettoPro" w:hAnsi="NettoPro" w:cs="NettoPro"/>
        </w:rPr>
        <w:t>neurčitou</w:t>
      </w:r>
    </w:p>
    <w:p w14:paraId="6CACEBA7" w14:textId="2FB33204" w:rsidR="004E0A19" w:rsidRDefault="00F34FB6" w:rsidP="009878B4">
      <w:pPr>
        <w:ind w:left="567"/>
      </w:pPr>
      <w:sdt>
        <w:sdtPr>
          <w:rPr>
            <w:rFonts w:ascii="NettoPro" w:hAnsi="NettoPro" w:cs="NettoPro"/>
            <w:b/>
            <w:szCs w:val="22"/>
          </w:rPr>
          <w:id w:val="122506691"/>
          <w14:checkbox>
            <w14:checked w14:val="1"/>
            <w14:checkedState w14:val="2612" w14:font="MS Gothic"/>
            <w14:uncheckedState w14:val="2610" w14:font="MS Gothic"/>
          </w14:checkbox>
        </w:sdtPr>
        <w:sdtEndPr/>
        <w:sdtContent>
          <w:r w:rsidR="00EB3A03">
            <w:rPr>
              <w:rFonts w:ascii="MS Gothic" w:eastAsia="MS Gothic" w:hAnsi="MS Gothic" w:cs="NettoPro" w:hint="eastAsia"/>
              <w:b/>
              <w:szCs w:val="22"/>
            </w:rPr>
            <w:t>☒</w:t>
          </w:r>
        </w:sdtContent>
      </w:sdt>
      <w:r w:rsidR="00AF704E" w:rsidRPr="00EC30E2">
        <w:rPr>
          <w:rFonts w:ascii="NettoPro" w:hAnsi="NettoPro" w:cs="NettoPro"/>
          <w:szCs w:val="22"/>
        </w:rPr>
        <w:t xml:space="preserve"> </w:t>
      </w:r>
      <w:r w:rsidR="00AF704E" w:rsidRPr="00EC30E2">
        <w:rPr>
          <w:rFonts w:ascii="NettoPro" w:hAnsi="NettoPro" w:cs="NettoPro"/>
        </w:rPr>
        <w:t xml:space="preserve">určitou, a to do </w:t>
      </w:r>
      <w:r w:rsidR="00440B2D">
        <w:rPr>
          <w:rFonts w:ascii="NettoPro" w:hAnsi="NettoPro" w:cs="NettoPro"/>
        </w:rPr>
        <w:t>31</w:t>
      </w:r>
      <w:r w:rsidR="00AF704E" w:rsidRPr="00EC30E2">
        <w:rPr>
          <w:rFonts w:ascii="NettoPro" w:hAnsi="NettoPro" w:cs="NettoPro"/>
        </w:rPr>
        <w:t>.</w:t>
      </w:r>
      <w:r w:rsidR="00440B2D">
        <w:rPr>
          <w:rFonts w:ascii="NettoPro" w:hAnsi="NettoPro" w:cs="NettoPro"/>
        </w:rPr>
        <w:t xml:space="preserve"> 12</w:t>
      </w:r>
      <w:r w:rsidR="00AF704E" w:rsidRPr="00EC30E2">
        <w:rPr>
          <w:rFonts w:ascii="NettoPro" w:hAnsi="NettoPro" w:cs="NettoPro"/>
        </w:rPr>
        <w:t>.</w:t>
      </w:r>
      <w:r w:rsidR="00440B2D">
        <w:rPr>
          <w:rFonts w:ascii="NettoPro" w:hAnsi="NettoPro" w:cs="NettoPro"/>
        </w:rPr>
        <w:t xml:space="preserve"> </w:t>
      </w:r>
      <w:r w:rsidR="00617661">
        <w:rPr>
          <w:rFonts w:ascii="NettoPro" w:hAnsi="NettoPro" w:cs="NettoPro"/>
        </w:rPr>
        <w:t>202</w:t>
      </w:r>
      <w:r w:rsidR="00C07563">
        <w:rPr>
          <w:rFonts w:ascii="NettoPro" w:hAnsi="NettoPro" w:cs="NettoPro"/>
        </w:rPr>
        <w:t>3</w:t>
      </w:r>
      <w:r w:rsidR="00AF704E" w:rsidRPr="00EC30E2">
        <w:rPr>
          <w:rFonts w:ascii="NettoPro" w:hAnsi="NettoPro" w:cs="NettoPro"/>
        </w:rPr>
        <w:t>.</w:t>
      </w:r>
    </w:p>
    <w:p w14:paraId="139F2C25" w14:textId="16AFC2EB" w:rsidR="004E0A19" w:rsidRPr="009878B4" w:rsidRDefault="004E0A19" w:rsidP="004E0A19">
      <w:pPr>
        <w:pStyle w:val="Podnadpis1"/>
        <w:rPr>
          <w:rFonts w:ascii="NettoPro" w:hAnsi="NettoPro" w:cs="NettoPro"/>
        </w:rPr>
      </w:pPr>
      <w:r w:rsidRPr="009878B4">
        <w:rPr>
          <w:rFonts w:ascii="NettoPro" w:hAnsi="NettoPro" w:cs="NettoPro"/>
        </w:rPr>
        <w:t xml:space="preserve">Smluvní strany berou na vědomí, že tuto smlouvu je nutno pro nabytí její účinnosti uveřejnit v registru smluv podle zákona č. 340/2015 Sb., o registru smluv, v účinném znění, a s tímto uveřejněním souhlasí. Zaslání této smlouvy do registru smluv zajistí odběratel neprodleně po podpisu této smlouvy. Odběratel se současně zavazuje informovat dodavatele o provedení registrace tak, že zašle dodavateli kopii potvrzení správce registru smluv o </w:t>
      </w:r>
      <w:r w:rsidRPr="009878B4">
        <w:rPr>
          <w:rFonts w:ascii="NettoPro" w:hAnsi="NettoPro" w:cs="NettoPro"/>
        </w:rPr>
        <w:lastRenderedPageBreak/>
        <w:t>uveřejnění této smlouvy bez zbytečného odkladu poté, kdy sám potvrzení obdrží, popř. již v průvodním formuláři vyplní příslušnou kolonku s ID datové schránky dodavatele (v takovém případě potvrzení od správce registru smluv o provedení registrace smlouvy obdrží obě smluvní strany zároveň)</w:t>
      </w:r>
    </w:p>
    <w:p w14:paraId="09DE72E6" w14:textId="3B9C51D6" w:rsidR="00617661" w:rsidRDefault="004E0A19" w:rsidP="009878B4">
      <w:pPr>
        <w:pStyle w:val="Podnadpis1"/>
      </w:pPr>
      <w:r w:rsidRPr="00EF550F">
        <w:rPr>
          <w:rFonts w:ascii="NettoPro" w:hAnsi="NettoPro" w:cs="NettoPro"/>
        </w:rPr>
        <w:t>Tato smlouva obsahuje úplné ujednání o předmětu smlouvy a všech náležitostech, které smluvní strany měly a chtěly ve smlouvě ujednat, a které považují za důležité pro závaznost této smlouvy. Žádný projev stran při jednání o této smlouvě ani projev učiněný po uzavření této smlouvy nesmí být vykládán v rozporu s výslovnými ustanoveními této smlouvy a nezakládá žádný závazek žádné ze stran.</w:t>
      </w:r>
    </w:p>
    <w:p w14:paraId="3AF18BA8" w14:textId="5652B81A" w:rsidR="007D204B" w:rsidRPr="009878B4" w:rsidRDefault="007D204B" w:rsidP="004E0A19">
      <w:pPr>
        <w:pStyle w:val="Podnadpis1"/>
        <w:rPr>
          <w:rFonts w:ascii="NettoPro" w:hAnsi="NettoPro" w:cs="NettoPro"/>
        </w:rPr>
      </w:pPr>
      <w:r w:rsidRPr="009878B4">
        <w:rPr>
          <w:rFonts w:ascii="NettoPro" w:hAnsi="NettoPro" w:cs="NettoPro"/>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w:t>
      </w:r>
    </w:p>
    <w:p w14:paraId="5F878C8A" w14:textId="77777777" w:rsidR="007D204B" w:rsidRPr="004E0A19" w:rsidRDefault="007D204B" w:rsidP="004E0A19">
      <w:pPr>
        <w:pStyle w:val="Podnadpis1"/>
        <w:rPr>
          <w:rFonts w:ascii="NettoPro" w:hAnsi="NettoPro" w:cs="NettoPro"/>
        </w:rPr>
      </w:pPr>
      <w:bookmarkStart w:id="5" w:name="_Ref252253984"/>
      <w:r w:rsidRPr="004E0A19">
        <w:rPr>
          <w:rFonts w:ascii="NettoPro" w:hAnsi="NettoPro" w:cs="NettoPro"/>
        </w:rPr>
        <w:t>V případě rozporu mezi obsahem této smlouvy a obsahem jejích příloh mají přednost ustanovení samotné smlouvy, není-li dále výslovně stanoveno jinak.</w:t>
      </w:r>
    </w:p>
    <w:bookmarkEnd w:id="5"/>
    <w:p w14:paraId="7A44190A" w14:textId="30D9B7B4" w:rsidR="00A5323A" w:rsidRPr="004E0A19" w:rsidRDefault="009B4BA0" w:rsidP="004E0A19">
      <w:pPr>
        <w:pStyle w:val="Podnadpis1"/>
        <w:rPr>
          <w:rFonts w:ascii="NettoPro" w:hAnsi="NettoPro" w:cs="NettoPro"/>
        </w:rPr>
      </w:pPr>
      <w:r w:rsidRPr="004E0A19">
        <w:rPr>
          <w:rFonts w:ascii="NettoPro" w:hAnsi="NettoPro" w:cs="NettoPro"/>
        </w:rPr>
        <w:t>Odběratel tímto uděluje dodavateli výslovný souhlas</w:t>
      </w:r>
      <w:r w:rsidR="00A5323A" w:rsidRPr="004E0A19">
        <w:rPr>
          <w:rFonts w:ascii="NettoPro" w:hAnsi="NettoPro" w:cs="NettoPro"/>
        </w:rPr>
        <w:t xml:space="preserve"> uvádět název a/nebo logo </w:t>
      </w:r>
      <w:r w:rsidR="00DF0012" w:rsidRPr="004E0A19">
        <w:rPr>
          <w:rFonts w:ascii="NettoPro" w:hAnsi="NettoPro" w:cs="NettoPro"/>
        </w:rPr>
        <w:t>odběratele</w:t>
      </w:r>
      <w:r w:rsidR="00A5323A" w:rsidRPr="004E0A19">
        <w:rPr>
          <w:rFonts w:ascii="NettoPro" w:hAnsi="NettoPro" w:cs="NettoPro"/>
        </w:rPr>
        <w:t xml:space="preserve"> ve svém seznamu referenčních klientů na svých internetových prezentacích, sociálních sítích a </w:t>
      </w:r>
      <w:r w:rsidR="00DF0012" w:rsidRPr="004E0A19">
        <w:rPr>
          <w:rFonts w:ascii="NettoPro" w:hAnsi="NettoPro" w:cs="NettoPro"/>
        </w:rPr>
        <w:t xml:space="preserve">jiných </w:t>
      </w:r>
      <w:r w:rsidR="00A5323A" w:rsidRPr="004E0A19">
        <w:rPr>
          <w:rFonts w:ascii="NettoPro" w:hAnsi="NettoPro" w:cs="NettoPro"/>
        </w:rPr>
        <w:t>propagačních materiálech.</w:t>
      </w:r>
    </w:p>
    <w:p w14:paraId="77EE1C3B" w14:textId="77777777" w:rsidR="007D204B" w:rsidRPr="004E0A19" w:rsidRDefault="007D204B" w:rsidP="004E0A19">
      <w:pPr>
        <w:pStyle w:val="Podnadpis1"/>
        <w:rPr>
          <w:rFonts w:ascii="NettoPro" w:hAnsi="NettoPro" w:cs="NettoPro"/>
        </w:rPr>
      </w:pPr>
      <w:r w:rsidRPr="004E0A19">
        <w:rPr>
          <w:rFonts w:ascii="NettoPro" w:hAnsi="NettoPro" w:cs="NettoPro"/>
        </w:rPr>
        <w:t xml:space="preserve">Smluvní strany se dohodly, že část obsahu této smlouvy tvoří Všeobecné obchodní podmínky pro poskytování a využívání informací uvedené v Příloze </w:t>
      </w:r>
      <w:r w:rsidR="00142E2D" w:rsidRPr="004E0A19">
        <w:rPr>
          <w:rFonts w:ascii="NettoPro" w:hAnsi="NettoPro" w:cs="NettoPro"/>
        </w:rPr>
        <w:t>A</w:t>
      </w:r>
      <w:r w:rsidRPr="004E0A19">
        <w:rPr>
          <w:rFonts w:ascii="NettoPro" w:hAnsi="NettoPro" w:cs="NettoPro"/>
        </w:rPr>
        <w:t xml:space="preserve"> této smlouvy. Odběratel prohlašuje, že se s obsahem Všeobecných obchodních podmínek pro poskytování a využívání informací náležitě seznámil a je jimi vázán. </w:t>
      </w:r>
    </w:p>
    <w:p w14:paraId="04BDF328" w14:textId="77777777" w:rsidR="007D204B" w:rsidRPr="004E0A19" w:rsidRDefault="007D204B" w:rsidP="004E0A19">
      <w:pPr>
        <w:pStyle w:val="Podnadpis1"/>
        <w:rPr>
          <w:rFonts w:ascii="NettoPro" w:hAnsi="NettoPro" w:cs="NettoPro"/>
        </w:rPr>
      </w:pPr>
      <w:r w:rsidRPr="004E0A19">
        <w:rPr>
          <w:rFonts w:ascii="NettoPro" w:hAnsi="NettoPro" w:cs="NettoPro"/>
        </w:rPr>
        <w:t>Nedílnou součást této smlouvy tvoří její přílohy:</w:t>
      </w:r>
    </w:p>
    <w:p w14:paraId="0625F26B" w14:textId="4F395B2C" w:rsidR="007D204B" w:rsidRPr="009878B4" w:rsidRDefault="007D204B" w:rsidP="009878B4">
      <w:pPr>
        <w:pStyle w:val="PodPodNadpis"/>
        <w:rPr>
          <w:rFonts w:ascii="NettoPro" w:hAnsi="NettoPro" w:cs="NettoPro"/>
        </w:rPr>
      </w:pPr>
      <w:r w:rsidRPr="009878B4">
        <w:rPr>
          <w:rFonts w:ascii="NettoPro" w:hAnsi="NettoPro" w:cs="NettoPro"/>
        </w:rPr>
        <w:t xml:space="preserve">Příloha A – </w:t>
      </w:r>
      <w:r w:rsidR="00142E2D" w:rsidRPr="009878B4">
        <w:rPr>
          <w:rFonts w:ascii="NettoPro" w:hAnsi="NettoPro" w:cs="NettoPro"/>
        </w:rPr>
        <w:t>Všeobecné obchodní podmínky pro poskytování a využívání informací.</w:t>
      </w:r>
    </w:p>
    <w:p w14:paraId="7C75BD44" w14:textId="77777777" w:rsidR="007D204B" w:rsidRPr="004E0A19" w:rsidRDefault="007D204B" w:rsidP="004E0A19">
      <w:pPr>
        <w:pStyle w:val="Podnadpis1"/>
        <w:rPr>
          <w:rFonts w:ascii="NettoPro" w:hAnsi="NettoPro" w:cs="NettoPro"/>
        </w:rPr>
      </w:pPr>
      <w:r w:rsidRPr="004E0A19">
        <w:rPr>
          <w:rFonts w:ascii="NettoPro" w:hAnsi="NettoPro" w:cs="NettoPro"/>
        </w:rPr>
        <w:lastRenderedPageBreak/>
        <w:t xml:space="preserve">Přílohy jsou označené vzestupně písmeny A – Z a dále arabskou číslicí za znakem „/“, kde písmeno značí jednotlivou přílohu a číslice údaj, zdali se jedná o přílohu uzavřenou současně s touto smlouvou (např. A/1), nebo o její pozdější novelizaci (např. A/3), kde číslo za lomítkem označuje, o kolikátou verzi přílohy jde. </w:t>
      </w:r>
    </w:p>
    <w:p w14:paraId="4BEAE12C" w14:textId="77777777" w:rsidR="007D204B" w:rsidRPr="004E0A19" w:rsidRDefault="007D204B" w:rsidP="004E0A19">
      <w:pPr>
        <w:pStyle w:val="Podnadpis1"/>
        <w:rPr>
          <w:rFonts w:ascii="NettoPro" w:hAnsi="NettoPro" w:cs="NettoPro"/>
        </w:rPr>
      </w:pPr>
      <w:r w:rsidRPr="004E0A19">
        <w:rPr>
          <w:rFonts w:ascii="NettoPro" w:hAnsi="NettoPro" w:cs="NettoPro"/>
        </w:rPr>
        <w:t xml:space="preserve">Obsah této smlouvy, jakož i jejích příloh, lze měnit nebo doplňovat pouze písemnou dohodou smluvních stran ve formě číslovaných dodatků této Smlouvy, podepsaných oprávněnými zástupci obou smluvních stran. </w:t>
      </w:r>
    </w:p>
    <w:p w14:paraId="0CCD3E69" w14:textId="77777777" w:rsidR="007D204B" w:rsidRPr="004E0A19" w:rsidRDefault="007D204B" w:rsidP="004E0A19">
      <w:pPr>
        <w:pStyle w:val="Podnadpis1"/>
        <w:rPr>
          <w:rFonts w:ascii="NettoPro" w:hAnsi="NettoPro" w:cs="NettoPro"/>
        </w:rPr>
      </w:pPr>
      <w:r w:rsidRPr="004E0A19">
        <w:rPr>
          <w:rFonts w:ascii="NettoPro" w:hAnsi="NettoPro" w:cs="NettoPro"/>
        </w:rPr>
        <w:t xml:space="preserve">Práva a povinnosti smluvních stran výslovně neupravených touto smlouvou se řídí zákonem č. 89/2012 Sb., občanský zákoník, ve znění pozdějších předpisů a ostatními příslušnými právními předpisy českého právního řádu. </w:t>
      </w:r>
    </w:p>
    <w:p w14:paraId="38E00B6D" w14:textId="77777777" w:rsidR="007D204B" w:rsidRPr="004E0A19" w:rsidRDefault="007D204B" w:rsidP="004E0A19">
      <w:pPr>
        <w:pStyle w:val="Podnadpis1"/>
        <w:rPr>
          <w:rFonts w:ascii="NettoPro" w:hAnsi="NettoPro" w:cs="NettoPro"/>
        </w:rPr>
      </w:pPr>
      <w:r w:rsidRPr="004E0A19">
        <w:rPr>
          <w:rFonts w:ascii="NettoPro" w:hAnsi="NettoPro" w:cs="NettoPro"/>
        </w:rPr>
        <w:t>Tato smlouva je uzavřena ve dvou (2) vyhotoveních stejné právní síly, z nichž každá strana obdrží po jednom (1).</w:t>
      </w:r>
    </w:p>
    <w:p w14:paraId="062320CE" w14:textId="77777777" w:rsidR="007D204B" w:rsidRPr="00263524" w:rsidRDefault="007D204B" w:rsidP="007D204B">
      <w:pPr>
        <w:rPr>
          <w:rStyle w:val="Siln"/>
          <w:rFonts w:ascii="NettoPro-Bold" w:hAnsi="NettoPro-Bold" w:cs="NettoPro-Bold"/>
          <w:b w:val="0"/>
        </w:rPr>
      </w:pPr>
      <w:r w:rsidRPr="00263524">
        <w:rPr>
          <w:rStyle w:val="Siln"/>
          <w:rFonts w:ascii="NettoPro-Bold" w:hAnsi="NettoPro-Bold" w:cs="NettoPro-Bold"/>
          <w:b w:val="0"/>
        </w:rPr>
        <w:t>Smluvní strany prohlašují, že si tuto smlouvu přečetly, že s jejím obsahem jakož i právními důsledky souhlasí a na důkaz toho k ní připojují svoje podpisy:</w:t>
      </w:r>
    </w:p>
    <w:p w14:paraId="0CAE27E6" w14:textId="77777777" w:rsidR="00F542C5" w:rsidRPr="00EC30E2" w:rsidRDefault="00F542C5" w:rsidP="007D204B">
      <w:pPr>
        <w:rPr>
          <w:rFonts w:ascii="NettoPro" w:hAnsi="NettoPro" w:cs="NettoPro"/>
          <w:b/>
          <w:bCs/>
        </w:rPr>
      </w:pPr>
    </w:p>
    <w:p w14:paraId="103D6AB7" w14:textId="77777777" w:rsidR="00142E2D" w:rsidRPr="00EC30E2" w:rsidRDefault="00142E2D" w:rsidP="00142E2D">
      <w:pPr>
        <w:spacing w:line="240" w:lineRule="auto"/>
        <w:ind w:left="708"/>
        <w:rPr>
          <w:rFonts w:ascii="NettoPro" w:hAnsi="NettoPro" w:cs="NettoPro"/>
        </w:rPr>
        <w:sectPr w:rsidR="00142E2D" w:rsidRPr="00EC30E2" w:rsidSect="00AE4ED2">
          <w:headerReference w:type="even" r:id="rId13"/>
          <w:headerReference w:type="default" r:id="rId14"/>
          <w:footerReference w:type="even" r:id="rId15"/>
          <w:footerReference w:type="default" r:id="rId16"/>
          <w:pgSz w:w="11906" w:h="16838"/>
          <w:pgMar w:top="2088" w:right="851" w:bottom="1418" w:left="851" w:header="709" w:footer="709" w:gutter="0"/>
          <w:cols w:space="708"/>
          <w:docGrid w:linePitch="360"/>
        </w:sectPr>
      </w:pPr>
    </w:p>
    <w:p w14:paraId="1A632AFB" w14:textId="77777777" w:rsidR="00142E2D" w:rsidRPr="00EC30E2" w:rsidRDefault="00142E2D" w:rsidP="00142E2D">
      <w:pPr>
        <w:spacing w:line="240" w:lineRule="auto"/>
        <w:ind w:left="708"/>
        <w:rPr>
          <w:rFonts w:ascii="NettoPro" w:hAnsi="NettoPro" w:cs="NettoPro"/>
        </w:rPr>
      </w:pPr>
    </w:p>
    <w:p w14:paraId="6974A1B8" w14:textId="16FD7806" w:rsidR="00142E2D" w:rsidRPr="00EC30E2" w:rsidRDefault="00142E2D" w:rsidP="00142E2D">
      <w:pPr>
        <w:spacing w:line="240" w:lineRule="auto"/>
        <w:ind w:left="708"/>
        <w:rPr>
          <w:rFonts w:ascii="NettoPro" w:hAnsi="NettoPro" w:cs="NettoPro"/>
        </w:rPr>
      </w:pPr>
      <w:r w:rsidRPr="00EC30E2">
        <w:rPr>
          <w:rFonts w:ascii="NettoPro" w:hAnsi="NettoPro" w:cs="NettoPro"/>
        </w:rPr>
        <w:t xml:space="preserve">V </w:t>
      </w:r>
      <w:r w:rsidR="000C3CE4" w:rsidRPr="00EC30E2">
        <w:rPr>
          <w:rFonts w:ascii="NettoPro" w:hAnsi="NettoPro" w:cs="NettoPro"/>
        </w:rPr>
        <w:t>Praze</w:t>
      </w:r>
      <w:r w:rsidRPr="00EC30E2">
        <w:rPr>
          <w:rFonts w:ascii="NettoPro" w:hAnsi="NettoPro" w:cs="NettoPro"/>
        </w:rPr>
        <w:t xml:space="preserve"> dne </w:t>
      </w:r>
    </w:p>
    <w:p w14:paraId="3A6CF513" w14:textId="77777777" w:rsidR="00142E2D" w:rsidRPr="00EC30E2" w:rsidRDefault="00142E2D" w:rsidP="00142E2D">
      <w:pPr>
        <w:spacing w:line="240" w:lineRule="auto"/>
        <w:ind w:left="708"/>
        <w:rPr>
          <w:rFonts w:ascii="NettoPro" w:hAnsi="NettoPro" w:cs="NettoPro"/>
        </w:rPr>
      </w:pPr>
    </w:p>
    <w:p w14:paraId="01029C98" w14:textId="77777777" w:rsidR="00142E2D" w:rsidRPr="00EC30E2" w:rsidRDefault="00142E2D" w:rsidP="00142E2D">
      <w:pPr>
        <w:spacing w:line="240" w:lineRule="auto"/>
        <w:ind w:left="708"/>
        <w:rPr>
          <w:rFonts w:ascii="NettoPro" w:hAnsi="NettoPro" w:cs="NettoPro"/>
        </w:rPr>
      </w:pPr>
    </w:p>
    <w:p w14:paraId="5C3E19A8" w14:textId="77777777" w:rsidR="00142E2D" w:rsidRPr="00EC30E2" w:rsidRDefault="00142E2D" w:rsidP="00142E2D">
      <w:pPr>
        <w:spacing w:line="240" w:lineRule="auto"/>
        <w:ind w:left="708"/>
        <w:rPr>
          <w:rFonts w:ascii="NettoPro" w:hAnsi="NettoPro" w:cs="NettoPro"/>
        </w:rPr>
      </w:pPr>
    </w:p>
    <w:p w14:paraId="556B22D7" w14:textId="77777777" w:rsidR="00142E2D" w:rsidRPr="00EC30E2" w:rsidRDefault="00142E2D" w:rsidP="00142E2D">
      <w:pPr>
        <w:spacing w:line="240" w:lineRule="auto"/>
        <w:ind w:left="708"/>
        <w:rPr>
          <w:rFonts w:ascii="NettoPro" w:hAnsi="NettoPro" w:cs="NettoPro"/>
        </w:rPr>
      </w:pPr>
      <w:r w:rsidRPr="00EC30E2">
        <w:rPr>
          <w:rFonts w:ascii="NettoPro" w:hAnsi="NettoPro" w:cs="NettoPro"/>
        </w:rPr>
        <w:t>…………………………………..</w:t>
      </w:r>
    </w:p>
    <w:p w14:paraId="0A246B20" w14:textId="436E1169" w:rsidR="00142E2D" w:rsidRPr="00EC30E2" w:rsidRDefault="00142E2D" w:rsidP="00142E2D">
      <w:pPr>
        <w:spacing w:line="240" w:lineRule="auto"/>
        <w:ind w:left="708"/>
        <w:rPr>
          <w:rFonts w:ascii="NettoPro" w:hAnsi="NettoPro" w:cs="NettoPro"/>
        </w:rPr>
      </w:pPr>
      <w:r w:rsidRPr="00EC30E2">
        <w:rPr>
          <w:rFonts w:ascii="NettoPro" w:hAnsi="NettoPro" w:cs="NettoPro"/>
        </w:rPr>
        <w:t>NEWTON Med</w:t>
      </w:r>
      <w:r w:rsidR="00EB3A03">
        <w:rPr>
          <w:rFonts w:ascii="NettoPro" w:hAnsi="NettoPro" w:cs="NettoPro"/>
        </w:rPr>
        <w:t>ia, a.</w:t>
      </w:r>
      <w:r w:rsidRPr="00EC30E2">
        <w:rPr>
          <w:rFonts w:ascii="NettoPro" w:hAnsi="NettoPro" w:cs="NettoPro"/>
        </w:rPr>
        <w:t>s.</w:t>
      </w:r>
    </w:p>
    <w:p w14:paraId="322E5602" w14:textId="77777777" w:rsidR="00142E2D" w:rsidRPr="00EC30E2" w:rsidRDefault="00142E2D" w:rsidP="00142E2D">
      <w:pPr>
        <w:spacing w:line="240" w:lineRule="auto"/>
        <w:ind w:left="708"/>
        <w:rPr>
          <w:rFonts w:ascii="NettoPro" w:hAnsi="NettoPro" w:cs="NettoPro"/>
        </w:rPr>
      </w:pPr>
      <w:r w:rsidRPr="00EC30E2">
        <w:rPr>
          <w:rFonts w:ascii="NettoPro" w:hAnsi="NettoPro" w:cs="NettoPro"/>
        </w:rPr>
        <w:t>Ing. Petr Herian</w:t>
      </w:r>
    </w:p>
    <w:p w14:paraId="36A66B16" w14:textId="77777777" w:rsidR="00142E2D" w:rsidRPr="00EC30E2" w:rsidRDefault="00142E2D" w:rsidP="00142E2D">
      <w:pPr>
        <w:spacing w:line="240" w:lineRule="auto"/>
        <w:ind w:left="708"/>
        <w:rPr>
          <w:rFonts w:ascii="NettoPro" w:hAnsi="NettoPro" w:cs="NettoPro"/>
          <w:i/>
        </w:rPr>
      </w:pPr>
      <w:r w:rsidRPr="00EC30E2">
        <w:rPr>
          <w:rFonts w:ascii="NettoPro" w:hAnsi="NettoPro" w:cs="NettoPro"/>
          <w:i/>
        </w:rPr>
        <w:t>předseda představenstva</w:t>
      </w:r>
    </w:p>
    <w:p w14:paraId="2966F519" w14:textId="1491CD90" w:rsidR="00142E2D" w:rsidRPr="00EC30E2" w:rsidRDefault="00440B2D" w:rsidP="00142E2D">
      <w:pPr>
        <w:spacing w:line="240" w:lineRule="auto"/>
        <w:ind w:left="708"/>
        <w:rPr>
          <w:rFonts w:ascii="NettoPro" w:hAnsi="NettoPro" w:cs="NettoPro"/>
        </w:rPr>
      </w:pPr>
      <w:r>
        <w:rPr>
          <w:rFonts w:ascii="NettoPro" w:hAnsi="NettoPro" w:cs="NettoPro"/>
        </w:rPr>
        <w:t>Dodavatel</w:t>
      </w:r>
    </w:p>
    <w:p w14:paraId="20471B5D" w14:textId="77777777" w:rsidR="00440B2D" w:rsidRDefault="00440B2D" w:rsidP="00440B2D">
      <w:pPr>
        <w:spacing w:line="240" w:lineRule="auto"/>
        <w:rPr>
          <w:rFonts w:ascii="NettoPro" w:hAnsi="NettoPro" w:cs="NettoPro"/>
        </w:rPr>
      </w:pPr>
    </w:p>
    <w:p w14:paraId="3470BC13" w14:textId="14F235B4" w:rsidR="00142E2D" w:rsidRPr="00EC30E2" w:rsidRDefault="00142E2D" w:rsidP="00440B2D">
      <w:pPr>
        <w:spacing w:line="240" w:lineRule="auto"/>
        <w:rPr>
          <w:rFonts w:ascii="NettoPro" w:hAnsi="NettoPro" w:cs="NettoPro"/>
        </w:rPr>
      </w:pPr>
      <w:r w:rsidRPr="00EC30E2">
        <w:rPr>
          <w:rFonts w:ascii="NettoPro" w:hAnsi="NettoPro" w:cs="NettoPro"/>
        </w:rPr>
        <w:t>V</w:t>
      </w:r>
      <w:r w:rsidR="00440B2D">
        <w:rPr>
          <w:rFonts w:ascii="NettoPro" w:hAnsi="NettoPro" w:cs="NettoPro"/>
        </w:rPr>
        <w:t> Karlových Varech</w:t>
      </w:r>
      <w:r w:rsidRPr="00EC30E2">
        <w:rPr>
          <w:rFonts w:ascii="NettoPro" w:hAnsi="NettoPro" w:cs="NettoPro"/>
        </w:rPr>
        <w:t xml:space="preserve"> dne </w:t>
      </w:r>
    </w:p>
    <w:p w14:paraId="1BAC1410" w14:textId="77777777" w:rsidR="00440B2D" w:rsidRDefault="00440B2D" w:rsidP="00440B2D">
      <w:pPr>
        <w:spacing w:line="240" w:lineRule="auto"/>
        <w:rPr>
          <w:rFonts w:ascii="NettoPro" w:hAnsi="NettoPro" w:cs="NettoPro"/>
        </w:rPr>
      </w:pPr>
    </w:p>
    <w:p w14:paraId="338A6442" w14:textId="77777777" w:rsidR="00440B2D" w:rsidRDefault="00440B2D" w:rsidP="00440B2D">
      <w:pPr>
        <w:spacing w:line="240" w:lineRule="auto"/>
        <w:rPr>
          <w:rFonts w:ascii="NettoPro" w:hAnsi="NettoPro" w:cs="NettoPro"/>
        </w:rPr>
      </w:pPr>
    </w:p>
    <w:p w14:paraId="5F350587" w14:textId="77777777" w:rsidR="00440B2D" w:rsidRDefault="00440B2D" w:rsidP="00440B2D">
      <w:pPr>
        <w:spacing w:line="240" w:lineRule="auto"/>
        <w:rPr>
          <w:rFonts w:ascii="NettoPro" w:hAnsi="NettoPro" w:cs="NettoPro"/>
        </w:rPr>
      </w:pPr>
    </w:p>
    <w:p w14:paraId="35BF40E4" w14:textId="77777777" w:rsidR="00142E2D" w:rsidRPr="00EC30E2" w:rsidRDefault="00142E2D" w:rsidP="00440B2D">
      <w:pPr>
        <w:spacing w:line="240" w:lineRule="auto"/>
        <w:rPr>
          <w:rFonts w:ascii="NettoPro" w:hAnsi="NettoPro" w:cs="NettoPro"/>
        </w:rPr>
      </w:pPr>
      <w:r w:rsidRPr="00EC30E2">
        <w:rPr>
          <w:rFonts w:ascii="NettoPro" w:hAnsi="NettoPro" w:cs="NettoPro"/>
        </w:rPr>
        <w:t>…………………………………..</w:t>
      </w:r>
    </w:p>
    <w:p w14:paraId="05292B45" w14:textId="419FD90C" w:rsidR="000C3CE4" w:rsidRPr="00EC30E2" w:rsidRDefault="00440B2D" w:rsidP="00440B2D">
      <w:pPr>
        <w:spacing w:line="240" w:lineRule="auto"/>
        <w:rPr>
          <w:rFonts w:ascii="NettoPro" w:hAnsi="NettoPro" w:cs="NettoPro"/>
        </w:rPr>
      </w:pPr>
      <w:r>
        <w:rPr>
          <w:rFonts w:ascii="NettoPro" w:hAnsi="NettoPro" w:cs="NettoPro"/>
        </w:rPr>
        <w:t>Statutární město Karlovy Vary</w:t>
      </w:r>
    </w:p>
    <w:p w14:paraId="176DB1A3" w14:textId="25899678" w:rsidR="00142E2D" w:rsidRPr="00EC30E2" w:rsidRDefault="00440B2D" w:rsidP="00440B2D">
      <w:pPr>
        <w:spacing w:line="240" w:lineRule="auto"/>
        <w:rPr>
          <w:rFonts w:ascii="NettoPro" w:hAnsi="NettoPro" w:cs="NettoPro"/>
          <w:i/>
        </w:rPr>
      </w:pPr>
      <w:r>
        <w:rPr>
          <w:rFonts w:ascii="NettoPro" w:hAnsi="NettoPro" w:cs="NettoPro"/>
        </w:rPr>
        <w:t>Mgr. Renata Hybnerová</w:t>
      </w:r>
    </w:p>
    <w:p w14:paraId="66447D33" w14:textId="2389B827" w:rsidR="000C3CE4" w:rsidRDefault="00440B2D" w:rsidP="00440B2D">
      <w:pPr>
        <w:spacing w:line="240" w:lineRule="auto"/>
        <w:rPr>
          <w:rFonts w:ascii="NettoPro" w:hAnsi="NettoPro" w:cs="NettoPro"/>
        </w:rPr>
      </w:pPr>
      <w:r>
        <w:rPr>
          <w:rFonts w:ascii="NettoPro" w:hAnsi="NettoPro" w:cs="NettoPro"/>
        </w:rPr>
        <w:t>Vedoucí kanceláře primátora</w:t>
      </w:r>
    </w:p>
    <w:p w14:paraId="756A70AE" w14:textId="0AB96D9D" w:rsidR="00440B2D" w:rsidRPr="00EC30E2" w:rsidRDefault="00440B2D" w:rsidP="00440B2D">
      <w:pPr>
        <w:spacing w:line="240" w:lineRule="auto"/>
        <w:rPr>
          <w:rFonts w:ascii="NettoPro" w:hAnsi="NettoPro" w:cs="NettoPro"/>
          <w:i/>
        </w:rPr>
      </w:pPr>
      <w:r>
        <w:rPr>
          <w:rFonts w:ascii="NettoPro" w:hAnsi="NettoPro" w:cs="NettoPro"/>
        </w:rPr>
        <w:t>Odběratel</w:t>
      </w:r>
    </w:p>
    <w:p w14:paraId="6C83F633" w14:textId="77777777" w:rsidR="00142E2D" w:rsidRPr="00EC30E2" w:rsidRDefault="00142E2D" w:rsidP="007D204B">
      <w:pPr>
        <w:rPr>
          <w:rFonts w:ascii="NettoPro" w:hAnsi="NettoPro" w:cs="NettoPro"/>
          <w:b/>
        </w:rPr>
        <w:sectPr w:rsidR="00142E2D" w:rsidRPr="00EC30E2" w:rsidSect="00142E2D">
          <w:type w:val="continuous"/>
          <w:pgSz w:w="11906" w:h="16838"/>
          <w:pgMar w:top="2088" w:right="851" w:bottom="1418" w:left="851" w:header="709" w:footer="709" w:gutter="0"/>
          <w:cols w:num="2" w:space="708"/>
          <w:docGrid w:linePitch="360"/>
        </w:sectPr>
      </w:pPr>
    </w:p>
    <w:p w14:paraId="1D88F937" w14:textId="77777777" w:rsidR="008D0628" w:rsidRPr="00EC30E2" w:rsidRDefault="008D0628">
      <w:pPr>
        <w:autoSpaceDE/>
        <w:autoSpaceDN/>
        <w:adjustRightInd/>
        <w:spacing w:line="240" w:lineRule="auto"/>
        <w:rPr>
          <w:rFonts w:ascii="NettoPro" w:hAnsi="NettoPro" w:cs="NettoPro"/>
          <w:b/>
        </w:rPr>
      </w:pPr>
      <w:r w:rsidRPr="00EC30E2">
        <w:rPr>
          <w:rFonts w:ascii="NettoPro" w:hAnsi="NettoPro" w:cs="NettoPro"/>
          <w:b/>
        </w:rPr>
        <w:lastRenderedPageBreak/>
        <w:br w:type="page"/>
      </w:r>
    </w:p>
    <w:p w14:paraId="2ACD8208" w14:textId="77777777" w:rsidR="002D3448" w:rsidRPr="00030AB2" w:rsidRDefault="002D3448" w:rsidP="002D3448">
      <w:pPr>
        <w:pStyle w:val="Titul-ploha"/>
        <w:rPr>
          <w:rFonts w:ascii="NettoPro-Bold" w:hAnsi="NettoPro-Bold" w:cs="NettoPro-Bold"/>
          <w:b w:val="0"/>
        </w:rPr>
      </w:pPr>
      <w:r w:rsidRPr="00030AB2">
        <w:rPr>
          <w:rFonts w:ascii="NettoPro-Bold" w:hAnsi="NettoPro-Bold" w:cs="NettoPro-Bold"/>
          <w:b w:val="0"/>
        </w:rPr>
        <w:lastRenderedPageBreak/>
        <w:t>Příloha A/1</w:t>
      </w:r>
    </w:p>
    <w:p w14:paraId="29023896" w14:textId="77777777" w:rsidR="008D0628" w:rsidRPr="00EC30E2" w:rsidRDefault="008D0628" w:rsidP="008D0628">
      <w:pPr>
        <w:jc w:val="center"/>
        <w:rPr>
          <w:rFonts w:ascii="NettoPro" w:hAnsi="NettoPro" w:cs="NettoPro"/>
          <w:bCs/>
          <w:szCs w:val="18"/>
        </w:rPr>
      </w:pPr>
      <w:r w:rsidRPr="00EC30E2">
        <w:rPr>
          <w:rFonts w:ascii="NettoPro" w:hAnsi="NettoPro" w:cs="NettoPro"/>
          <w:b/>
          <w:bCs/>
          <w:szCs w:val="18"/>
        </w:rPr>
        <w:t>NEWTON Media, a.s.</w:t>
      </w:r>
      <w:r w:rsidRPr="00EC30E2">
        <w:rPr>
          <w:rFonts w:ascii="NettoPro" w:hAnsi="NettoPro" w:cs="NettoPro"/>
          <w:bCs/>
          <w:szCs w:val="18"/>
        </w:rPr>
        <w:t xml:space="preserve">, </w:t>
      </w:r>
    </w:p>
    <w:p w14:paraId="55419780" w14:textId="77777777" w:rsidR="008D0628" w:rsidRPr="00EC30E2" w:rsidRDefault="008D0628" w:rsidP="008D0628">
      <w:pPr>
        <w:jc w:val="center"/>
        <w:rPr>
          <w:rFonts w:ascii="NettoPro" w:hAnsi="NettoPro" w:cs="NettoPro"/>
          <w:sz w:val="18"/>
          <w:szCs w:val="18"/>
        </w:rPr>
      </w:pPr>
      <w:r w:rsidRPr="00EC30E2">
        <w:rPr>
          <w:rFonts w:ascii="NettoPro" w:hAnsi="NettoPro" w:cs="NettoPro"/>
          <w:sz w:val="18"/>
          <w:szCs w:val="18"/>
        </w:rPr>
        <w:t>společnost zapsaná v obchodním rejstříku vedeném Městským soudem v Praze, oddíl B, vložka 12446, se sídlem Praha 4, Na Pankráci 1683/127, PSČ 140 00</w:t>
      </w:r>
      <w:r w:rsidRPr="00EC30E2">
        <w:rPr>
          <w:rFonts w:ascii="NettoPro" w:hAnsi="NettoPro" w:cs="NettoPro"/>
          <w:bCs/>
          <w:sz w:val="18"/>
          <w:szCs w:val="18"/>
        </w:rPr>
        <w:t xml:space="preserve">, </w:t>
      </w:r>
      <w:r w:rsidRPr="00EC30E2">
        <w:rPr>
          <w:rFonts w:ascii="NettoPro" w:hAnsi="NettoPro" w:cs="NettoPro"/>
          <w:sz w:val="18"/>
          <w:szCs w:val="18"/>
        </w:rPr>
        <w:t>IČ: 28168356, DIČ: CZ28168356</w:t>
      </w:r>
      <w:r w:rsidRPr="00EC30E2">
        <w:rPr>
          <w:rFonts w:ascii="NettoPro" w:hAnsi="NettoPro" w:cs="NettoPro"/>
          <w:bCs/>
          <w:sz w:val="18"/>
          <w:szCs w:val="18"/>
        </w:rPr>
        <w:t xml:space="preserve"> </w:t>
      </w:r>
      <w:r w:rsidRPr="00EC30E2">
        <w:rPr>
          <w:rFonts w:ascii="NettoPro" w:hAnsi="NettoPro" w:cs="NettoPro"/>
          <w:sz w:val="18"/>
          <w:szCs w:val="18"/>
        </w:rPr>
        <w:t>(dále jen „</w:t>
      </w:r>
      <w:r w:rsidRPr="00EC30E2">
        <w:rPr>
          <w:rFonts w:ascii="NettoPro" w:hAnsi="NettoPro" w:cs="NettoPro"/>
          <w:b/>
          <w:sz w:val="18"/>
          <w:szCs w:val="18"/>
        </w:rPr>
        <w:t>dodavatel</w:t>
      </w:r>
      <w:r w:rsidRPr="00EC30E2">
        <w:rPr>
          <w:rFonts w:ascii="NettoPro" w:hAnsi="NettoPro" w:cs="NettoPro"/>
          <w:sz w:val="18"/>
          <w:szCs w:val="18"/>
        </w:rPr>
        <w:t>“)</w:t>
      </w:r>
    </w:p>
    <w:p w14:paraId="505DEE81" w14:textId="77777777" w:rsidR="008D0628" w:rsidRPr="00EC30E2" w:rsidRDefault="008D0628" w:rsidP="008D0628">
      <w:pPr>
        <w:autoSpaceDE/>
        <w:autoSpaceDN/>
        <w:adjustRightInd/>
        <w:spacing w:after="480" w:line="240" w:lineRule="auto"/>
        <w:jc w:val="center"/>
        <w:rPr>
          <w:rFonts w:ascii="NettoPro" w:eastAsia="Times New Roman" w:hAnsi="NettoPro" w:cs="NettoPro"/>
          <w:b/>
          <w:szCs w:val="18"/>
          <w:lang w:eastAsia="cs-CZ"/>
        </w:rPr>
      </w:pPr>
      <w:r w:rsidRPr="00EC30E2">
        <w:rPr>
          <w:rFonts w:ascii="NettoPro" w:eastAsia="Times New Roman" w:hAnsi="NettoPro" w:cs="NettoPro"/>
          <w:b/>
          <w:szCs w:val="18"/>
          <w:lang w:eastAsia="cs-CZ"/>
        </w:rPr>
        <w:t>Všeobecné obchodní podmínky</w:t>
      </w:r>
      <w:r w:rsidRPr="00EC30E2">
        <w:rPr>
          <w:rFonts w:ascii="NettoPro" w:eastAsia="Times New Roman" w:hAnsi="NettoPro" w:cs="NettoPro"/>
          <w:b/>
          <w:szCs w:val="18"/>
          <w:lang w:eastAsia="cs-CZ"/>
        </w:rPr>
        <w:br/>
        <w:t>pro poskytování a využívání informací</w:t>
      </w:r>
    </w:p>
    <w:p w14:paraId="3E939F02" w14:textId="77777777" w:rsidR="008D0628" w:rsidRPr="00EC30E2" w:rsidRDefault="008D0628" w:rsidP="008D0628">
      <w:pPr>
        <w:jc w:val="center"/>
        <w:rPr>
          <w:rFonts w:ascii="NettoPro" w:hAnsi="NettoPro" w:cs="NettoPro"/>
          <w:sz w:val="18"/>
          <w:szCs w:val="18"/>
        </w:rPr>
      </w:pPr>
      <w:r w:rsidRPr="00EC30E2">
        <w:rPr>
          <w:rFonts w:ascii="NettoPro" w:hAnsi="NettoPro" w:cs="NettoPro"/>
          <w:sz w:val="18"/>
          <w:szCs w:val="18"/>
        </w:rPr>
        <w:t>(dále jen „</w:t>
      </w:r>
      <w:r w:rsidRPr="00EC30E2">
        <w:rPr>
          <w:rFonts w:ascii="NettoPro" w:hAnsi="NettoPro" w:cs="NettoPro"/>
          <w:b/>
          <w:sz w:val="18"/>
          <w:szCs w:val="18"/>
        </w:rPr>
        <w:t>Podmínky</w:t>
      </w:r>
      <w:r w:rsidRPr="00EC30E2">
        <w:rPr>
          <w:rFonts w:ascii="NettoPro" w:hAnsi="NettoPro" w:cs="NettoPro"/>
          <w:sz w:val="18"/>
          <w:szCs w:val="18"/>
        </w:rPr>
        <w:t>“)</w:t>
      </w:r>
    </w:p>
    <w:p w14:paraId="4047E8E4" w14:textId="77777777" w:rsidR="008D0628" w:rsidRPr="008D0628" w:rsidRDefault="008D0628" w:rsidP="008D0628">
      <w:pPr>
        <w:jc w:val="center"/>
        <w:rPr>
          <w:sz w:val="18"/>
          <w:szCs w:val="18"/>
        </w:rPr>
      </w:pPr>
    </w:p>
    <w:p w14:paraId="21BE5284" w14:textId="77777777" w:rsidR="008D0628" w:rsidRPr="008D0628" w:rsidRDefault="008D0628" w:rsidP="008D0628">
      <w:pPr>
        <w:keepNext/>
        <w:numPr>
          <w:ilvl w:val="0"/>
          <w:numId w:val="11"/>
        </w:numPr>
        <w:tabs>
          <w:tab w:val="num" w:pos="510"/>
        </w:tabs>
        <w:autoSpaceDE/>
        <w:autoSpaceDN/>
        <w:adjustRightInd/>
        <w:spacing w:before="240" w:after="120" w:line="240" w:lineRule="auto"/>
        <w:ind w:left="510" w:hanging="510"/>
        <w:rPr>
          <w:rFonts w:ascii="Arial" w:eastAsia="Times New Roman" w:hAnsi="Arial" w:cs="Arial"/>
          <w:b/>
          <w:bCs/>
          <w:color w:val="auto"/>
          <w:sz w:val="18"/>
          <w:szCs w:val="18"/>
          <w:lang w:eastAsia="cs-CZ"/>
        </w:rPr>
        <w:sectPr w:rsidR="008D0628" w:rsidRPr="008D0628" w:rsidSect="008D0628">
          <w:headerReference w:type="default" r:id="rId17"/>
          <w:footerReference w:type="default" r:id="rId18"/>
          <w:headerReference w:type="first" r:id="rId19"/>
          <w:footerReference w:type="first" r:id="rId20"/>
          <w:type w:val="continuous"/>
          <w:pgSz w:w="11906" w:h="16838"/>
          <w:pgMar w:top="2127" w:right="851" w:bottom="1418" w:left="851" w:header="709" w:footer="1016" w:gutter="0"/>
          <w:cols w:space="708"/>
          <w:titlePg/>
          <w:docGrid w:linePitch="360"/>
        </w:sectPr>
      </w:pPr>
    </w:p>
    <w:p w14:paraId="1D7043B5"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ÚVODNÍ USTANOVENÍ</w:t>
      </w:r>
    </w:p>
    <w:p w14:paraId="76E2419B"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Účelem těchto Podmínek je stanovit podrobné podmínky, za kterých dodavatel poskytuje svým zákazníkům (dále jen „</w:t>
      </w:r>
      <w:r w:rsidRPr="00EC30E2">
        <w:rPr>
          <w:rFonts w:ascii="NettoPro" w:eastAsia="Times New Roman" w:hAnsi="NettoPro" w:cs="NettoPro"/>
          <w:b/>
          <w:color w:val="auto"/>
          <w:sz w:val="18"/>
          <w:szCs w:val="18"/>
          <w:lang w:eastAsia="cs-CZ"/>
        </w:rPr>
        <w:t>odběratelé</w:t>
      </w:r>
      <w:r w:rsidRPr="00EC30E2">
        <w:rPr>
          <w:rFonts w:ascii="NettoPro" w:eastAsia="Times New Roman" w:hAnsi="NettoPro" w:cs="NettoPro"/>
          <w:color w:val="auto"/>
          <w:sz w:val="18"/>
          <w:szCs w:val="18"/>
          <w:lang w:eastAsia="cs-CZ"/>
        </w:rPr>
        <w:t>“) služby spočívající v poskytování a využívání informací, jak jsou vymezeny dále.</w:t>
      </w:r>
    </w:p>
    <w:p w14:paraId="60FBC2C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Za odběratele se považují osoby, s nimiž dodavatel uzavřel smlouvu o poskytování a využívání informací nebo jinou smlouvu, která na tyto Podmínky odkazuje (dále jen „</w:t>
      </w:r>
      <w:r w:rsidRPr="00EC30E2">
        <w:rPr>
          <w:rFonts w:ascii="NettoPro" w:eastAsia="Times New Roman" w:hAnsi="NettoPro" w:cs="NettoPro"/>
          <w:b/>
          <w:color w:val="auto"/>
          <w:sz w:val="18"/>
          <w:szCs w:val="18"/>
          <w:lang w:eastAsia="cs-CZ"/>
        </w:rPr>
        <w:t>smlouva</w:t>
      </w:r>
      <w:r w:rsidRPr="00EC30E2">
        <w:rPr>
          <w:rFonts w:ascii="NettoPro" w:eastAsia="Times New Roman" w:hAnsi="NettoPro" w:cs="NettoPro"/>
          <w:color w:val="auto"/>
          <w:sz w:val="18"/>
          <w:szCs w:val="18"/>
          <w:lang w:eastAsia="cs-CZ"/>
        </w:rPr>
        <w:t>“). Za smlouvu se považuje i Rámcová smlouva o poskytování a využívání informací uzavřená mezi dodavatelem a odběratelem.</w:t>
      </w:r>
    </w:p>
    <w:p w14:paraId="356B523C"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6" w:name="_Ref254948681"/>
      <w:r w:rsidRPr="00EC30E2">
        <w:rPr>
          <w:rFonts w:ascii="NettoPro" w:eastAsia="Times New Roman" w:hAnsi="NettoPro" w:cs="NettoPro"/>
          <w:color w:val="auto"/>
          <w:sz w:val="18"/>
          <w:szCs w:val="18"/>
          <w:lang w:eastAsia="cs-CZ"/>
        </w:rPr>
        <w:t>Za odběratele se považují též osoby, které zaslaly dodavateli objednávku služeb spočívajících v poskytování a využívání informací, pokud jejich souhlas s použitím těchto Podmínek je zachycený písemně, resp. elektronicky; pojem „smlouva“ v takovém případě zahrnuje i dodavatelem akceptovanou objednávku odběratele.</w:t>
      </w:r>
      <w:bookmarkEnd w:id="6"/>
    </w:p>
    <w:p w14:paraId="713EA5C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Závazkový vztah založený smlouvou se v otázkách neupravených smlouvou nebo těmito Podmínkami řídí českým právním řádem, zejména zákonem č. 89/2012 Sb., občanským zákoníkem, ve znění pozdějších předpisů (dále jen „</w:t>
      </w:r>
      <w:r w:rsidRPr="00EC30E2">
        <w:rPr>
          <w:rFonts w:ascii="NettoPro" w:eastAsia="Times New Roman" w:hAnsi="NettoPro" w:cs="NettoPro"/>
          <w:b/>
          <w:color w:val="auto"/>
          <w:sz w:val="18"/>
          <w:szCs w:val="18"/>
          <w:lang w:eastAsia="cs-CZ"/>
        </w:rPr>
        <w:t>občanský zákoník</w:t>
      </w:r>
      <w:r w:rsidRPr="00EC30E2">
        <w:rPr>
          <w:rFonts w:ascii="NettoPro" w:eastAsia="Times New Roman" w:hAnsi="NettoPro" w:cs="NettoPro"/>
          <w:color w:val="auto"/>
          <w:sz w:val="18"/>
          <w:szCs w:val="18"/>
          <w:lang w:eastAsia="cs-CZ"/>
        </w:rPr>
        <w:t>“).</w:t>
      </w:r>
    </w:p>
    <w:p w14:paraId="0B69D4C7"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ZÁKLADNÍ POJMY</w:t>
      </w:r>
    </w:p>
    <w:p w14:paraId="76148CEA"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Jsou-li ve smlouvě použité některé z následujících pojmů, mají tento význam:</w:t>
      </w:r>
    </w:p>
    <w:p w14:paraId="0D6ED6CF"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smluvní strany</w:t>
      </w:r>
      <w:r w:rsidRPr="00EC30E2">
        <w:rPr>
          <w:rFonts w:ascii="NettoPro" w:eastAsia="Times New Roman" w:hAnsi="NettoPro" w:cs="NettoPro"/>
          <w:color w:val="auto"/>
          <w:sz w:val="18"/>
          <w:szCs w:val="18"/>
          <w:lang w:eastAsia="cs-CZ"/>
        </w:rPr>
        <w:t>“ jsou dodavatel a odběratel, se kterým dodavatel uzavřel smlouvu, přičemž „</w:t>
      </w:r>
      <w:r w:rsidRPr="00EC30E2">
        <w:rPr>
          <w:rFonts w:ascii="NettoPro" w:eastAsia="Times New Roman" w:hAnsi="NettoPro" w:cs="NettoPro"/>
          <w:b/>
          <w:color w:val="auto"/>
          <w:sz w:val="18"/>
          <w:szCs w:val="18"/>
          <w:lang w:eastAsia="cs-CZ"/>
        </w:rPr>
        <w:t>smluvní stranou</w:t>
      </w:r>
      <w:r w:rsidRPr="00EC30E2">
        <w:rPr>
          <w:rFonts w:ascii="NettoPro" w:eastAsia="Times New Roman" w:hAnsi="NettoPro" w:cs="NettoPro"/>
          <w:color w:val="auto"/>
          <w:sz w:val="18"/>
          <w:szCs w:val="18"/>
          <w:lang w:eastAsia="cs-CZ"/>
        </w:rPr>
        <w:t>“ se rozumí kterákoliv ze smluvních stran;</w:t>
      </w:r>
    </w:p>
    <w:p w14:paraId="703388F4"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mediální tituly</w:t>
      </w:r>
      <w:r w:rsidRPr="00EC30E2">
        <w:rPr>
          <w:rFonts w:ascii="NettoPro" w:eastAsia="Times New Roman" w:hAnsi="NettoPro" w:cs="NettoPro"/>
          <w:color w:val="auto"/>
          <w:sz w:val="18"/>
          <w:szCs w:val="18"/>
          <w:lang w:eastAsia="cs-CZ"/>
        </w:rPr>
        <w:t>“ jsou zdroje informací dostupné v rámci celoplošného a regionálního periodického tisku, zpravodajských a publicis</w:t>
      </w:r>
      <w:r w:rsidRPr="00EC30E2">
        <w:rPr>
          <w:rFonts w:ascii="NettoPro" w:eastAsia="Times New Roman" w:hAnsi="NettoPro" w:cs="NettoPro"/>
          <w:color w:val="auto"/>
          <w:sz w:val="18"/>
          <w:szCs w:val="18"/>
          <w:lang w:eastAsia="cs-CZ"/>
        </w:rPr>
        <w:lastRenderedPageBreak/>
        <w:t>tických pořadů a programů televizního a rozhlasového vysílání, internetových zpravodajských serverů a zpravodajských agentur; konkrétní vymezení mediálních titulů pro konkrétního odběratele je uvedeno ve smlouvě;</w:t>
      </w:r>
    </w:p>
    <w:p w14:paraId="0419FCF8" w14:textId="74534305"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produkt dodavatele</w:t>
      </w:r>
      <w:r w:rsidRPr="00EC30E2">
        <w:rPr>
          <w:rFonts w:ascii="NettoPro" w:eastAsia="Times New Roman" w:hAnsi="NettoPro" w:cs="NettoPro"/>
          <w:color w:val="auto"/>
          <w:sz w:val="18"/>
          <w:szCs w:val="18"/>
          <w:lang w:eastAsia="cs-CZ"/>
        </w:rPr>
        <w:t xml:space="preserve">“ – produktem dodavatele se rozumí pro účely této smlouvy zejména MONITORING ZPRÁV, MONITORING SOCIÁLNÍCH </w:t>
      </w:r>
      <w:r w:rsidR="00313D5C" w:rsidRPr="00EC30E2">
        <w:rPr>
          <w:rFonts w:ascii="NettoPro" w:eastAsia="Times New Roman" w:hAnsi="NettoPro" w:cs="NettoPro"/>
          <w:color w:val="auto"/>
          <w:sz w:val="18"/>
          <w:szCs w:val="18"/>
          <w:lang w:eastAsia="cs-CZ"/>
        </w:rPr>
        <w:t>MÉDIÍ</w:t>
      </w:r>
      <w:r w:rsidRPr="00EC30E2">
        <w:rPr>
          <w:rFonts w:ascii="NettoPro" w:eastAsia="Times New Roman" w:hAnsi="NettoPro" w:cs="NettoPro"/>
          <w:color w:val="auto"/>
          <w:sz w:val="18"/>
          <w:szCs w:val="18"/>
          <w:lang w:eastAsia="cs-CZ"/>
        </w:rPr>
        <w:t xml:space="preserve">, MONITORING INZERCE A REKLAMY, ANALÝZA MÉDIÍ, </w:t>
      </w:r>
      <w:r w:rsidR="0059417C" w:rsidRPr="00EC30E2">
        <w:rPr>
          <w:rFonts w:ascii="NettoPro" w:eastAsia="Times New Roman" w:hAnsi="NettoPro" w:cs="NettoPro"/>
          <w:color w:val="auto"/>
          <w:sz w:val="18"/>
          <w:szCs w:val="18"/>
          <w:lang w:eastAsia="cs-CZ"/>
        </w:rPr>
        <w:t xml:space="preserve">TVR ALERTS, </w:t>
      </w:r>
      <w:r w:rsidRPr="00EC30E2">
        <w:rPr>
          <w:rFonts w:ascii="NettoPro" w:eastAsia="Times New Roman" w:hAnsi="NettoPro" w:cs="NettoPro"/>
          <w:color w:val="auto"/>
          <w:sz w:val="18"/>
          <w:szCs w:val="18"/>
          <w:lang w:eastAsia="cs-CZ"/>
        </w:rPr>
        <w:t>databáze, Výstup, nebo Výsledek.</w:t>
      </w:r>
    </w:p>
    <w:p w14:paraId="740A612D"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b/>
          <w:color w:val="auto"/>
          <w:sz w:val="18"/>
          <w:szCs w:val="18"/>
          <w:lang w:eastAsia="cs-CZ"/>
        </w:rPr>
        <w:t>„data“</w:t>
      </w:r>
      <w:r w:rsidRPr="00EC30E2">
        <w:rPr>
          <w:rFonts w:ascii="NettoPro" w:eastAsia="Times New Roman" w:hAnsi="NettoPro" w:cs="NettoPro"/>
          <w:color w:val="auto"/>
          <w:sz w:val="18"/>
          <w:szCs w:val="18"/>
          <w:lang w:eastAsia="cs-CZ"/>
        </w:rPr>
        <w:t xml:space="preserve"> – daty se pro účely této smlouvy rozumí textová, grafická, obrazová část včetně fotografií a jiných vizuálních prvků a jejich popisky, které tvoří obsah mediálních titulů a jsou součástí databáze dodavatele.</w:t>
      </w:r>
    </w:p>
    <w:p w14:paraId="4D3EE632"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informace</w:t>
      </w:r>
      <w:r w:rsidRPr="00EC30E2">
        <w:rPr>
          <w:rFonts w:ascii="NettoPro" w:eastAsia="Times New Roman" w:hAnsi="NettoPro" w:cs="NettoPro"/>
          <w:color w:val="auto"/>
          <w:sz w:val="18"/>
          <w:szCs w:val="18"/>
          <w:lang w:eastAsia="cs-CZ"/>
        </w:rPr>
        <w:t>“ jsou veškerá data obsažená v kterémkoliv produktu dodavatele.</w:t>
      </w:r>
    </w:p>
    <w:p w14:paraId="0111E6E8"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MONITORING ZPRÁV</w:t>
      </w:r>
      <w:r w:rsidRPr="00EC30E2">
        <w:rPr>
          <w:rFonts w:ascii="NettoPro" w:eastAsia="Times New Roman" w:hAnsi="NettoPro" w:cs="NettoPro"/>
          <w:color w:val="auto"/>
          <w:sz w:val="18"/>
          <w:szCs w:val="18"/>
          <w:lang w:eastAsia="cs-CZ"/>
        </w:rPr>
        <w:t>“ je soubor elektronických informací vytvářený dodavatelem na základě monitorování ve smlouvě stanovených mediálních titulů a dodávaný odběrateli v souladu s požadavky odběratele na obsah a strukturu definovanými ve smlouvě;</w:t>
      </w:r>
    </w:p>
    <w:p w14:paraId="26D4047C" w14:textId="06213545"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 xml:space="preserve">MONITORING SOCIÁLNÍCH </w:t>
      </w:r>
      <w:r w:rsidR="00313D5C" w:rsidRPr="00EC30E2">
        <w:rPr>
          <w:rFonts w:ascii="NettoPro" w:eastAsia="Times New Roman" w:hAnsi="NettoPro" w:cs="NettoPro"/>
          <w:b/>
          <w:color w:val="auto"/>
          <w:sz w:val="18"/>
          <w:szCs w:val="18"/>
          <w:lang w:eastAsia="cs-CZ"/>
        </w:rPr>
        <w:t>MÉDIÍ</w:t>
      </w:r>
      <w:r w:rsidRPr="00EC30E2">
        <w:rPr>
          <w:rFonts w:ascii="NettoPro" w:eastAsia="Times New Roman" w:hAnsi="NettoPro" w:cs="NettoPro"/>
          <w:color w:val="auto"/>
          <w:sz w:val="18"/>
          <w:szCs w:val="18"/>
          <w:lang w:eastAsia="cs-CZ"/>
        </w:rPr>
        <w:t xml:space="preserve">“ je soubor elektronických informací vytvářený dodavatelem na základě monitorování ve smlouvě stanovených sociálních </w:t>
      </w:r>
      <w:r w:rsidR="00313D5C" w:rsidRPr="00EC30E2">
        <w:rPr>
          <w:rFonts w:ascii="NettoPro" w:eastAsia="Times New Roman" w:hAnsi="NettoPro" w:cs="NettoPro"/>
          <w:color w:val="auto"/>
          <w:sz w:val="18"/>
          <w:szCs w:val="18"/>
          <w:lang w:eastAsia="cs-CZ"/>
        </w:rPr>
        <w:t xml:space="preserve">médií </w:t>
      </w:r>
      <w:r w:rsidRPr="00EC30E2">
        <w:rPr>
          <w:rFonts w:ascii="NettoPro" w:eastAsia="Times New Roman" w:hAnsi="NettoPro" w:cs="NettoPro"/>
          <w:color w:val="auto"/>
          <w:sz w:val="18"/>
          <w:szCs w:val="18"/>
          <w:lang w:eastAsia="cs-CZ"/>
        </w:rPr>
        <w:t>a dodávaný odběrateli v souladu s požadavky odběratele na obsah a strukturu definovanými ve smlouvě;</w:t>
      </w:r>
    </w:p>
    <w:p w14:paraId="2EBCD759"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MONITORING INZERCE A REKLAMY</w:t>
      </w:r>
      <w:r w:rsidRPr="00EC30E2">
        <w:rPr>
          <w:rFonts w:ascii="NettoPro" w:eastAsia="Times New Roman" w:hAnsi="NettoPro" w:cs="NettoPro"/>
          <w:color w:val="auto"/>
          <w:sz w:val="18"/>
          <w:szCs w:val="18"/>
          <w:lang w:eastAsia="cs-CZ"/>
        </w:rPr>
        <w:t>“ je soubor elektronických informací vytvářený dodavatelem na základě monitorování ve smlouvě specifikovaného druhu inzerce či reklamy ve smlouvou stanovených mediálních titulech a dodávaný odběrateli v souladu s požadavky odběratele na obsah a strukturu definovanými ve smlouvě;</w:t>
      </w:r>
    </w:p>
    <w:p w14:paraId="1D9E4F8F"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ANALÝZA MÉDIÍ</w:t>
      </w:r>
      <w:r w:rsidRPr="00EC30E2">
        <w:rPr>
          <w:rFonts w:ascii="NettoPro" w:eastAsia="Times New Roman" w:hAnsi="NettoPro" w:cs="NettoPro"/>
          <w:color w:val="auto"/>
          <w:sz w:val="18"/>
          <w:szCs w:val="18"/>
          <w:lang w:eastAsia="cs-CZ"/>
        </w:rPr>
        <w:t>“ je soubor elektronických informací vytvářený dodavatelem na základě odběratelem ve smlouvě určených parametrů, vycházející z monitorování ve smlouvě stanovených mediálních titulů a dodávaný odběrateli v souladu s požadavky odběratele na obsah a strukturu definovanými ve smlouvě;</w:t>
      </w:r>
    </w:p>
    <w:p w14:paraId="5D5ED117" w14:textId="77777777" w:rsidR="0059417C" w:rsidRPr="00EC30E2" w:rsidRDefault="0059417C" w:rsidP="006F05B6">
      <w:pPr>
        <w:numPr>
          <w:ilvl w:val="2"/>
          <w:numId w:val="11"/>
        </w:numPr>
        <w:autoSpaceDE/>
        <w:autoSpaceDN/>
        <w:adjustRightInd/>
        <w:spacing w:after="120" w:line="240" w:lineRule="auto"/>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TVR ALERTS</w:t>
      </w:r>
      <w:r w:rsidRPr="00EC30E2">
        <w:rPr>
          <w:rFonts w:ascii="NettoPro" w:eastAsia="Times New Roman" w:hAnsi="NettoPro" w:cs="NettoPro"/>
          <w:color w:val="auto"/>
          <w:sz w:val="18"/>
          <w:szCs w:val="18"/>
          <w:lang w:eastAsia="cs-CZ"/>
        </w:rPr>
        <w:t xml:space="preserve">“ </w:t>
      </w:r>
      <w:r w:rsidR="008D7C99" w:rsidRPr="00EC30E2">
        <w:rPr>
          <w:rFonts w:ascii="NettoPro" w:eastAsia="Times New Roman" w:hAnsi="NettoPro" w:cs="NettoPro"/>
          <w:color w:val="auto"/>
          <w:sz w:val="18"/>
          <w:szCs w:val="18"/>
          <w:lang w:eastAsia="cs-CZ"/>
        </w:rPr>
        <w:t xml:space="preserve">je soubor elektronických informací vytvářený dodavatelem na základě sledování </w:t>
      </w:r>
      <w:r w:rsidR="006E64AA" w:rsidRPr="00EC30E2">
        <w:rPr>
          <w:rFonts w:ascii="NettoPro" w:eastAsia="Times New Roman" w:hAnsi="NettoPro" w:cs="NettoPro"/>
          <w:color w:val="auto"/>
          <w:sz w:val="18"/>
          <w:szCs w:val="18"/>
          <w:lang w:eastAsia="cs-CZ"/>
        </w:rPr>
        <w:t xml:space="preserve">výskytu </w:t>
      </w:r>
      <w:r w:rsidR="008D7C99" w:rsidRPr="00EC30E2">
        <w:rPr>
          <w:rFonts w:ascii="NettoPro" w:eastAsia="Times New Roman" w:hAnsi="NettoPro" w:cs="NettoPro"/>
          <w:color w:val="auto"/>
          <w:sz w:val="18"/>
          <w:szCs w:val="18"/>
          <w:lang w:eastAsia="cs-CZ"/>
        </w:rPr>
        <w:t xml:space="preserve">odběratelem určených slov </w:t>
      </w:r>
      <w:r w:rsidRPr="00EC30E2">
        <w:rPr>
          <w:rFonts w:ascii="NettoPro" w:eastAsia="Times New Roman" w:hAnsi="NettoPro" w:cs="NettoPro"/>
          <w:color w:val="auto"/>
          <w:sz w:val="18"/>
          <w:szCs w:val="18"/>
          <w:lang w:eastAsia="cs-CZ"/>
        </w:rPr>
        <w:t xml:space="preserve">ve vysílání </w:t>
      </w:r>
      <w:r w:rsidR="006F05B6" w:rsidRPr="00EC30E2">
        <w:rPr>
          <w:rFonts w:ascii="NettoPro" w:eastAsia="Times New Roman" w:hAnsi="NettoPro" w:cs="NettoPro"/>
          <w:color w:val="auto"/>
          <w:sz w:val="18"/>
          <w:szCs w:val="18"/>
          <w:lang w:eastAsia="cs-CZ"/>
        </w:rPr>
        <w:t xml:space="preserve">vybraných </w:t>
      </w:r>
      <w:r w:rsidRPr="00EC30E2">
        <w:rPr>
          <w:rFonts w:ascii="NettoPro" w:eastAsia="Times New Roman" w:hAnsi="NettoPro" w:cs="NettoPro"/>
          <w:color w:val="auto"/>
          <w:sz w:val="18"/>
          <w:szCs w:val="18"/>
          <w:lang w:eastAsia="cs-CZ"/>
        </w:rPr>
        <w:t xml:space="preserve">monitorovaných </w:t>
      </w:r>
      <w:r w:rsidR="006F05B6" w:rsidRPr="00EC30E2">
        <w:rPr>
          <w:rFonts w:ascii="NettoPro" w:eastAsia="Times New Roman" w:hAnsi="NettoPro" w:cs="NettoPro"/>
          <w:color w:val="auto"/>
          <w:sz w:val="18"/>
          <w:szCs w:val="18"/>
          <w:lang w:eastAsia="cs-CZ"/>
        </w:rPr>
        <w:t>mediálních titulů určených smlouvou</w:t>
      </w:r>
      <w:r w:rsidR="006E64AA" w:rsidRPr="00EC30E2">
        <w:rPr>
          <w:rFonts w:ascii="NettoPro" w:eastAsia="Times New Roman" w:hAnsi="NettoPro" w:cs="NettoPro"/>
          <w:color w:val="auto"/>
          <w:sz w:val="18"/>
          <w:szCs w:val="18"/>
          <w:lang w:eastAsia="cs-CZ"/>
        </w:rPr>
        <w:t xml:space="preserve"> a dodávaný odběrateli v souladu s požadavky odběratele definovanými ve smlouvě</w:t>
      </w:r>
      <w:r w:rsidR="001B7357" w:rsidRPr="00EC30E2">
        <w:rPr>
          <w:rFonts w:ascii="NettoPro" w:eastAsia="Times New Roman" w:hAnsi="NettoPro" w:cs="NettoPro"/>
          <w:color w:val="auto"/>
          <w:sz w:val="18"/>
          <w:szCs w:val="18"/>
          <w:lang w:eastAsia="cs-CZ"/>
        </w:rPr>
        <w:t>.</w:t>
      </w:r>
      <w:r w:rsidR="006F05B6" w:rsidRPr="00EC30E2">
        <w:rPr>
          <w:rFonts w:ascii="NettoPro" w:eastAsia="Times New Roman" w:hAnsi="NettoPro" w:cs="NettoPro"/>
          <w:color w:val="auto"/>
          <w:sz w:val="18"/>
          <w:szCs w:val="18"/>
          <w:lang w:eastAsia="cs-CZ"/>
        </w:rPr>
        <w:t xml:space="preserve"> </w:t>
      </w:r>
      <w:r w:rsidRPr="00EC30E2">
        <w:rPr>
          <w:rFonts w:ascii="NettoPro" w:eastAsia="Times New Roman" w:hAnsi="NettoPro" w:cs="NettoPro"/>
          <w:color w:val="auto"/>
          <w:sz w:val="18"/>
          <w:szCs w:val="18"/>
          <w:lang w:eastAsia="cs-CZ"/>
        </w:rPr>
        <w:t xml:space="preserve"> </w:t>
      </w:r>
    </w:p>
    <w:p w14:paraId="19884107"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databáze</w:t>
      </w:r>
      <w:r w:rsidRPr="00EC30E2">
        <w:rPr>
          <w:rFonts w:ascii="NettoPro" w:eastAsia="Times New Roman" w:hAnsi="NettoPro" w:cs="NettoPro"/>
          <w:color w:val="auto"/>
          <w:sz w:val="18"/>
          <w:szCs w:val="18"/>
          <w:lang w:eastAsia="cs-CZ"/>
        </w:rPr>
        <w:t>“ je databáze elektro</w:t>
      </w:r>
      <w:r w:rsidRPr="00EC30E2">
        <w:rPr>
          <w:rFonts w:ascii="NettoPro" w:eastAsia="Times New Roman" w:hAnsi="NettoPro" w:cs="NettoPro"/>
          <w:color w:val="auto"/>
          <w:sz w:val="18"/>
          <w:szCs w:val="18"/>
          <w:lang w:eastAsia="cs-CZ"/>
        </w:rPr>
        <w:softHyphen/>
        <w:t>nických informací Archiv MediaSearch</w:t>
      </w:r>
      <w:r w:rsidRPr="00EC30E2">
        <w:rPr>
          <w:rFonts w:ascii="NettoPro" w:eastAsia="Times New Roman" w:hAnsi="NettoPro" w:cs="NettoPro"/>
          <w:b/>
          <w:color w:val="auto"/>
          <w:sz w:val="18"/>
          <w:szCs w:val="18"/>
          <w:lang w:eastAsia="cs-CZ"/>
        </w:rPr>
        <w:t xml:space="preserve"> </w:t>
      </w:r>
      <w:r w:rsidRPr="00EC30E2">
        <w:rPr>
          <w:rFonts w:ascii="NettoPro" w:eastAsia="Times New Roman" w:hAnsi="NettoPro" w:cs="NettoPro"/>
          <w:color w:val="auto"/>
          <w:sz w:val="18"/>
          <w:szCs w:val="18"/>
          <w:lang w:eastAsia="cs-CZ"/>
        </w:rPr>
        <w:t>vytvářená dodava</w:t>
      </w:r>
      <w:r w:rsidRPr="00EC30E2">
        <w:rPr>
          <w:rFonts w:ascii="NettoPro" w:eastAsia="Times New Roman" w:hAnsi="NettoPro" w:cs="NettoPro"/>
          <w:color w:val="auto"/>
          <w:sz w:val="18"/>
          <w:szCs w:val="18"/>
          <w:lang w:eastAsia="cs-CZ"/>
        </w:rPr>
        <w:softHyphen/>
        <w:t>telem na základě monitorování mediálních titulů, k níž dodavatel pos</w:t>
      </w:r>
      <w:r w:rsidRPr="00EC30E2">
        <w:rPr>
          <w:rFonts w:ascii="NettoPro" w:eastAsia="Times New Roman" w:hAnsi="NettoPro" w:cs="NettoPro"/>
          <w:color w:val="auto"/>
          <w:sz w:val="18"/>
          <w:szCs w:val="18"/>
          <w:lang w:eastAsia="cs-CZ"/>
        </w:rPr>
        <w:softHyphen/>
        <w:t>kytuje odběrateli přís</w:t>
      </w:r>
      <w:r w:rsidRPr="00EC30E2">
        <w:rPr>
          <w:rFonts w:ascii="NettoPro" w:eastAsia="Times New Roman" w:hAnsi="NettoPro" w:cs="NettoPro"/>
          <w:color w:val="auto"/>
          <w:sz w:val="18"/>
          <w:szCs w:val="18"/>
          <w:lang w:eastAsia="cs-CZ"/>
        </w:rPr>
        <w:softHyphen/>
        <w:t>tup v sou</w:t>
      </w:r>
      <w:r w:rsidRPr="00EC30E2">
        <w:rPr>
          <w:rFonts w:ascii="NettoPro" w:eastAsia="Times New Roman" w:hAnsi="NettoPro" w:cs="NettoPro"/>
          <w:color w:val="auto"/>
          <w:sz w:val="18"/>
          <w:szCs w:val="18"/>
          <w:lang w:eastAsia="cs-CZ"/>
        </w:rPr>
        <w:softHyphen/>
        <w:t>ladu s požadavky odběrate</w:t>
      </w:r>
      <w:r w:rsidRPr="00EC30E2">
        <w:rPr>
          <w:rFonts w:ascii="NettoPro" w:eastAsia="Times New Roman" w:hAnsi="NettoPro" w:cs="NettoPro"/>
          <w:color w:val="auto"/>
          <w:sz w:val="18"/>
          <w:szCs w:val="18"/>
          <w:lang w:eastAsia="cs-CZ"/>
        </w:rPr>
        <w:softHyphen/>
        <w:t>le defi</w:t>
      </w:r>
      <w:r w:rsidRPr="00EC30E2">
        <w:rPr>
          <w:rFonts w:ascii="NettoPro" w:eastAsia="Times New Roman" w:hAnsi="NettoPro" w:cs="NettoPro"/>
          <w:color w:val="auto"/>
          <w:sz w:val="18"/>
          <w:szCs w:val="18"/>
          <w:lang w:eastAsia="cs-CZ"/>
        </w:rPr>
        <w:softHyphen/>
        <w:t>nova</w:t>
      </w:r>
      <w:r w:rsidRPr="00EC30E2">
        <w:rPr>
          <w:rFonts w:ascii="NettoPro" w:eastAsia="Times New Roman" w:hAnsi="NettoPro" w:cs="NettoPro"/>
          <w:color w:val="auto"/>
          <w:sz w:val="18"/>
          <w:szCs w:val="18"/>
          <w:lang w:eastAsia="cs-CZ"/>
        </w:rPr>
        <w:softHyphen/>
        <w:t>nými ve smlouvě;</w:t>
      </w:r>
    </w:p>
    <w:p w14:paraId="1B336749"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Výsledek</w:t>
      </w:r>
      <w:r w:rsidRPr="00EC30E2">
        <w:rPr>
          <w:rFonts w:ascii="NettoPro" w:eastAsia="Times New Roman" w:hAnsi="NettoPro" w:cs="NettoPro"/>
          <w:color w:val="auto"/>
          <w:sz w:val="18"/>
          <w:szCs w:val="18"/>
          <w:lang w:eastAsia="cs-CZ"/>
        </w:rPr>
        <w:t>“ jsou informace získané odběratelem na základě jeho přístupu do databáze;</w:t>
      </w:r>
    </w:p>
    <w:p w14:paraId="1E0E28C6" w14:textId="456048C6"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w:t>
      </w:r>
      <w:r w:rsidRPr="00EC30E2">
        <w:rPr>
          <w:rFonts w:ascii="NettoPro" w:eastAsia="Times New Roman" w:hAnsi="NettoPro" w:cs="NettoPro"/>
          <w:b/>
          <w:color w:val="auto"/>
          <w:sz w:val="18"/>
          <w:szCs w:val="18"/>
          <w:lang w:eastAsia="cs-CZ"/>
        </w:rPr>
        <w:t>Výstup</w:t>
      </w:r>
      <w:r w:rsidRPr="00EC30E2">
        <w:rPr>
          <w:rFonts w:ascii="NettoPro" w:eastAsia="Times New Roman" w:hAnsi="NettoPro" w:cs="NettoPro"/>
          <w:color w:val="auto"/>
          <w:sz w:val="18"/>
          <w:szCs w:val="18"/>
          <w:lang w:eastAsia="cs-CZ"/>
        </w:rPr>
        <w:t xml:space="preserve">“ je dodavatelem odběrateli dodaný MONITORING ZPRÁV, a/nebo MONITORING SOCIÁLNÍCH </w:t>
      </w:r>
      <w:r w:rsidR="00313D5C" w:rsidRPr="00EC30E2">
        <w:rPr>
          <w:rFonts w:ascii="NettoPro" w:eastAsia="Times New Roman" w:hAnsi="NettoPro" w:cs="NettoPro"/>
          <w:color w:val="auto"/>
          <w:sz w:val="18"/>
          <w:szCs w:val="18"/>
          <w:lang w:eastAsia="cs-CZ"/>
        </w:rPr>
        <w:t>MÉDIÍ</w:t>
      </w:r>
      <w:r w:rsidRPr="00EC30E2">
        <w:rPr>
          <w:rFonts w:ascii="NettoPro" w:eastAsia="Times New Roman" w:hAnsi="NettoPro" w:cs="NettoPro"/>
          <w:color w:val="auto"/>
          <w:sz w:val="18"/>
          <w:szCs w:val="18"/>
          <w:lang w:eastAsia="cs-CZ"/>
        </w:rPr>
        <w:t>, a/nebo MONITORING INZERCE A REKLAMY, a/nebo ANALÝZA MÉDIÍ</w:t>
      </w:r>
      <w:r w:rsidR="001B7357" w:rsidRPr="00EC30E2">
        <w:rPr>
          <w:rFonts w:ascii="NettoPro" w:eastAsia="Times New Roman" w:hAnsi="NettoPro" w:cs="NettoPro"/>
          <w:color w:val="auto"/>
          <w:sz w:val="18"/>
          <w:szCs w:val="18"/>
          <w:lang w:eastAsia="cs-CZ"/>
        </w:rPr>
        <w:t>, a/nebo TVR ALERTS</w:t>
      </w:r>
      <w:r w:rsidRPr="00EC30E2">
        <w:rPr>
          <w:rFonts w:ascii="NettoPro" w:eastAsia="Times New Roman" w:hAnsi="NettoPro" w:cs="NettoPro"/>
          <w:color w:val="auto"/>
          <w:sz w:val="18"/>
          <w:szCs w:val="18"/>
          <w:lang w:eastAsia="cs-CZ"/>
        </w:rPr>
        <w:t xml:space="preserve"> </w:t>
      </w:r>
      <w:r w:rsidR="001B7357" w:rsidRPr="00EC30E2">
        <w:rPr>
          <w:rFonts w:ascii="NettoPro" w:eastAsia="Times New Roman" w:hAnsi="NettoPro" w:cs="NettoPro"/>
          <w:color w:val="auto"/>
          <w:sz w:val="18"/>
          <w:szCs w:val="18"/>
          <w:lang w:eastAsia="cs-CZ"/>
        </w:rPr>
        <w:t>a/</w:t>
      </w:r>
      <w:r w:rsidRPr="00EC30E2">
        <w:rPr>
          <w:rFonts w:ascii="NettoPro" w:eastAsia="Times New Roman" w:hAnsi="NettoPro" w:cs="NettoPro"/>
          <w:color w:val="auto"/>
          <w:sz w:val="18"/>
          <w:szCs w:val="18"/>
          <w:lang w:eastAsia="cs-CZ"/>
        </w:rPr>
        <w:t>nebo jiný soubor elektronických informací vytvářený dodavatelem nebo třetí osobou na základě monitorování mediálních titulů a dodávaný odběrateli v souladu s požadavky odběratele na jeho obsah a strukturu definovanými ve smlouvě;</w:t>
      </w:r>
    </w:p>
    <w:p w14:paraId="203EF1D3" w14:textId="77777777" w:rsidR="008D0628" w:rsidRPr="00EC30E2" w:rsidRDefault="008D0628" w:rsidP="00E06CB1">
      <w:pPr>
        <w:numPr>
          <w:ilvl w:val="2"/>
          <w:numId w:val="11"/>
        </w:numPr>
        <w:autoSpaceDE/>
        <w:autoSpaceDN/>
        <w:adjustRightInd/>
        <w:spacing w:after="120" w:line="240" w:lineRule="auto"/>
        <w:jc w:val="both"/>
        <w:rPr>
          <w:rFonts w:ascii="NettoPro" w:eastAsia="Times New Roman" w:hAnsi="NettoPro" w:cs="NettoPro"/>
          <w:color w:val="auto"/>
          <w:sz w:val="18"/>
          <w:szCs w:val="18"/>
          <w:lang w:eastAsia="cs-CZ"/>
        </w:rPr>
      </w:pPr>
      <w:bookmarkStart w:id="7" w:name="_Ref253654411"/>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dodáním</w:t>
      </w:r>
      <w:r w:rsidRPr="00EC30E2">
        <w:rPr>
          <w:rFonts w:ascii="NettoPro" w:eastAsia="Times New Roman" w:hAnsi="NettoPro" w:cs="NettoPro"/>
          <w:color w:val="auto"/>
          <w:sz w:val="18"/>
          <w:szCs w:val="18"/>
          <w:lang w:eastAsia="cs-CZ"/>
        </w:rPr>
        <w:t>“ Výstupu se rozumí: (</w:t>
      </w:r>
      <w:r w:rsidRPr="00EC30E2">
        <w:rPr>
          <w:rFonts w:ascii="NettoPro" w:eastAsia="Times New Roman" w:hAnsi="NettoPro" w:cs="NettoPro"/>
          <w:b/>
          <w:color w:val="auto"/>
          <w:sz w:val="18"/>
          <w:szCs w:val="18"/>
          <w:lang w:eastAsia="cs-CZ"/>
        </w:rPr>
        <w:t>i</w:t>
      </w:r>
      <w:r w:rsidRPr="00EC30E2">
        <w:rPr>
          <w:rFonts w:ascii="NettoPro" w:eastAsia="Times New Roman" w:hAnsi="NettoPro" w:cs="NettoPro"/>
          <w:color w:val="auto"/>
          <w:sz w:val="18"/>
          <w:szCs w:val="18"/>
          <w:lang w:eastAsia="cs-CZ"/>
        </w:rPr>
        <w:t>) zpřístupnění prostřednictvím soft</w:t>
      </w:r>
      <w:r w:rsidRPr="00EC30E2">
        <w:rPr>
          <w:rFonts w:ascii="NettoPro" w:eastAsia="Times New Roman" w:hAnsi="NettoPro" w:cs="NettoPro"/>
          <w:color w:val="auto"/>
          <w:sz w:val="18"/>
          <w:szCs w:val="18"/>
          <w:lang w:eastAsia="cs-CZ"/>
        </w:rPr>
        <w:softHyphen/>
        <w:t>ware dodavatele specifikovaného ve smlouvě, který pro tento účel dodavatel poskytl odběrateli, a/nebo (</w:t>
      </w:r>
      <w:r w:rsidRPr="00EC30E2">
        <w:rPr>
          <w:rFonts w:ascii="NettoPro" w:eastAsia="Times New Roman" w:hAnsi="NettoPro" w:cs="NettoPro"/>
          <w:b/>
          <w:color w:val="auto"/>
          <w:sz w:val="18"/>
          <w:szCs w:val="18"/>
          <w:lang w:eastAsia="cs-CZ"/>
        </w:rPr>
        <w:t>ii</w:t>
      </w:r>
      <w:r w:rsidRPr="00EC30E2">
        <w:rPr>
          <w:rFonts w:ascii="NettoPro" w:eastAsia="Times New Roman" w:hAnsi="NettoPro" w:cs="NettoPro"/>
          <w:color w:val="auto"/>
          <w:sz w:val="18"/>
          <w:szCs w:val="18"/>
          <w:lang w:eastAsia="cs-CZ"/>
        </w:rPr>
        <w:t>) zpřístupnění prostřednic</w:t>
      </w:r>
      <w:r w:rsidRPr="00EC30E2">
        <w:rPr>
          <w:rFonts w:ascii="NettoPro" w:eastAsia="Times New Roman" w:hAnsi="NettoPro" w:cs="NettoPro"/>
          <w:color w:val="auto"/>
          <w:sz w:val="18"/>
          <w:szCs w:val="18"/>
          <w:lang w:eastAsia="cs-CZ"/>
        </w:rPr>
        <w:softHyphen/>
        <w:t>tvím inter</w:t>
      </w:r>
      <w:r w:rsidRPr="00EC30E2">
        <w:rPr>
          <w:rFonts w:ascii="NettoPro" w:eastAsia="Times New Roman" w:hAnsi="NettoPro" w:cs="NettoPro"/>
          <w:color w:val="auto"/>
          <w:sz w:val="18"/>
          <w:szCs w:val="18"/>
          <w:lang w:eastAsia="cs-CZ"/>
        </w:rPr>
        <w:softHyphen/>
        <w:t>netu na adrese specifiko</w:t>
      </w:r>
      <w:r w:rsidRPr="00EC30E2">
        <w:rPr>
          <w:rFonts w:ascii="NettoPro" w:eastAsia="Times New Roman" w:hAnsi="NettoPro" w:cs="NettoPro"/>
          <w:color w:val="auto"/>
          <w:sz w:val="18"/>
          <w:szCs w:val="18"/>
          <w:lang w:eastAsia="cs-CZ"/>
        </w:rPr>
        <w:softHyphen/>
        <w:t>va</w:t>
      </w:r>
      <w:r w:rsidRPr="00EC30E2">
        <w:rPr>
          <w:rFonts w:ascii="NettoPro" w:eastAsia="Times New Roman" w:hAnsi="NettoPro" w:cs="NettoPro"/>
          <w:color w:val="auto"/>
          <w:sz w:val="18"/>
          <w:szCs w:val="18"/>
          <w:lang w:eastAsia="cs-CZ"/>
        </w:rPr>
        <w:softHyphen/>
        <w:t>né ve smlouvě</w:t>
      </w:r>
      <w:r w:rsidR="001B7357" w:rsidRPr="00EC30E2">
        <w:rPr>
          <w:rFonts w:ascii="NettoPro" w:eastAsia="Times New Roman" w:hAnsi="NettoPro" w:cs="NettoPro"/>
          <w:color w:val="auto"/>
          <w:sz w:val="18"/>
          <w:szCs w:val="18"/>
          <w:lang w:eastAsia="cs-CZ"/>
        </w:rPr>
        <w:t xml:space="preserve"> a/nebo (</w:t>
      </w:r>
      <w:r w:rsidR="001B7357" w:rsidRPr="00EC30E2">
        <w:rPr>
          <w:rFonts w:ascii="NettoPro" w:eastAsia="Times New Roman" w:hAnsi="NettoPro" w:cs="NettoPro"/>
          <w:b/>
          <w:color w:val="auto"/>
          <w:sz w:val="18"/>
          <w:szCs w:val="18"/>
          <w:lang w:eastAsia="cs-CZ"/>
        </w:rPr>
        <w:t>iii</w:t>
      </w:r>
      <w:r w:rsidR="001B7357" w:rsidRPr="00EC30E2">
        <w:rPr>
          <w:rFonts w:ascii="NettoPro" w:eastAsia="Times New Roman" w:hAnsi="NettoPro" w:cs="NettoPro"/>
          <w:color w:val="auto"/>
          <w:sz w:val="18"/>
          <w:szCs w:val="18"/>
          <w:lang w:eastAsia="cs-CZ"/>
        </w:rPr>
        <w:t xml:space="preserve">) zpřístupněním </w:t>
      </w:r>
      <w:r w:rsidR="0054456A" w:rsidRPr="00EC30E2">
        <w:rPr>
          <w:rFonts w:ascii="NettoPro" w:eastAsia="Times New Roman" w:hAnsi="NettoPro" w:cs="NettoPro"/>
          <w:color w:val="auto"/>
          <w:sz w:val="18"/>
          <w:szCs w:val="18"/>
          <w:lang w:eastAsia="cs-CZ"/>
        </w:rPr>
        <w:t>prostřednic</w:t>
      </w:r>
      <w:r w:rsidR="0054456A" w:rsidRPr="00EC30E2">
        <w:rPr>
          <w:rFonts w:ascii="NettoPro" w:eastAsia="Times New Roman" w:hAnsi="NettoPro" w:cs="NettoPro"/>
          <w:color w:val="auto"/>
          <w:sz w:val="18"/>
          <w:szCs w:val="18"/>
          <w:lang w:eastAsia="cs-CZ"/>
        </w:rPr>
        <w:softHyphen/>
        <w:t xml:space="preserve">tvím </w:t>
      </w:r>
      <w:r w:rsidR="006E64AA" w:rsidRPr="00EC30E2">
        <w:rPr>
          <w:rFonts w:ascii="NettoPro" w:eastAsia="Times New Roman" w:hAnsi="NettoPro" w:cs="NettoPro"/>
          <w:color w:val="auto"/>
          <w:sz w:val="18"/>
          <w:szCs w:val="18"/>
          <w:lang w:eastAsia="cs-CZ"/>
        </w:rPr>
        <w:t>online</w:t>
      </w:r>
      <w:r w:rsidR="0054456A" w:rsidRPr="00EC30E2">
        <w:rPr>
          <w:rFonts w:ascii="NettoPro" w:eastAsia="Times New Roman" w:hAnsi="NettoPro" w:cs="NettoPro"/>
          <w:color w:val="auto"/>
          <w:sz w:val="18"/>
          <w:szCs w:val="18"/>
          <w:lang w:eastAsia="cs-CZ"/>
        </w:rPr>
        <w:t xml:space="preserve"> </w:t>
      </w:r>
      <w:r w:rsidR="005F74E7" w:rsidRPr="00EC30E2">
        <w:rPr>
          <w:rFonts w:ascii="NettoPro" w:eastAsia="Times New Roman" w:hAnsi="NettoPro" w:cs="NettoPro"/>
          <w:color w:val="auto"/>
          <w:sz w:val="18"/>
          <w:szCs w:val="18"/>
          <w:lang w:eastAsia="cs-CZ"/>
        </w:rPr>
        <w:t>aplikace</w:t>
      </w:r>
      <w:r w:rsidR="00627FB0" w:rsidRPr="00EC30E2">
        <w:rPr>
          <w:rFonts w:ascii="NettoPro" w:eastAsia="Times New Roman" w:hAnsi="NettoPro" w:cs="NettoPro"/>
          <w:color w:val="auto"/>
          <w:sz w:val="18"/>
          <w:szCs w:val="18"/>
          <w:lang w:eastAsia="cs-CZ"/>
        </w:rPr>
        <w:t xml:space="preserve"> NewtonOne </w:t>
      </w:r>
      <w:r w:rsidR="006D387D" w:rsidRPr="00EC30E2">
        <w:rPr>
          <w:rFonts w:ascii="NettoPro" w:eastAsia="Times New Roman" w:hAnsi="NettoPro" w:cs="NettoPro"/>
          <w:color w:val="auto"/>
          <w:sz w:val="18"/>
          <w:szCs w:val="18"/>
          <w:lang w:eastAsia="cs-CZ"/>
        </w:rPr>
        <w:t>dostupné</w:t>
      </w:r>
      <w:r w:rsidR="0054456A" w:rsidRPr="00EC30E2">
        <w:rPr>
          <w:rFonts w:ascii="NettoPro" w:eastAsia="Times New Roman" w:hAnsi="NettoPro" w:cs="NettoPro"/>
          <w:color w:val="auto"/>
          <w:sz w:val="18"/>
          <w:szCs w:val="18"/>
          <w:lang w:eastAsia="cs-CZ"/>
        </w:rPr>
        <w:t xml:space="preserve"> </w:t>
      </w:r>
      <w:r w:rsidR="00E06CB1" w:rsidRPr="00EC30E2">
        <w:rPr>
          <w:rFonts w:ascii="NettoPro" w:eastAsia="Times New Roman" w:hAnsi="NettoPro" w:cs="NettoPro"/>
          <w:color w:val="auto"/>
          <w:sz w:val="18"/>
          <w:szCs w:val="18"/>
          <w:lang w:eastAsia="cs-CZ"/>
        </w:rPr>
        <w:t xml:space="preserve">na adrese </w:t>
      </w:r>
      <w:r w:rsidR="0054456A" w:rsidRPr="00EC30E2">
        <w:rPr>
          <w:rFonts w:ascii="NettoPro" w:eastAsia="Times New Roman" w:hAnsi="NettoPro" w:cs="NettoPro"/>
          <w:color w:val="auto"/>
          <w:sz w:val="18"/>
          <w:szCs w:val="18"/>
          <w:lang w:eastAsia="cs-CZ"/>
        </w:rPr>
        <w:t>specifiko</w:t>
      </w:r>
      <w:r w:rsidR="0054456A" w:rsidRPr="00EC30E2">
        <w:rPr>
          <w:rFonts w:ascii="NettoPro" w:eastAsia="Times New Roman" w:hAnsi="NettoPro" w:cs="NettoPro"/>
          <w:color w:val="auto"/>
          <w:sz w:val="18"/>
          <w:szCs w:val="18"/>
          <w:lang w:eastAsia="cs-CZ"/>
        </w:rPr>
        <w:softHyphen/>
        <w:t>va</w:t>
      </w:r>
      <w:r w:rsidR="0054456A" w:rsidRPr="00EC30E2">
        <w:rPr>
          <w:rFonts w:ascii="NettoPro" w:eastAsia="Times New Roman" w:hAnsi="NettoPro" w:cs="NettoPro"/>
          <w:color w:val="auto"/>
          <w:sz w:val="18"/>
          <w:szCs w:val="18"/>
          <w:lang w:eastAsia="cs-CZ"/>
        </w:rPr>
        <w:softHyphen/>
        <w:t>né ve smlouvě</w:t>
      </w:r>
      <w:r w:rsidRPr="00EC30E2">
        <w:rPr>
          <w:rFonts w:ascii="NettoPro" w:eastAsia="Times New Roman" w:hAnsi="NettoPro" w:cs="NettoPro"/>
          <w:color w:val="auto"/>
          <w:sz w:val="18"/>
          <w:szCs w:val="18"/>
          <w:lang w:eastAsia="cs-CZ"/>
        </w:rPr>
        <w:t>; dodáním je i zaslání na e</w:t>
      </w:r>
      <w:r w:rsidRPr="00EC30E2">
        <w:rPr>
          <w:rFonts w:ascii="NettoPro" w:eastAsia="Times New Roman" w:hAnsi="NettoPro" w:cs="NettoPro"/>
          <w:color w:val="auto"/>
          <w:sz w:val="18"/>
          <w:szCs w:val="18"/>
          <w:lang w:eastAsia="cs-CZ"/>
        </w:rPr>
        <w:noBreakHyphen/>
        <w:t>mailovou adresu odběra</w:t>
      </w:r>
      <w:r w:rsidRPr="00EC30E2">
        <w:rPr>
          <w:rFonts w:ascii="NettoPro" w:eastAsia="Times New Roman" w:hAnsi="NettoPro" w:cs="NettoPro"/>
          <w:color w:val="auto"/>
          <w:sz w:val="18"/>
          <w:szCs w:val="18"/>
          <w:lang w:eastAsia="cs-CZ"/>
        </w:rPr>
        <w:softHyphen/>
        <w:t>tele nebo adresu sídla odběratele nebo jinou adresu odběratele, pokud to strany ve smlouvě výslovně sjednají.</w:t>
      </w:r>
      <w:bookmarkEnd w:id="7"/>
    </w:p>
    <w:p w14:paraId="29CFE07A"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PRÁVA A POVINNOSTI DODAVATELE</w:t>
      </w:r>
    </w:p>
    <w:p w14:paraId="26E3845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se zavazuje plnit své závazky řádně a včas v souladu se smlouvou.</w:t>
      </w:r>
    </w:p>
    <w:p w14:paraId="01588CD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je odpovědný za to, že rozsah a podmínky plnění poskytovaného odběrateli jsou v souladu se smlouvou.</w:t>
      </w:r>
    </w:p>
    <w:p w14:paraId="3D1F02E5" w14:textId="75F28DA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není za prodlení s plněním svých závazků odpovědný, pokud sám prodlení nezpůsobil, zejména v případech, kdy k prodlení došlo v důsledku prodlení odběratele nebo v důsledku mimořádné, nepředvídatelné a nepřekonatelné překážky vzniklé nezávisle na vůli dodavatele, která mu zabránila ve včasném plnění jeho závazků</w:t>
      </w:r>
    </w:p>
    <w:p w14:paraId="69BEE448"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neodpovídá za prodlení s plněním smlouvy, pokud je způsobeno prodlením vydavatele, provozovatele rozhlasového či televizního vysílání, provozovatele příslušného webového serveru či jiného zdroje/poskytovatele mediálních titulů (dále jen „</w:t>
      </w:r>
      <w:r w:rsidRPr="00EC30E2">
        <w:rPr>
          <w:rFonts w:ascii="NettoPro" w:eastAsia="Times New Roman" w:hAnsi="NettoPro" w:cs="NettoPro"/>
          <w:b/>
          <w:color w:val="auto"/>
          <w:sz w:val="18"/>
          <w:szCs w:val="18"/>
          <w:lang w:eastAsia="cs-CZ"/>
        </w:rPr>
        <w:t>poskytovatel mediálního titulu</w:t>
      </w:r>
      <w:r w:rsidRPr="00EC30E2">
        <w:rPr>
          <w:rFonts w:ascii="NettoPro" w:eastAsia="Times New Roman" w:hAnsi="NettoPro" w:cs="NettoPro"/>
          <w:color w:val="auto"/>
          <w:sz w:val="18"/>
          <w:szCs w:val="18"/>
          <w:lang w:eastAsia="cs-CZ"/>
        </w:rPr>
        <w:t>“). Dodavatel neodpovídá za prodlení s plněním smlouvy ani v případě, je-li způsobeno vyšší mocí, za niž se považuje např. výpadek elektrického proudu, připojení k elektro</w:t>
      </w:r>
      <w:r w:rsidRPr="00EC30E2">
        <w:rPr>
          <w:rFonts w:ascii="NettoPro" w:eastAsia="Times New Roman" w:hAnsi="NettoPro" w:cs="NettoPro"/>
          <w:color w:val="auto"/>
          <w:sz w:val="18"/>
          <w:szCs w:val="18"/>
          <w:lang w:eastAsia="cs-CZ"/>
        </w:rPr>
        <w:softHyphen/>
        <w:t>nic</w:t>
      </w:r>
      <w:r w:rsidRPr="00EC30E2">
        <w:rPr>
          <w:rFonts w:ascii="NettoPro" w:eastAsia="Times New Roman" w:hAnsi="NettoPro" w:cs="NettoPro"/>
          <w:color w:val="auto"/>
          <w:sz w:val="18"/>
          <w:szCs w:val="18"/>
          <w:lang w:eastAsia="cs-CZ"/>
        </w:rPr>
        <w:softHyphen/>
        <w:t>ké komunikační síti apod. V takovém případě poskytne dodavatel plnění, které nemohl poskytnout z důvodu takového prodlení, bez zbytečného odkladu poté, kdy taková překážka odpadne v souladu s těmito Podmínkami.</w:t>
      </w:r>
    </w:p>
    <w:p w14:paraId="5B48825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neodpovídá za obsahovou stránku Výstupů, Výsledků nebo dat, zejména za jejich pravdivost a úplnost, neboť toto zcela závisí na informacích zveřejněných v mediálních titulech příslušnými vydavateli, stejně jako dodavatel neodpovídá za obsahovou stránku překladů, zejména za jejich pravdivost a úplnost, neboť ji zajišťuje výhradně pomocí externích spolupracovníků, což tímto bere odběratel na vědomí. Dodavatel neodpovídá za porušení práv třetích osob, ani za porušení autorských práv či jiných nehmotných statků.</w:t>
      </w:r>
    </w:p>
    <w:p w14:paraId="07BCF177"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14:paraId="76881BF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předmětem smlouvy dodávání MONITORINGU ZPRÁV, která zahrnuje agenturní zpravodajství ČTK, odběratel souhlasí s tím, aby dodavatel za účelem plnění svých smluvních závazků vůči České tiskové kanceláře (dále jen „</w:t>
      </w:r>
      <w:r w:rsidRPr="00EC30E2">
        <w:rPr>
          <w:rFonts w:ascii="NettoPro" w:eastAsia="Times New Roman" w:hAnsi="NettoPro" w:cs="NettoPro"/>
          <w:b/>
          <w:color w:val="auto"/>
          <w:sz w:val="18"/>
          <w:szCs w:val="18"/>
          <w:lang w:eastAsia="cs-CZ"/>
        </w:rPr>
        <w:t>ČTK</w:t>
      </w:r>
      <w:r w:rsidRPr="00EC30E2">
        <w:rPr>
          <w:rFonts w:ascii="NettoPro" w:eastAsia="Times New Roman" w:hAnsi="NettoPro" w:cs="NettoPro"/>
          <w:color w:val="auto"/>
          <w:sz w:val="18"/>
          <w:szCs w:val="18"/>
          <w:lang w:eastAsia="cs-CZ"/>
        </w:rPr>
        <w:t>“) poskytoval údaje o odběrateli ČTK v souladu s podmínkami ČTK, a to výhradně v rozsahu specifikace odběratele, rozsahu zpravodajství ČTK, periodicitě zasílání zpravodajství ČTK, výše odměny za poskytování MONITORINGU ZPRÁV, jakož i o termínech úhrady této odměny dodavateli.</w:t>
      </w:r>
      <w:bookmarkStart w:id="8" w:name="_Ref252253326"/>
    </w:p>
    <w:p w14:paraId="5EA70790"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předmětem smlouvy dodávání Výstupů zpravodajství TNbiz.cz převzatých ze společnosti CET 21 spol. s r.o., IČ: 45800456 (dále jen „</w:t>
      </w:r>
      <w:r w:rsidRPr="00EC30E2">
        <w:rPr>
          <w:rFonts w:ascii="NettoPro" w:eastAsia="Times New Roman" w:hAnsi="NettoPro" w:cs="NettoPro"/>
          <w:b/>
          <w:bCs/>
          <w:color w:val="auto"/>
          <w:sz w:val="18"/>
          <w:szCs w:val="18"/>
          <w:lang w:eastAsia="cs-CZ"/>
        </w:rPr>
        <w:t>CET 21</w:t>
      </w:r>
      <w:r w:rsidRPr="00EC30E2">
        <w:rPr>
          <w:rFonts w:ascii="NettoPro" w:eastAsia="Times New Roman" w:hAnsi="NettoPro" w:cs="NettoPro"/>
          <w:color w:val="auto"/>
          <w:sz w:val="18"/>
          <w:szCs w:val="18"/>
          <w:lang w:eastAsia="cs-CZ"/>
        </w:rPr>
        <w:t>“), odběratel souhlasí s tím, aby dodavatel za účelem plnění svých smluvních závazků vůči společnosti CET 21 poskytoval údaje o odběrateli společnosti CET 21 v souladu s podmínkami CET 21, a to výhradně v rozsahu specifikace odběratele, rozsahu Výstupů TNbiz.cz, periodicitě zasílání Výstupů TNbiz.cz, výše odměny za poskytování Výstupů TNbiz.cz, jakož i o termínech úhrady této odměny dodavateli.</w:t>
      </w:r>
    </w:p>
    <w:p w14:paraId="48D9F7F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je ve výjimečných případech oprávněn písemným oznámením (vč. prostředků el. komunikace) doručeným odběrateli omezit nebo vyloučit právo odběratele užívat konkrétní Výstupy, Výsledky nebo data či jejich části, poskytnuté na základě smlouvy, zejména vyjde-li dodatečně najevo, že dalším užíváním by došlo k porušení práv třetích osob, či zájmů zvláštního zřetele hodných. Právo dodavatele dle tohoto ustanovení lze uplatnit výhradně k takové části Výstupu, Výsledku či dat, s nimiž nelze s ohledem na práva třetích osob dále nakládat.</w:t>
      </w:r>
      <w:bookmarkEnd w:id="8"/>
    </w:p>
    <w:p w14:paraId="6D0A20E8"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PRÁVA A POVINNOSTI ODBĚRATELE</w:t>
      </w:r>
    </w:p>
    <w:p w14:paraId="389D593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se zavazuje plnit své závazky řádně a včas v souladu se smlouvou.</w:t>
      </w:r>
    </w:p>
    <w:p w14:paraId="07758E3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má právo využívat Výstupy a data poskytované mu dodavatelem a/nebo Výsledky pouze pro sebe a svou vnitřní potřebu a respektovat při jejich využívání všechny závazky převzaté podle smlouvy i dané obecně závaznými předpisy.</w:t>
      </w:r>
    </w:p>
    <w:p w14:paraId="43DCD28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se zavazuje bez předchozího písemného souhlasu dodavatele nepostoupit ani jinak nepředávat Výstupy, Výsledky a data nebo jejich části v jakékoli podobě, zejména není oprávněn je dále rozmnožovat, rozšiřovat, pronajímat, půjčovat, vystavovat či jakýmkoli jiným způsobem sdělovat veřejnosti nebo jakkoli zveřejňovat či zpřístupňovat třetím osobám, za které se považují nejen fyzické a právnické osoby, ale i jejich společníci nebo členové či organizační složky státu a příspěvkové organizace. Sdělováním veřejnosti a zveřejněním se rozumí i zpřístupňování Výstupů, Výsledků nebo dat v počítačové síti Internet nebo v jiné obdobné síti prostředky komunikace na </w:t>
      </w:r>
      <w:r w:rsidRPr="00EC30E2">
        <w:rPr>
          <w:rFonts w:ascii="NettoPro" w:eastAsia="Times New Roman" w:hAnsi="NettoPro" w:cs="NettoPro"/>
          <w:color w:val="auto"/>
          <w:sz w:val="18"/>
          <w:szCs w:val="18"/>
          <w:lang w:eastAsia="cs-CZ"/>
        </w:rPr>
        <w:lastRenderedPageBreak/>
        <w:t>dálku. 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dnů od doručení výzvy dodavatele k její úhradě. Dodavatel je oprávněn v případě zjištění takového porušení rovněž odstoupit od smlouvy.</w:t>
      </w:r>
    </w:p>
    <w:p w14:paraId="09847D80"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se zavazuje, že bude chránit obsah Výstupů a/nebo Výsledků a/nebo dat před neoprávněným užitím ze strany třetích osob.</w:t>
      </w:r>
    </w:p>
    <w:p w14:paraId="3ACF5AC9"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bere na vědomí, že obsah a struktura Výstupů, Výsledků nebo dat jakož i databáze a informace v ní obsažené jsou chráněny zákonem č. 121/2000 Sb., o právu autorském, o právech souvisejících s právem autorským a o změně některých zákonů (autorský zákon), ve znění pozdějších předpisů (dále jen </w:t>
      </w:r>
      <w:r w:rsidRPr="00EC30E2">
        <w:rPr>
          <w:rFonts w:ascii="NettoPro" w:eastAsia="Times New Roman" w:hAnsi="NettoPro" w:cs="NettoPro"/>
          <w:b/>
          <w:color w:val="auto"/>
          <w:sz w:val="18"/>
          <w:szCs w:val="18"/>
          <w:lang w:eastAsia="cs-CZ"/>
        </w:rPr>
        <w:t>„autorský zákon“</w:t>
      </w:r>
      <w:r w:rsidRPr="00EC30E2">
        <w:rPr>
          <w:rFonts w:ascii="NettoPro" w:eastAsia="Times New Roman" w:hAnsi="NettoPro" w:cs="NettoPro"/>
          <w:color w:val="auto"/>
          <w:sz w:val="18"/>
          <w:szCs w:val="18"/>
          <w:lang w:eastAsia="cs-CZ"/>
        </w:rPr>
        <w:t>). Užití obsahu Výstupů, Výsledků, nebo dat jakož i jejich částí nad sjednaný rámec, případně nad rámec zákonných licencí dle autorského zákona, je neoprávněným zásahem do práv chráněných autorským zákonem, za který odběratel odpovídá ve smyslu právních předpisů.</w:t>
      </w:r>
    </w:p>
    <w:p w14:paraId="3FDAAF3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bere na vědomí, že omezení týkající se nakládání s Výstupy, Výsledky, nebo daty stanovená smlouvou, vyplývají ze smluvních závazků dodavatele jako zpracovatele informací vůči primárním poskytovatelům mediálních titulů. S ohledem na to bere odběratel na vědomí, že porušením těchto omezení může dojít k porušení práv třetích stran, a tím ke vzniku škody značného rozsahu na straně dodavatele jako smluvního partnera těchto třetích stran, přičemž taková škoda pak jde k tíži odběratele.</w:t>
      </w:r>
    </w:p>
    <w:p w14:paraId="43804418"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může v případě nedodání Výstupu nebo dat v souladu se smlouvou požádat dodavatele e-mailem na elektronickou adresu: </w:t>
      </w:r>
      <w:r w:rsidRPr="00EC30E2">
        <w:rPr>
          <w:rFonts w:ascii="NettoPro" w:eastAsia="Times New Roman" w:hAnsi="NettoPro" w:cs="NettoPro"/>
          <w:b/>
          <w:color w:val="auto"/>
          <w:sz w:val="18"/>
          <w:szCs w:val="18"/>
          <w:lang w:eastAsia="cs-CZ"/>
        </w:rPr>
        <w:t>obchodni@newtonmedia.cz</w:t>
      </w:r>
      <w:r w:rsidRPr="00EC30E2">
        <w:rPr>
          <w:rFonts w:ascii="NettoPro" w:eastAsia="Times New Roman" w:hAnsi="NettoPro" w:cs="NettoPro"/>
          <w:color w:val="auto"/>
          <w:sz w:val="18"/>
          <w:szCs w:val="18"/>
          <w:lang w:eastAsia="cs-CZ"/>
        </w:rPr>
        <w:t xml:space="preserve"> o opa</w:t>
      </w:r>
      <w:r w:rsidRPr="00EC30E2">
        <w:rPr>
          <w:rFonts w:ascii="NettoPro" w:eastAsia="Times New Roman" w:hAnsi="NettoPro" w:cs="NettoPro"/>
          <w:color w:val="auto"/>
          <w:sz w:val="18"/>
          <w:szCs w:val="18"/>
          <w:lang w:eastAsia="cs-CZ"/>
        </w:rPr>
        <w:softHyphen/>
        <w:t>ko</w:t>
      </w:r>
      <w:r w:rsidRPr="00EC30E2">
        <w:rPr>
          <w:rFonts w:ascii="NettoPro" w:eastAsia="Times New Roman" w:hAnsi="NettoPro" w:cs="NettoPro"/>
          <w:color w:val="auto"/>
          <w:sz w:val="18"/>
          <w:szCs w:val="18"/>
          <w:lang w:eastAsia="cs-CZ"/>
        </w:rPr>
        <w:softHyphen/>
        <w:t>va</w:t>
      </w:r>
      <w:r w:rsidRPr="00EC30E2">
        <w:rPr>
          <w:rFonts w:ascii="NettoPro" w:eastAsia="Times New Roman" w:hAnsi="NettoPro" w:cs="NettoPro"/>
          <w:color w:val="auto"/>
          <w:sz w:val="18"/>
          <w:szCs w:val="18"/>
          <w:lang w:eastAsia="cs-CZ"/>
        </w:rPr>
        <w:softHyphen/>
        <w:t>né dodání Výstupu nebo dat. Pokud dodavatel neobdrží výzvu k opakovanému dodání Výstupu nebo dat dat dle předchozí věty do dvou (2) dnů od termínu dodání dle smlouvy, považuje se Výstup nebo data za řádně a včas dodané. Dodavatel je povinen provést opakované dodání nedodaného Výstupu nebo dat spolu s další pravidelnou dodávkou Výstupu nebo dat následující po včas doručené výzvě k opakovanému dodání Výstupu nebo dat.</w:t>
      </w:r>
    </w:p>
    <w:p w14:paraId="2AC11D45"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bere na vědomí, že dodavatel je výhradním nositelem a vykonavatelem majetkových autorských práv ve vztahu k jakémukoliv software určenému pro plnění smlouvy poskytnutému odběrateli dodavatelem. Odběratel je oprávněn užít takový software jen pro účely plnění smlouvy, v souladu se smlouvou a po dobu její účinnosti. Jakékoliv jiné užití takovéhoto software je zakázáno, není-li ve smlouvě uvedeno jinak.</w:t>
      </w:r>
    </w:p>
    <w:p w14:paraId="4D8C9DA8"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ZMĚNY ROZSAHU MEDIÁLNÍCH TITULŮ</w:t>
      </w:r>
      <w:bookmarkStart w:id="9" w:name="_Ref252197053"/>
    </w:p>
    <w:p w14:paraId="26891BB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10" w:name="_Ref252368515"/>
      <w:r w:rsidRPr="00EC30E2">
        <w:rPr>
          <w:rFonts w:ascii="NettoPro" w:eastAsia="Times New Roman" w:hAnsi="NettoPro" w:cs="NettoPro"/>
          <w:color w:val="auto"/>
          <w:sz w:val="18"/>
          <w:szCs w:val="18"/>
          <w:lang w:eastAsia="cs-CZ"/>
        </w:rPr>
        <w:t xml:space="preserve">Vzhledem k tomu, že rozsah mediálních titulů, které jsou předmětem produktů dodavatele, je dynamický a v průběhu trvání smlouvy se může měnit, není změna rozsahu mediálních titulů, k níž dojde z příčin nezávislých na </w:t>
      </w:r>
      <w:r w:rsidRPr="00EC30E2">
        <w:rPr>
          <w:rFonts w:ascii="NettoPro" w:eastAsia="Times New Roman" w:hAnsi="NettoPro" w:cs="NettoPro"/>
          <w:color w:val="auto"/>
          <w:sz w:val="18"/>
          <w:szCs w:val="18"/>
          <w:lang w:eastAsia="cs-CZ"/>
        </w:rPr>
        <w:lastRenderedPageBreak/>
        <w:t>smluvních stranách (např. z rozhodnutí poskytovatele mediálního titulu), považována za změnu smlouvy.</w:t>
      </w:r>
      <w:bookmarkEnd w:id="9"/>
      <w:bookmarkEnd w:id="10"/>
    </w:p>
    <w:p w14:paraId="74F8DB3F" w14:textId="22A57DDC"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V případě, že dojde k takové změně rozsahu mediálních titulů dle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_Ref252368515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5C1094" w:rsidRPr="005C1094">
        <w:rPr>
          <w:rFonts w:ascii="NettoPro" w:eastAsia="Times New Roman" w:hAnsi="NettoPro" w:cs="NettoPro"/>
          <w:color w:val="auto"/>
          <w:sz w:val="18"/>
          <w:szCs w:val="18"/>
          <w:lang w:eastAsia="cs-CZ"/>
        </w:rPr>
        <w:t>5.1</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18"/>
          <w:szCs w:val="18"/>
          <w:lang w:eastAsia="cs-CZ"/>
        </w:rPr>
        <w:t>, která nemá zásadní dopad na vypovídací hodnotu produktu dodavatele (dále jen „</w:t>
      </w:r>
      <w:r w:rsidRPr="00EC30E2">
        <w:rPr>
          <w:rFonts w:ascii="NettoPro" w:eastAsia="Times New Roman" w:hAnsi="NettoPro" w:cs="NettoPro"/>
          <w:b/>
          <w:color w:val="auto"/>
          <w:sz w:val="18"/>
          <w:szCs w:val="18"/>
          <w:lang w:eastAsia="cs-CZ"/>
        </w:rPr>
        <w:t>nepodstatné kvantitativní změny</w:t>
      </w:r>
      <w:r w:rsidRPr="00EC30E2">
        <w:rPr>
          <w:rFonts w:ascii="NettoPro" w:eastAsia="Times New Roman" w:hAnsi="NettoPro" w:cs="NettoPro"/>
          <w:color w:val="auto"/>
          <w:sz w:val="18"/>
          <w:szCs w:val="18"/>
          <w:lang w:eastAsia="cs-CZ"/>
        </w:rPr>
        <w:t>“), nemá takováto změna vliv na dohodnutou cenu plnění dodavatele ani na ostatní plnění dle smlouvy. Za nepodstatnou kvantitativní změnu se považuje změna (nárůst nebo zmenšení) rozsahu mediálních titulů menší nebo rovné 10 % původně sjednaného rozsahu.</w:t>
      </w:r>
    </w:p>
    <w:p w14:paraId="0A0000B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Dojde-li nikoliv nepodstatnou kvantitativní změnou ke snížení rozsahu mediálních titulů, má odběratel nárok na přiměřenou slevu z ceny plnění. V případě nikoliv nepodstatné kvantitativní změny provedou dodavatel a odběratel úpravu ceny uzavřením dodatku ke smlouvě, a to do třiceti (30) dnů ode dne, kdy k tomu jedna smluvní strana písemně vyzve druhou smluvní stranu. Marným uplynutím této lhůty vzniká oběma smluvním stranám právo vypovědět smlouvu se zkrácenou výpovědní dobou v trvání třiceti (30) dnů. Toto právo jeho neuplatněním ve lhůtě třiceti (30) dnů zanikne.</w:t>
      </w:r>
    </w:p>
    <w:p w14:paraId="3D274311"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ODMĚNA A PLATEBNÍ PODMÍNKY</w:t>
      </w:r>
    </w:p>
    <w:p w14:paraId="2644C8E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Není-li ve smlouvě uvedeno jinak, je odměna uvedena vždy bez příslušné daně z přidané hodnoty (dále jen „</w:t>
      </w:r>
      <w:r w:rsidRPr="00EC30E2">
        <w:rPr>
          <w:rFonts w:ascii="NettoPro" w:eastAsia="Times New Roman" w:hAnsi="NettoPro" w:cs="NettoPro"/>
          <w:b/>
          <w:color w:val="auto"/>
          <w:sz w:val="18"/>
          <w:szCs w:val="18"/>
          <w:lang w:eastAsia="cs-CZ"/>
        </w:rPr>
        <w:t>DPH</w:t>
      </w:r>
      <w:r w:rsidRPr="00EC30E2">
        <w:rPr>
          <w:rFonts w:ascii="NettoPro" w:eastAsia="Times New Roman" w:hAnsi="NettoPro" w:cs="NettoPro"/>
          <w:color w:val="auto"/>
          <w:sz w:val="18"/>
          <w:szCs w:val="18"/>
          <w:lang w:eastAsia="cs-CZ"/>
        </w:rPr>
        <w:t>“). Odměna je splatná ve výši specifikované ve smlouvě spolu s příslušnou sazbou DPH na účet dodavatele na základě daňového dokladu vystaveného dodavatelem. Daňový doklad musí splňovat náležitosti dané ustanovením § 29 zákona č. 235/2004 Sb., o dani z přidané hodnoty, ve znění pozdějších předpisů.</w:t>
      </w:r>
    </w:p>
    <w:p w14:paraId="37DD1F90"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11" w:name="_Ref252203994"/>
      <w:r w:rsidRPr="00EC30E2">
        <w:rPr>
          <w:rFonts w:ascii="NettoPro" w:eastAsia="Times New Roman" w:hAnsi="NettoPro" w:cs="NettoPro"/>
          <w:color w:val="auto"/>
          <w:sz w:val="18"/>
          <w:szCs w:val="18"/>
          <w:lang w:eastAsia="cs-CZ"/>
        </w:rPr>
        <w:t>Splatnost odměny je čtrnáct (14) dnů ode dne doručení daňového dokladu odběrateli.</w:t>
      </w:r>
      <w:bookmarkEnd w:id="11"/>
    </w:p>
    <w:p w14:paraId="3910ADA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Nebude-li daňový doklad obsahovat zákonem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4FE1DCEB"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smlouva uzavřena na dobu delší než jeden (1) rok nebo na dobu neurčitou,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(12) posledních měsíců proti průměru dvanácti (12) předchozích měsíců. Míra roční inflace bude stanovena na základě údajů zveřejněných Českým statistickým úřadem. Zvýšení bude účinné od prvního (1.) dne kalendářního měsíce následujícího po doručení oznámení o zvýšení odměny odběrateli.</w:t>
      </w:r>
    </w:p>
    <w:p w14:paraId="26E4FEA3"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14:paraId="3A096FD5"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OBCHODNÍ TAJEMSTVÍ A DŮVĚRNÉ INFORMACE</w:t>
      </w:r>
    </w:p>
    <w:p w14:paraId="17141633"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14:paraId="78A4518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Za důvěrné informace se považují všechny informace, která jedna ze stran jako důvěrné označí.</w:t>
      </w:r>
    </w:p>
    <w:p w14:paraId="52D7BDCB"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Každá smluvní strana se zavazuje zachovat v tajnosti obchodní tajemství a důvěrné informace druhé smluvní strany. Smluvní strany se zejména zavazují, že neužijí ve svůj prospěch ani ve prospěch třetí osoby ani nezpřístupní třetí osobě obchodní tajemství ani důvěrné informace, které při plnění smlouvy získaly od druhé smluvní strany, nestanoví-li smlouva výslovně jinak.</w:t>
      </w:r>
    </w:p>
    <w:p w14:paraId="3998FF5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Obě smluvní strany se zavazují chránit důvěrné informace, které jim byly poskytnuty druhou stranou nebo je jinak získaly v souvislosti s plněním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14:paraId="3D89A53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Povinnost utajovat obchodní tajemství a důvěrné informace dle tohoto článku a Podmínek zavazuje smluvní strany po dobu účinnosti smlouvy a po dobu dvou (2) let po zániku účinnosti smlouvy. Smluvní strany dále zavazují chránit obchodní tajemství, jakož i důvěrné informace i po uplynutí doby uvedené v první větě tohoto ustanovení, a to v souladu s příslušnými právními předpisy, ledaže by tyto informace ztratily charakter obchodního tajemství či důvěrných informací</w:t>
      </w:r>
    </w:p>
    <w:p w14:paraId="64934627"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ŘEŠENÍ SPORŮ</w:t>
      </w:r>
    </w:p>
    <w:p w14:paraId="00F741F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se zavazují vyvinout maximální úsilí k odstranění vzájemných sporů vzniklých na základě smlouvy nebo v souvislosti s ní a k jejich vyřešení zejména prostřednictvím jednání pověřených zástupců.</w:t>
      </w:r>
    </w:p>
    <w:p w14:paraId="28A9E3D1"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KONTAKTNÍ OSOBY</w:t>
      </w:r>
    </w:p>
    <w:p w14:paraId="189588EB" w14:textId="698EF938"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jmenují kontaktní osobu, popř. jednoho či více zástupců kontaktní osoby (dále jen „</w:t>
      </w:r>
      <w:r w:rsidRPr="00EC30E2">
        <w:rPr>
          <w:rFonts w:ascii="NettoPro" w:eastAsia="Times New Roman" w:hAnsi="NettoPro" w:cs="NettoPro"/>
          <w:b/>
          <w:color w:val="auto"/>
          <w:sz w:val="18"/>
          <w:szCs w:val="18"/>
          <w:lang w:eastAsia="cs-CZ"/>
        </w:rPr>
        <w:t>kontaktní osoby</w:t>
      </w:r>
      <w:r w:rsidRPr="00EC30E2">
        <w:rPr>
          <w:rFonts w:ascii="NettoPro" w:eastAsia="Times New Roman" w:hAnsi="NettoPro" w:cs="NettoPro"/>
          <w:color w:val="auto"/>
          <w:sz w:val="18"/>
          <w:szCs w:val="18"/>
          <w:lang w:eastAsia="cs-CZ"/>
        </w:rPr>
        <w:t xml:space="preserve">“). Kontaktní osoby budou zastupovat smluvní strany v obchodních a technických záležitostech souvisejících s plněním dle smlouvy. Kontaktní osoby budou zejména přijímat plnění a poskytovat informace o průběhu poskytování plnění dle smlouvy. Jednotlivé objednávky ve smyslu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_Ref254948681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5C1094" w:rsidRPr="005C1094">
        <w:rPr>
          <w:rFonts w:ascii="NettoPro" w:eastAsia="Times New Roman" w:hAnsi="NettoPro" w:cs="NettoPro"/>
          <w:color w:val="auto"/>
          <w:sz w:val="18"/>
          <w:szCs w:val="18"/>
          <w:lang w:eastAsia="cs-CZ"/>
        </w:rPr>
        <w:t>1.3</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22"/>
          <w:szCs w:val="24"/>
          <w:lang w:eastAsia="cs-CZ"/>
        </w:rPr>
        <w:t xml:space="preserve"> </w:t>
      </w:r>
      <w:r w:rsidRPr="00EC30E2">
        <w:rPr>
          <w:rFonts w:ascii="NettoPro" w:eastAsia="Times New Roman" w:hAnsi="NettoPro" w:cs="NettoPro"/>
          <w:color w:val="auto"/>
          <w:sz w:val="18"/>
          <w:szCs w:val="18"/>
          <w:lang w:eastAsia="cs-CZ"/>
        </w:rPr>
        <w:t>těchto Podmínek</w:t>
      </w:r>
      <w:r w:rsidRPr="00EC30E2">
        <w:rPr>
          <w:rFonts w:ascii="NettoPro" w:eastAsia="Times New Roman" w:hAnsi="NettoPro" w:cs="NettoPro"/>
          <w:color w:val="auto"/>
          <w:sz w:val="22"/>
          <w:szCs w:val="24"/>
          <w:lang w:eastAsia="cs-CZ"/>
        </w:rPr>
        <w:t xml:space="preserve"> </w:t>
      </w:r>
      <w:r w:rsidRPr="00EC30E2">
        <w:rPr>
          <w:rFonts w:ascii="NettoPro" w:eastAsia="Times New Roman" w:hAnsi="NettoPro" w:cs="NettoPro"/>
          <w:color w:val="auto"/>
          <w:sz w:val="18"/>
          <w:szCs w:val="18"/>
          <w:lang w:eastAsia="cs-CZ"/>
        </w:rPr>
        <w:t>má na starosti kontaktní osoba, která je uvedena v příslušné objednávce.</w:t>
      </w:r>
    </w:p>
    <w:p w14:paraId="3BB262F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Kontaktní osoby budou oprávněny činit rozhodnutí závazná pro smluvní strany ve vztahu k plnění povinností vyplývajících ze smlouvy, nejsou-li však statutárními orgány, nejsou oprávněny provádět změny ani rušení smlouvy, nebude-li jim udělena speciální plná moc.</w:t>
      </w:r>
    </w:p>
    <w:p w14:paraId="458C94A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Jména kontaktních osob jsou uvedena v příloze smlouvy.</w:t>
      </w:r>
    </w:p>
    <w:p w14:paraId="3D2EF1A7"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jsou oprávněny jednostranně změnit kontaktní osoby. Tato změna je účinná ode dne doručení oznámení o změně druhé smluvní straně.</w:t>
      </w:r>
    </w:p>
    <w:p w14:paraId="4CF97599"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TRVÁNÍ SMLUVNÍHO VZTAHU</w:t>
      </w:r>
    </w:p>
    <w:p w14:paraId="192157E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Smlouva se uzavírá na dobu uvedenou ve smlouvě. Není-li ve smlouvě uvedeno jinak, je smlouva uzavřená na dobu neurčitou.</w:t>
      </w:r>
    </w:p>
    <w:p w14:paraId="2F372E23" w14:textId="2226B66B"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Smlouvu </w:t>
      </w:r>
      <w:r w:rsidR="00531A82">
        <w:rPr>
          <w:rFonts w:ascii="NettoPro" w:eastAsia="Times New Roman" w:hAnsi="NettoPro" w:cs="NettoPro"/>
          <w:color w:val="auto"/>
          <w:sz w:val="18"/>
          <w:szCs w:val="18"/>
          <w:lang w:eastAsia="cs-CZ"/>
        </w:rPr>
        <w:t xml:space="preserve">uzavřenou na dobu neurčitou </w:t>
      </w:r>
      <w:r w:rsidRPr="00EC30E2">
        <w:rPr>
          <w:rFonts w:ascii="NettoPro" w:eastAsia="Times New Roman" w:hAnsi="NettoPro" w:cs="NettoPro"/>
          <w:color w:val="auto"/>
          <w:sz w:val="18"/>
          <w:szCs w:val="18"/>
          <w:lang w:eastAsia="cs-CZ"/>
        </w:rPr>
        <w:t xml:space="preserve">může kterákoliv ze smluvních stran písemně vypovědět. Výpovědní lhůta je </w:t>
      </w:r>
      <w:r w:rsidR="00531A82">
        <w:rPr>
          <w:rFonts w:ascii="NettoPro" w:eastAsia="Times New Roman" w:hAnsi="NettoPro" w:cs="NettoPro"/>
          <w:color w:val="auto"/>
          <w:sz w:val="18"/>
          <w:szCs w:val="18"/>
          <w:lang w:eastAsia="cs-CZ"/>
        </w:rPr>
        <w:t xml:space="preserve">v takovém případě </w:t>
      </w:r>
      <w:r w:rsidRPr="00EC30E2">
        <w:rPr>
          <w:rFonts w:ascii="NettoPro" w:eastAsia="Times New Roman" w:hAnsi="NettoPro" w:cs="NettoPro"/>
          <w:color w:val="auto"/>
          <w:sz w:val="18"/>
          <w:szCs w:val="18"/>
          <w:lang w:eastAsia="cs-CZ"/>
        </w:rPr>
        <w:t>dvouměsíční a počíná běžet prvního (1.) dne kalendářního měsíce následujícího po doručení výpovědi druhé smluvní straně.</w:t>
      </w:r>
    </w:p>
    <w:p w14:paraId="72F1C509" w14:textId="53E42C65"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Je-li v objednávce ve smyslu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_Ref254948681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5C1094" w:rsidRPr="005C1094">
        <w:rPr>
          <w:rFonts w:ascii="NettoPro" w:eastAsia="Times New Roman" w:hAnsi="NettoPro" w:cs="NettoPro"/>
          <w:color w:val="auto"/>
          <w:sz w:val="18"/>
          <w:szCs w:val="18"/>
          <w:lang w:eastAsia="cs-CZ"/>
        </w:rPr>
        <w:t>1.3</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18"/>
          <w:szCs w:val="18"/>
          <w:lang w:eastAsia="cs-CZ"/>
        </w:rPr>
        <w:t xml:space="preserve"> těchto Podmínek uvedeno, že se uzavírá do odvolání anebo není-li tam uveden žádný údaj ve smyslu tohoto ustanovení, jedná se o smlouvu uzavřenou na dobu neurčitou, kterou může kterákoliv ze smluvních stran vypovědět, a to výpovědí zaslanou druhé smluvní straně písemně, e-mailem nebo faxem. Článek 10.2. se pak použije přiměřeně.</w:t>
      </w:r>
    </w:p>
    <w:p w14:paraId="4020DFAF" w14:textId="2FFDDC2D"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může od smlouvy odstoupit, pokud odběratel užije Výstup, Výsledek, nebo data v rozporu se smlouvou.</w:t>
      </w:r>
      <w:r w:rsidR="00BD40BE">
        <w:rPr>
          <w:rFonts w:ascii="NettoPro" w:eastAsia="Times New Roman" w:hAnsi="NettoPro" w:cs="NettoPro"/>
          <w:color w:val="auto"/>
          <w:sz w:val="18"/>
          <w:szCs w:val="18"/>
          <w:lang w:eastAsia="cs-CZ"/>
        </w:rPr>
        <w:t xml:space="preserve"> Dodavatel je rovněž oprávněn od smlouvy odstoupit v případě, že je odběratel v prodlení se zaplacením odměny po dobu delší než 14 kalendářních dní.</w:t>
      </w:r>
    </w:p>
    <w:p w14:paraId="4832085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může od smlouvy odstoupit, pokud mu dodavatel opakovaně nedodá Výstup nebo data, nebo mu opakovaně neumožní přístup do databáze, a to i přes předchozí písemné upozornění, přičemž písemná forma je v tomto případě zachována i v případě zaslání upozornění e-mailem. Odstoupením zaniká smlouva ke dni doručení oznámení o odstoupení druhé smluvní straně.</w:t>
      </w:r>
    </w:p>
    <w:p w14:paraId="42764A7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Odstoupením od smlouvy ani její výpovědí nejsou dotčena plnění, provedená před účinností odstoupení či výpovědi, ani práva z takových plnění vyplývající dle smlouvy. Ustanovení odst. 3.7, 3.8 a 8 těchto Podmínek není odstoupením ani výpovědí dotčeno.</w:t>
      </w:r>
    </w:p>
    <w:p w14:paraId="4F14A4A8"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Zánikem smlouvy z jakéhokoliv důvodu nejsou dotčena ustanovení o řešení sporů ani ostatní ustanovení smlouvy, z jejichž povahy vyplývá, že mají trvat i po zániku smlouvy.</w:t>
      </w:r>
    </w:p>
    <w:p w14:paraId="65FD958C"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ZMĚNY SMLOUVY</w:t>
      </w:r>
    </w:p>
    <w:p w14:paraId="4C5F17D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Smlouvu je možné měnit pouze písemnou dohodou smluvních stran ve formě dodatků, nestanoví-li smlouva v konkrét</w:t>
      </w:r>
      <w:r w:rsidRPr="00EC30E2">
        <w:rPr>
          <w:rFonts w:ascii="NettoPro" w:eastAsia="Times New Roman" w:hAnsi="NettoPro" w:cs="NettoPro"/>
          <w:color w:val="auto"/>
          <w:sz w:val="18"/>
          <w:szCs w:val="18"/>
          <w:lang w:eastAsia="cs-CZ"/>
        </w:rPr>
        <w:softHyphen/>
        <w:t>ním případě jinak.</w:t>
      </w:r>
    </w:p>
    <w:p w14:paraId="77236AB9"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Ustanovení § 1740 odst. 3 občanského zákoníku se vylučuje.</w:t>
      </w:r>
    </w:p>
    <w:p w14:paraId="24C23B90" w14:textId="77777777" w:rsidR="002840E8" w:rsidRPr="00EC30E2" w:rsidRDefault="002840E8" w:rsidP="007D204B">
      <w:pPr>
        <w:rPr>
          <w:rFonts w:ascii="NettoPro" w:hAnsi="NettoPro" w:cs="NettoPro"/>
          <w:b/>
        </w:rPr>
        <w:sectPr w:rsidR="002840E8" w:rsidRPr="00EC30E2" w:rsidSect="002840E8">
          <w:type w:val="continuous"/>
          <w:pgSz w:w="11906" w:h="16838"/>
          <w:pgMar w:top="2087" w:right="851" w:bottom="1418" w:left="851" w:header="709" w:footer="709" w:gutter="0"/>
          <w:cols w:num="2" w:space="708"/>
          <w:docGrid w:linePitch="360"/>
        </w:sectPr>
      </w:pPr>
    </w:p>
    <w:p w14:paraId="4A73BCA2" w14:textId="77777777" w:rsidR="00142E2D" w:rsidRPr="00EC30E2" w:rsidRDefault="00142E2D" w:rsidP="007D204B">
      <w:pPr>
        <w:rPr>
          <w:rFonts w:ascii="NettoPro" w:hAnsi="NettoPro" w:cs="NettoPro"/>
          <w:b/>
        </w:rPr>
      </w:pPr>
    </w:p>
    <w:p w14:paraId="55186AF7" w14:textId="4AEE6BE6" w:rsidR="00F542C5" w:rsidRPr="00EC30E2" w:rsidRDefault="00F542C5">
      <w:pPr>
        <w:autoSpaceDE/>
        <w:autoSpaceDN/>
        <w:adjustRightInd/>
        <w:spacing w:line="240" w:lineRule="auto"/>
        <w:rPr>
          <w:rFonts w:ascii="NettoPro" w:hAnsi="NettoPro" w:cs="NettoPro"/>
          <w:b/>
        </w:rPr>
      </w:pPr>
    </w:p>
    <w:sectPr w:rsidR="00F542C5" w:rsidRPr="00EC30E2" w:rsidSect="002629F7">
      <w:type w:val="continuous"/>
      <w:pgSz w:w="11906" w:h="16838"/>
      <w:pgMar w:top="208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1C1D" w14:textId="77777777" w:rsidR="00946EDD" w:rsidRDefault="00946EDD" w:rsidP="00F75785">
      <w:r>
        <w:separator/>
      </w:r>
    </w:p>
  </w:endnote>
  <w:endnote w:type="continuationSeparator" w:id="0">
    <w:p w14:paraId="61EDA871" w14:textId="77777777" w:rsidR="00946EDD" w:rsidRDefault="00946EDD"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CompPro-Black">
    <w:altName w:val="Arial Black"/>
    <w:charset w:val="EE"/>
    <w:family w:val="swiss"/>
    <w:pitch w:val="variable"/>
    <w:sig w:usb0="A00000FF" w:usb1="4000E07B" w:usb2="00000008" w:usb3="00000000" w:csb0="00000093" w:csb1="00000000"/>
  </w:font>
  <w:font w:name="NettoPro">
    <w:altName w:val="Arial"/>
    <w:panose1 w:val="00000000000000000000"/>
    <w:charset w:val="00"/>
    <w:family w:val="swiss"/>
    <w:notTrueType/>
    <w:pitch w:val="variable"/>
    <w:sig w:usb0="00000001" w:usb1="4000E07B" w:usb2="00000008"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NettoPro-Bold">
    <w:altName w:val="Arial"/>
    <w:panose1 w:val="00000000000000000000"/>
    <w:charset w:val="00"/>
    <w:family w:val="swiss"/>
    <w:notTrueType/>
    <w:pitch w:val="variable"/>
    <w:sig w:usb0="00000001" w:usb1="4000E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B92D" w14:textId="77777777" w:rsidR="002E21EE" w:rsidRDefault="002E21EE">
    <w:pPr>
      <w:pStyle w:val="Zpat"/>
    </w:pPr>
    <w:r>
      <w:rPr>
        <w:noProof/>
        <w:lang w:eastAsia="cs-CZ"/>
      </w:rPr>
      <w:drawing>
        <wp:inline distT="0" distB="0" distL="0" distR="0" wp14:anchorId="70B1639D" wp14:editId="60477279">
          <wp:extent cx="4857750" cy="485775"/>
          <wp:effectExtent l="0" t="0" r="0" b="0"/>
          <wp:docPr id="11" name="Obrázek 11"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5D14A6DD" w14:textId="77777777" w:rsidR="002E21EE" w:rsidRDefault="002E21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F48F" w14:textId="010BF2A4" w:rsidR="002E21EE" w:rsidRDefault="002E21EE" w:rsidP="003A2495">
    <w:pPr>
      <w:pStyle w:val="Zpat"/>
      <w:numPr>
        <w:ilvl w:val="0"/>
        <w:numId w:val="0"/>
      </w:numPr>
      <w:rPr>
        <w:noProof/>
        <w:lang w:eastAsia="cs-CZ"/>
      </w:rPr>
    </w:pPr>
  </w:p>
  <w:p w14:paraId="4B7CD3BC" w14:textId="42682165" w:rsidR="002E21EE" w:rsidRDefault="00FC6C61" w:rsidP="003A2495">
    <w:pPr>
      <w:pStyle w:val="Zpat"/>
      <w:numPr>
        <w:ilvl w:val="0"/>
        <w:numId w:val="0"/>
      </w:numPr>
      <w:rPr>
        <w:noProof/>
        <w:lang w:eastAsia="cs-CZ"/>
      </w:rPr>
    </w:pPr>
    <w:r>
      <w:rPr>
        <w:noProof/>
        <w:lang w:eastAsia="cs-CZ"/>
      </w:rPr>
      <w:drawing>
        <wp:anchor distT="0" distB="0" distL="114300" distR="114300" simplePos="0" relativeHeight="251654144" behindDoc="0" locked="0" layoutInCell="1" allowOverlap="1" wp14:anchorId="2FFF704A" wp14:editId="6F7D72B5">
          <wp:simplePos x="0" y="0"/>
          <wp:positionH relativeFrom="margin">
            <wp:align>center</wp:align>
          </wp:positionH>
          <wp:positionV relativeFrom="paragraph">
            <wp:posOffset>5080</wp:posOffset>
          </wp:positionV>
          <wp:extent cx="5194300" cy="708025"/>
          <wp:effectExtent l="0" t="0" r="6350" b="0"/>
          <wp:wrapNone/>
          <wp:docPr id="12" name="Obrázek 12"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p>
  <w:p w14:paraId="0ED3BF92" w14:textId="7A7FFEDA" w:rsidR="002E21EE" w:rsidRDefault="002E21EE" w:rsidP="003A2495">
    <w:pPr>
      <w:pStyle w:val="Zpat"/>
      <w:numPr>
        <w:ilvl w:val="0"/>
        <w:numId w:val="0"/>
      </w:numPr>
      <w:jc w:val="right"/>
    </w:pPr>
    <w:r>
      <w:fldChar w:fldCharType="begin"/>
    </w:r>
    <w:r>
      <w:instrText xml:space="preserve"> PAGE   \* MERGEFORMAT </w:instrText>
    </w:r>
    <w:r>
      <w:fldChar w:fldCharType="separate"/>
    </w:r>
    <w:r w:rsidR="00F34FB6">
      <w:rPr>
        <w:noProof/>
      </w:rPr>
      <w:t>1</w:t>
    </w:r>
    <w:r>
      <w:rPr>
        <w:noProof/>
      </w:rPr>
      <w:fldChar w:fldCharType="end"/>
    </w:r>
  </w:p>
  <w:p w14:paraId="7C14A183" w14:textId="77777777" w:rsidR="002E21EE" w:rsidRDefault="002E21E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F91EA" w14:textId="14998407" w:rsidR="002E21EE" w:rsidRPr="00FD6202" w:rsidRDefault="002E21EE" w:rsidP="002840E8">
    <w:pPr>
      <w:pStyle w:val="Zpat"/>
      <w:numPr>
        <w:ilvl w:val="0"/>
        <w:numId w:val="0"/>
      </w:numPr>
      <w:ind w:left="708"/>
      <w:jc w:val="right"/>
    </w:pPr>
    <w:r>
      <w:rPr>
        <w:noProof/>
        <w:lang w:eastAsia="cs-CZ"/>
      </w:rPr>
      <w:drawing>
        <wp:anchor distT="0" distB="0" distL="114300" distR="114300" simplePos="0" relativeHeight="251678720" behindDoc="0" locked="0" layoutInCell="1" allowOverlap="1" wp14:anchorId="39761C41" wp14:editId="0326B273">
          <wp:simplePos x="0" y="0"/>
          <wp:positionH relativeFrom="column">
            <wp:posOffset>-115392</wp:posOffset>
          </wp:positionH>
          <wp:positionV relativeFrom="paragraph">
            <wp:posOffset>-204928</wp:posOffset>
          </wp:positionV>
          <wp:extent cx="5194361" cy="708263"/>
          <wp:effectExtent l="0" t="0" r="6350" b="0"/>
          <wp:wrapNone/>
          <wp:docPr id="52" name="Obrázek 52"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61" cy="708263"/>
                  </a:xfrm>
                  <a:prstGeom prst="rect">
                    <a:avLst/>
                  </a:prstGeom>
                  <a:noFill/>
                  <a:ln>
                    <a:noFill/>
                  </a:ln>
                </pic:spPr>
              </pic:pic>
            </a:graphicData>
          </a:graphic>
        </wp:anchor>
      </w:drawing>
    </w:r>
    <w:r>
      <w:fldChar w:fldCharType="begin"/>
    </w:r>
    <w:r>
      <w:instrText xml:space="preserve"> page </w:instrText>
    </w:r>
    <w:r>
      <w:fldChar w:fldCharType="separate"/>
    </w:r>
    <w:r w:rsidR="00F34FB6">
      <w:rPr>
        <w:noProof/>
      </w:rPr>
      <w:t>10</w:t>
    </w:r>
    <w:r>
      <w:rPr>
        <w:noProof/>
      </w:rPr>
      <w:fldChar w:fldCharType="end"/>
    </w:r>
    <w:r w:rsidRPr="00FD6202">
      <w:t>/</w:t>
    </w:r>
    <w:fldSimple w:instr=" numpages ">
      <w:r w:rsidR="00F34FB6">
        <w:rPr>
          <w:noProof/>
        </w:rPr>
        <w:t>10</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0889" w14:textId="510D91E2" w:rsidR="002E21EE" w:rsidRDefault="002E21EE" w:rsidP="008D0628">
    <w:pPr>
      <w:pStyle w:val="Zpat"/>
      <w:jc w:val="right"/>
    </w:pPr>
    <w:r>
      <w:rPr>
        <w:noProof/>
        <w:lang w:eastAsia="cs-CZ"/>
      </w:rPr>
      <w:drawing>
        <wp:anchor distT="0" distB="0" distL="114300" distR="114300" simplePos="0" relativeHeight="251674624" behindDoc="0" locked="0" layoutInCell="1" allowOverlap="1" wp14:anchorId="32A7EF1D" wp14:editId="6F8CFAF5">
          <wp:simplePos x="0" y="0"/>
          <wp:positionH relativeFrom="column">
            <wp:posOffset>-275590</wp:posOffset>
          </wp:positionH>
          <wp:positionV relativeFrom="paragraph">
            <wp:posOffset>-48895</wp:posOffset>
          </wp:positionV>
          <wp:extent cx="5194300" cy="708025"/>
          <wp:effectExtent l="0" t="0" r="6350" b="0"/>
          <wp:wrapNone/>
          <wp:docPr id="47" name="Obrázek 47"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fldChar w:fldCharType="end"/>
    </w:r>
    <w:r>
      <w:t>/</w:t>
    </w:r>
    <w:r w:rsidR="00F34FB6">
      <w:fldChar w:fldCharType="begin"/>
    </w:r>
    <w:r w:rsidR="00F34FB6">
      <w:instrText xml:space="preserve"> NUMPAGES   \* MERGEFORMAT </w:instrText>
    </w:r>
    <w:r w:rsidR="00F34FB6">
      <w:fldChar w:fldCharType="separate"/>
    </w:r>
    <w:r>
      <w:rPr>
        <w:noProof/>
      </w:rPr>
      <w:t>26</w:t>
    </w:r>
    <w:r w:rsidR="00F34F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B11A7" w14:textId="77777777" w:rsidR="00946EDD" w:rsidRDefault="00946EDD" w:rsidP="00F75785">
      <w:r>
        <w:separator/>
      </w:r>
    </w:p>
  </w:footnote>
  <w:footnote w:type="continuationSeparator" w:id="0">
    <w:p w14:paraId="2BE7FDA0" w14:textId="77777777" w:rsidR="00946EDD" w:rsidRDefault="00946EDD"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3CC8" w14:textId="77777777" w:rsidR="002E21EE" w:rsidRDefault="002E21EE">
    <w:pPr>
      <w:pStyle w:val="Zhlav"/>
    </w:pPr>
    <w:r>
      <w:rPr>
        <w:noProof/>
        <w:lang w:eastAsia="cs-CZ"/>
      </w:rPr>
      <w:drawing>
        <wp:inline distT="0" distB="0" distL="0" distR="0" wp14:anchorId="5D3E8A6B" wp14:editId="4351169E">
          <wp:extent cx="5353050" cy="2028825"/>
          <wp:effectExtent l="0" t="0" r="0" b="9525"/>
          <wp:docPr id="9" name="Obrázek 9"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6B3C3F15" w14:textId="77777777" w:rsidR="002E21EE" w:rsidRDefault="002E21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37C6" w14:textId="1153E4E4" w:rsidR="002E21EE" w:rsidRDefault="00FC6C61" w:rsidP="00BD4FA5">
    <w:pPr>
      <w:pStyle w:val="Zhlav"/>
      <w:numPr>
        <w:ilvl w:val="0"/>
        <w:numId w:val="0"/>
      </w:numPr>
    </w:pPr>
    <w:r>
      <w:rPr>
        <w:noProof/>
        <w:lang w:eastAsia="cs-CZ"/>
      </w:rPr>
      <w:drawing>
        <wp:anchor distT="0" distB="0" distL="114300" distR="114300" simplePos="0" relativeHeight="251680768" behindDoc="1" locked="0" layoutInCell="1" allowOverlap="1" wp14:anchorId="5A80C4CF" wp14:editId="11D23C19">
          <wp:simplePos x="0" y="0"/>
          <wp:positionH relativeFrom="margin">
            <wp:align>center</wp:align>
          </wp:positionH>
          <wp:positionV relativeFrom="paragraph">
            <wp:posOffset>-619760</wp:posOffset>
          </wp:positionV>
          <wp:extent cx="7772402" cy="148590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2"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B4F51" w14:textId="77777777" w:rsidR="002E21EE" w:rsidRDefault="002E21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1576" w14:textId="77777777" w:rsidR="002E21EE" w:rsidRDefault="002E21EE" w:rsidP="002840E8">
    <w:pPr>
      <w:pStyle w:val="Zhlav"/>
      <w:numPr>
        <w:ilvl w:val="0"/>
        <w:numId w:val="0"/>
      </w:numPr>
      <w:tabs>
        <w:tab w:val="clear" w:pos="4536"/>
        <w:tab w:val="clear" w:pos="9072"/>
        <w:tab w:val="right" w:pos="10206"/>
      </w:tabs>
      <w:ind w:left="709"/>
    </w:pPr>
    <w:r>
      <w:rPr>
        <w:noProof/>
        <w:lang w:eastAsia="cs-CZ"/>
      </w:rPr>
      <w:drawing>
        <wp:anchor distT="0" distB="0" distL="114300" distR="114300" simplePos="0" relativeHeight="251676672" behindDoc="1" locked="0" layoutInCell="1" allowOverlap="1" wp14:anchorId="7B2977D4" wp14:editId="00E7034C">
          <wp:simplePos x="0" y="0"/>
          <wp:positionH relativeFrom="column">
            <wp:posOffset>15265</wp:posOffset>
          </wp:positionH>
          <wp:positionV relativeFrom="paragraph">
            <wp:posOffset>-57683</wp:posOffset>
          </wp:positionV>
          <wp:extent cx="2218409" cy="712800"/>
          <wp:effectExtent l="0" t="0" r="0" b="0"/>
          <wp:wrapNone/>
          <wp:docPr id="49" name="Obrázek 49"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409" cy="7128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6DDE" w14:textId="77777777" w:rsidR="002E21EE" w:rsidRDefault="002E21EE" w:rsidP="008D0628">
    <w:pPr>
      <w:pStyle w:val="Zhlav"/>
    </w:pPr>
    <w:r>
      <w:rPr>
        <w:noProof/>
        <w:lang w:eastAsia="cs-CZ"/>
      </w:rPr>
      <w:drawing>
        <wp:anchor distT="0" distB="0" distL="114300" distR="114300" simplePos="0" relativeHeight="251673600" behindDoc="1" locked="0" layoutInCell="1" allowOverlap="1" wp14:anchorId="7E9893A1" wp14:editId="3E648DFD">
          <wp:simplePos x="0" y="0"/>
          <wp:positionH relativeFrom="column">
            <wp:posOffset>31115</wp:posOffset>
          </wp:positionH>
          <wp:positionV relativeFrom="paragraph">
            <wp:posOffset>97155</wp:posOffset>
          </wp:positionV>
          <wp:extent cx="2218055" cy="712470"/>
          <wp:effectExtent l="0" t="0" r="0" b="0"/>
          <wp:wrapNone/>
          <wp:docPr id="46" name="Obrázek 46"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712470"/>
                  </a:xfrm>
                  <a:prstGeom prst="rect">
                    <a:avLst/>
                  </a:prstGeom>
                  <a:noFill/>
                  <a:ln>
                    <a:noFill/>
                  </a:ln>
                </pic:spPr>
              </pic:pic>
            </a:graphicData>
          </a:graphic>
        </wp:anchor>
      </w:drawing>
    </w:r>
    <w:r>
      <w:tab/>
    </w:r>
  </w:p>
  <w:p w14:paraId="3B5EA907" w14:textId="77777777" w:rsidR="002E21EE" w:rsidRDefault="002E21EE" w:rsidP="008D0628">
    <w:pPr>
      <w:pStyle w:val="Zhlav"/>
    </w:pPr>
  </w:p>
  <w:p w14:paraId="3987410B" w14:textId="77777777" w:rsidR="002E21EE" w:rsidRDefault="002E21EE" w:rsidP="008D0628">
    <w:pPr>
      <w:pStyle w:val="Zhlav"/>
    </w:pPr>
  </w:p>
  <w:p w14:paraId="14D71220" w14:textId="77777777" w:rsidR="002E21EE" w:rsidRPr="000E3089" w:rsidRDefault="002E21EE" w:rsidP="008D0628">
    <w:pPr>
      <w:pStyle w:val="Zhlav"/>
      <w:tabs>
        <w:tab w:val="clear" w:pos="9072"/>
        <w:tab w:val="right" w:pos="10206"/>
      </w:tabs>
      <w:rPr>
        <w:sz w:val="16"/>
        <w:szCs w:val="16"/>
      </w:rPr>
    </w:pPr>
    <w:r>
      <w:tab/>
    </w:r>
    <w:r>
      <w:tab/>
    </w:r>
    <w:r w:rsidRPr="000E3089">
      <w:rPr>
        <w:sz w:val="16"/>
        <w:szCs w:val="16"/>
      </w:rPr>
      <w:t>Všeobecné obchodní podmínky pro poskytování a využívání informací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15:restartNumberingAfterBreak="0">
    <w:nsid w:val="00000003"/>
    <w:multiLevelType w:val="multilevel"/>
    <w:tmpl w:val="A8E026CE"/>
    <w:name w:val="WW8Num3"/>
    <w:lvl w:ilvl="0">
      <w:start w:val="1"/>
      <w:numFmt w:val="decimal"/>
      <w:lvlText w:val="%1"/>
      <w:lvlJc w:val="left"/>
      <w:pPr>
        <w:tabs>
          <w:tab w:val="num" w:pos="480"/>
        </w:tabs>
        <w:ind w:left="480" w:hanging="480"/>
      </w:pPr>
    </w:lvl>
    <w:lvl w:ilvl="1">
      <w:start w:val="1"/>
      <w:numFmt w:val="decimal"/>
      <w:pStyle w:val="PlohaA"/>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095783"/>
    <w:multiLevelType w:val="hybridMultilevel"/>
    <w:tmpl w:val="549EC20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7E129E"/>
    <w:multiLevelType w:val="hybridMultilevel"/>
    <w:tmpl w:val="E12A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A03742"/>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11626F"/>
    <w:multiLevelType w:val="hybridMultilevel"/>
    <w:tmpl w:val="0D8C0E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8C7A30"/>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8C2858"/>
    <w:multiLevelType w:val="hybridMultilevel"/>
    <w:tmpl w:val="EFD6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905393"/>
    <w:multiLevelType w:val="hybridMultilevel"/>
    <w:tmpl w:val="5E685706"/>
    <w:lvl w:ilvl="0" w:tplc="7B0CEA48">
      <w:start w:val="1"/>
      <w:numFmt w:val="bullet"/>
      <w:lvlText w:val="&gt;"/>
      <w:lvlJc w:val="left"/>
      <w:pPr>
        <w:ind w:left="720" w:hanging="360"/>
      </w:pPr>
      <w:rPr>
        <w:rFonts w:ascii="NettoCompPro-Black" w:hAnsi="NettoCompPro-Black" w:hint="default"/>
        <w:b/>
        <w:color w:val="01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3E7252"/>
    <w:multiLevelType w:val="hybridMultilevel"/>
    <w:tmpl w:val="2D8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392C2C"/>
    <w:multiLevelType w:val="multilevel"/>
    <w:tmpl w:val="D8E20F46"/>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ascii="NettoPro" w:hAnsi="NettoPro" w:cs="NettoPro" w:hint="default"/>
      </w:rPr>
    </w:lvl>
    <w:lvl w:ilvl="2">
      <w:start w:val="1"/>
      <w:numFmt w:val="decimal"/>
      <w:pStyle w:val="PodPodNadpis"/>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1FDF646C"/>
    <w:multiLevelType w:val="hybridMultilevel"/>
    <w:tmpl w:val="B2502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760B02"/>
    <w:multiLevelType w:val="hybridMultilevel"/>
    <w:tmpl w:val="E3D88E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A1700A"/>
    <w:multiLevelType w:val="hybridMultilevel"/>
    <w:tmpl w:val="EE66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E4071B"/>
    <w:multiLevelType w:val="hybridMultilevel"/>
    <w:tmpl w:val="833C3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CC0FD6"/>
    <w:multiLevelType w:val="hybridMultilevel"/>
    <w:tmpl w:val="5642BA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FD5D42"/>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295ECC"/>
    <w:multiLevelType w:val="multilevel"/>
    <w:tmpl w:val="0DC46AEE"/>
    <w:lvl w:ilvl="0">
      <w:start w:val="1"/>
      <w:numFmt w:val="decimal"/>
      <w:pStyle w:val="Zhlav"/>
      <w:lvlText w:val="%1."/>
      <w:lvlJc w:val="left"/>
      <w:pPr>
        <w:ind w:left="709" w:hanging="708"/>
      </w:pPr>
      <w:rPr>
        <w:rFonts w:hint="default"/>
      </w:rPr>
    </w:lvl>
    <w:lvl w:ilvl="1">
      <w:start w:val="1"/>
      <w:numFmt w:val="decimal"/>
      <w:pStyle w:val="Zpat"/>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2E1C2FC6"/>
    <w:multiLevelType w:val="multilevel"/>
    <w:tmpl w:val="F0160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0B2095"/>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675BA4"/>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8111A46"/>
    <w:multiLevelType w:val="hybridMultilevel"/>
    <w:tmpl w:val="25D814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E51BBC"/>
    <w:multiLevelType w:val="hybridMultilevel"/>
    <w:tmpl w:val="8E527C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2E0358"/>
    <w:multiLevelType w:val="hybridMultilevel"/>
    <w:tmpl w:val="E9DAD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F270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4F0946"/>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7C5841"/>
    <w:multiLevelType w:val="hybridMultilevel"/>
    <w:tmpl w:val="1FBA74CE"/>
    <w:lvl w:ilvl="0" w:tplc="8454EA70">
      <w:start w:val="1"/>
      <w:numFmt w:val="decimal"/>
      <w:pStyle w:val="PlohaB"/>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AE6096"/>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3F3AED"/>
    <w:multiLevelType w:val="hybridMultilevel"/>
    <w:tmpl w:val="89E0ED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422155"/>
    <w:multiLevelType w:val="hybridMultilevel"/>
    <w:tmpl w:val="A33498FE"/>
    <w:lvl w:ilvl="0" w:tplc="898E93F2">
      <w:start w:val="1"/>
      <w:numFmt w:val="bullet"/>
      <w:lvlText w:val="-"/>
      <w:lvlJc w:val="left"/>
      <w:pPr>
        <w:ind w:left="720" w:hanging="360"/>
      </w:pPr>
      <w:rPr>
        <w:rFonts w:ascii="Courier New" w:hAnsi="Courier New" w:hint="default"/>
        <w:b/>
        <w:i w:val="0"/>
        <w:color w:val="00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011B9F"/>
    <w:multiLevelType w:val="multilevel"/>
    <w:tmpl w:val="EE0A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1E4DE0"/>
    <w:multiLevelType w:val="hybridMultilevel"/>
    <w:tmpl w:val="E76A6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997C87"/>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B65E65"/>
    <w:multiLevelType w:val="hybridMultilevel"/>
    <w:tmpl w:val="46A8F4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40"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5464D2"/>
    <w:multiLevelType w:val="hybridMultilevel"/>
    <w:tmpl w:val="23A2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37453A"/>
    <w:multiLevelType w:val="hybridMultilevel"/>
    <w:tmpl w:val="0926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1E26AA"/>
    <w:multiLevelType w:val="hybridMultilevel"/>
    <w:tmpl w:val="E4460B70"/>
    <w:lvl w:ilvl="0" w:tplc="0FEAFD3E">
      <w:start w:val="1"/>
      <w:numFmt w:val="decimal"/>
      <w:pStyle w:val="Nadpis1"/>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D14CCB"/>
    <w:multiLevelType w:val="hybridMultilevel"/>
    <w:tmpl w:val="8892D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40"/>
  </w:num>
  <w:num w:numId="3">
    <w:abstractNumId w:val="37"/>
  </w:num>
  <w:num w:numId="4">
    <w:abstractNumId w:val="34"/>
  </w:num>
  <w:num w:numId="5">
    <w:abstractNumId w:val="34"/>
  </w:num>
  <w:num w:numId="6">
    <w:abstractNumId w:val="34"/>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num>
  <w:num w:numId="9">
    <w:abstractNumId w:val="23"/>
  </w:num>
  <w:num w:numId="10">
    <w:abstractNumId w:val="17"/>
  </w:num>
  <w:num w:numId="11">
    <w:abstractNumId w:val="19"/>
  </w:num>
  <w:num w:numId="12">
    <w:abstractNumId w:val="0"/>
  </w:num>
  <w:num w:numId="13">
    <w:abstractNumId w:val="1"/>
  </w:num>
  <w:num w:numId="14">
    <w:abstractNumId w:val="30"/>
  </w:num>
  <w:num w:numId="15">
    <w:abstractNumId w:val="11"/>
  </w:num>
  <w:num w:numId="16">
    <w:abstractNumId w:val="27"/>
  </w:num>
  <w:num w:numId="17">
    <w:abstractNumId w:val="38"/>
  </w:num>
  <w:num w:numId="18">
    <w:abstractNumId w:val="24"/>
  </w:num>
  <w:num w:numId="19">
    <w:abstractNumId w:val="22"/>
  </w:num>
  <w:num w:numId="20">
    <w:abstractNumId w:val="5"/>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6"/>
  </w:num>
  <w:num w:numId="27">
    <w:abstractNumId w:val="3"/>
  </w:num>
  <w:num w:numId="28">
    <w:abstractNumId w:val="10"/>
  </w:num>
  <w:num w:numId="29">
    <w:abstractNumId w:val="14"/>
  </w:num>
  <w:num w:numId="30">
    <w:abstractNumId w:val="4"/>
  </w:num>
  <w:num w:numId="31">
    <w:abstractNumId w:val="42"/>
  </w:num>
  <w:num w:numId="32">
    <w:abstractNumId w:val="8"/>
  </w:num>
  <w:num w:numId="33">
    <w:abstractNumId w:val="4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6"/>
  </w:num>
  <w:num w:numId="39">
    <w:abstractNumId w:val="39"/>
  </w:num>
  <w:num w:numId="40">
    <w:abstractNumId w:val="18"/>
  </w:num>
  <w:num w:numId="41">
    <w:abstractNumId w:val="29"/>
  </w:num>
  <w:num w:numId="42">
    <w:abstractNumId w:val="3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1"/>
  </w:num>
  <w:num w:numId="46">
    <w:abstractNumId w:val="12"/>
  </w:num>
  <w:num w:numId="47">
    <w:abstractNumId w:val="6"/>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1"/>
  </w:num>
  <w:num w:numId="53">
    <w:abstractNumId w:val="11"/>
  </w:num>
  <w:num w:numId="54">
    <w:abstractNumId w:val="11"/>
  </w:num>
  <w:num w:numId="55">
    <w:abstractNumId w:val="33"/>
    <w:lvlOverride w:ilvl="0">
      <w:startOverride w:val="1"/>
    </w:lvlOverride>
  </w:num>
  <w:num w:numId="56">
    <w:abstractNumId w:val="43"/>
  </w:num>
  <w:num w:numId="57">
    <w:abstractNumId w:val="9"/>
  </w:num>
  <w:num w:numId="58">
    <w:abstractNumId w:val="11"/>
  </w:num>
  <w:num w:numId="59">
    <w:abstractNumId w:val="11"/>
  </w:num>
  <w:num w:numId="60">
    <w:abstractNumId w:val="11"/>
  </w:num>
  <w:num w:numId="61">
    <w:abstractNumId w:val="11"/>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 w:numId="64">
    <w:abstractNumId w:val="11"/>
  </w:num>
  <w:num w:numId="65">
    <w:abstractNumId w:val="11"/>
  </w:num>
  <w:num w:numId="66">
    <w:abstractNumId w:val="15"/>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11"/>
  </w:num>
  <w:num w:numId="75">
    <w:abstractNumId w:val="11"/>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num>
  <w:num w:numId="79">
    <w:abstractNumId w:val="20"/>
  </w:num>
  <w:num w:numId="80">
    <w:abstractNumId w:val="44"/>
  </w:num>
  <w:num w:numId="81">
    <w:abstractNumId w:val="32"/>
  </w:num>
  <w:num w:numId="82">
    <w:abstractNumId w:val="11"/>
    <w:lvlOverride w:ilvl="0">
      <w:startOverride w:val="4"/>
    </w:lvlOverride>
    <w:lvlOverride w:ilvl="1">
      <w:startOverride w:val="2"/>
    </w:lvlOverride>
  </w:num>
  <w:num w:numId="83">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47"/>
    <w:rsid w:val="000031E1"/>
    <w:rsid w:val="00010C9B"/>
    <w:rsid w:val="00016DB3"/>
    <w:rsid w:val="000210A0"/>
    <w:rsid w:val="00030AB2"/>
    <w:rsid w:val="00031ED6"/>
    <w:rsid w:val="00033396"/>
    <w:rsid w:val="000414AB"/>
    <w:rsid w:val="000432E2"/>
    <w:rsid w:val="000518DD"/>
    <w:rsid w:val="00053F0E"/>
    <w:rsid w:val="00065734"/>
    <w:rsid w:val="00070CB2"/>
    <w:rsid w:val="000757AD"/>
    <w:rsid w:val="000774B1"/>
    <w:rsid w:val="000855BA"/>
    <w:rsid w:val="000907D2"/>
    <w:rsid w:val="000910F0"/>
    <w:rsid w:val="00096394"/>
    <w:rsid w:val="000A1110"/>
    <w:rsid w:val="000B179B"/>
    <w:rsid w:val="000B3FF2"/>
    <w:rsid w:val="000B6A51"/>
    <w:rsid w:val="000C07FE"/>
    <w:rsid w:val="000C34DB"/>
    <w:rsid w:val="000C3CE4"/>
    <w:rsid w:val="000C4104"/>
    <w:rsid w:val="000C65C3"/>
    <w:rsid w:val="000C6838"/>
    <w:rsid w:val="000C73B5"/>
    <w:rsid w:val="000C7419"/>
    <w:rsid w:val="000E1BFD"/>
    <w:rsid w:val="000E5A8E"/>
    <w:rsid w:val="000E6388"/>
    <w:rsid w:val="000F0EE5"/>
    <w:rsid w:val="00113B9C"/>
    <w:rsid w:val="00117423"/>
    <w:rsid w:val="00122EAE"/>
    <w:rsid w:val="00126C26"/>
    <w:rsid w:val="00130407"/>
    <w:rsid w:val="00134F93"/>
    <w:rsid w:val="00142E2D"/>
    <w:rsid w:val="00146ACD"/>
    <w:rsid w:val="00151317"/>
    <w:rsid w:val="00153258"/>
    <w:rsid w:val="0015748F"/>
    <w:rsid w:val="00162B6B"/>
    <w:rsid w:val="00163808"/>
    <w:rsid w:val="00174423"/>
    <w:rsid w:val="00176F08"/>
    <w:rsid w:val="00176F52"/>
    <w:rsid w:val="00182FB3"/>
    <w:rsid w:val="001875CF"/>
    <w:rsid w:val="001A1BE5"/>
    <w:rsid w:val="001B1214"/>
    <w:rsid w:val="001B3EC1"/>
    <w:rsid w:val="001B7357"/>
    <w:rsid w:val="001C7DD9"/>
    <w:rsid w:val="001D5C3A"/>
    <w:rsid w:val="001D7186"/>
    <w:rsid w:val="001E16DB"/>
    <w:rsid w:val="001E1D9C"/>
    <w:rsid w:val="001E4950"/>
    <w:rsid w:val="001E4DB1"/>
    <w:rsid w:val="001F181B"/>
    <w:rsid w:val="001F2908"/>
    <w:rsid w:val="001F388A"/>
    <w:rsid w:val="001F61A3"/>
    <w:rsid w:val="001F6AF5"/>
    <w:rsid w:val="001F6D12"/>
    <w:rsid w:val="00200698"/>
    <w:rsid w:val="0020384F"/>
    <w:rsid w:val="0020390B"/>
    <w:rsid w:val="00206229"/>
    <w:rsid w:val="002078CC"/>
    <w:rsid w:val="0021618C"/>
    <w:rsid w:val="002209B1"/>
    <w:rsid w:val="00225FDA"/>
    <w:rsid w:val="00227193"/>
    <w:rsid w:val="00241748"/>
    <w:rsid w:val="002502F4"/>
    <w:rsid w:val="002564B2"/>
    <w:rsid w:val="002609DF"/>
    <w:rsid w:val="002629F7"/>
    <w:rsid w:val="00263524"/>
    <w:rsid w:val="00267F5B"/>
    <w:rsid w:val="00275A21"/>
    <w:rsid w:val="002764D3"/>
    <w:rsid w:val="002840E8"/>
    <w:rsid w:val="00286CD5"/>
    <w:rsid w:val="00296B14"/>
    <w:rsid w:val="00297F91"/>
    <w:rsid w:val="002A5924"/>
    <w:rsid w:val="002B051D"/>
    <w:rsid w:val="002B34CC"/>
    <w:rsid w:val="002C0E84"/>
    <w:rsid w:val="002C15C7"/>
    <w:rsid w:val="002C1B37"/>
    <w:rsid w:val="002C2902"/>
    <w:rsid w:val="002C3F10"/>
    <w:rsid w:val="002C4AFA"/>
    <w:rsid w:val="002C7D8F"/>
    <w:rsid w:val="002D3448"/>
    <w:rsid w:val="002E18C5"/>
    <w:rsid w:val="002E21EE"/>
    <w:rsid w:val="002E2294"/>
    <w:rsid w:val="002E6A8B"/>
    <w:rsid w:val="002E73F7"/>
    <w:rsid w:val="002F071A"/>
    <w:rsid w:val="002F5872"/>
    <w:rsid w:val="003054C8"/>
    <w:rsid w:val="00313D5C"/>
    <w:rsid w:val="00320449"/>
    <w:rsid w:val="0032158B"/>
    <w:rsid w:val="0032445D"/>
    <w:rsid w:val="00325E00"/>
    <w:rsid w:val="0033292C"/>
    <w:rsid w:val="00340E2B"/>
    <w:rsid w:val="003410C8"/>
    <w:rsid w:val="00344E88"/>
    <w:rsid w:val="00347737"/>
    <w:rsid w:val="00353FC2"/>
    <w:rsid w:val="00357A24"/>
    <w:rsid w:val="00364011"/>
    <w:rsid w:val="0037428E"/>
    <w:rsid w:val="00394DF3"/>
    <w:rsid w:val="003A2495"/>
    <w:rsid w:val="003A34D2"/>
    <w:rsid w:val="003A4D63"/>
    <w:rsid w:val="003A57BF"/>
    <w:rsid w:val="003B37E9"/>
    <w:rsid w:val="003B506F"/>
    <w:rsid w:val="003C1531"/>
    <w:rsid w:val="003D14DB"/>
    <w:rsid w:val="003D1767"/>
    <w:rsid w:val="003D2C69"/>
    <w:rsid w:val="003D53C4"/>
    <w:rsid w:val="003E3E48"/>
    <w:rsid w:val="003E61BA"/>
    <w:rsid w:val="003F40F3"/>
    <w:rsid w:val="003F5260"/>
    <w:rsid w:val="003F7563"/>
    <w:rsid w:val="00402BBE"/>
    <w:rsid w:val="00412F93"/>
    <w:rsid w:val="004136F3"/>
    <w:rsid w:val="00417292"/>
    <w:rsid w:val="00422D75"/>
    <w:rsid w:val="004258F7"/>
    <w:rsid w:val="00440B2D"/>
    <w:rsid w:val="00441462"/>
    <w:rsid w:val="004436F4"/>
    <w:rsid w:val="00444278"/>
    <w:rsid w:val="00444915"/>
    <w:rsid w:val="0044539F"/>
    <w:rsid w:val="00466764"/>
    <w:rsid w:val="0046692E"/>
    <w:rsid w:val="0047185D"/>
    <w:rsid w:val="004766C1"/>
    <w:rsid w:val="004800DD"/>
    <w:rsid w:val="00493924"/>
    <w:rsid w:val="004A503D"/>
    <w:rsid w:val="004B43B5"/>
    <w:rsid w:val="004C327F"/>
    <w:rsid w:val="004C688D"/>
    <w:rsid w:val="004C7697"/>
    <w:rsid w:val="004E0A19"/>
    <w:rsid w:val="004E1553"/>
    <w:rsid w:val="004E2F9C"/>
    <w:rsid w:val="004E6BC5"/>
    <w:rsid w:val="004F17A7"/>
    <w:rsid w:val="004F196D"/>
    <w:rsid w:val="004F7A25"/>
    <w:rsid w:val="005240E5"/>
    <w:rsid w:val="00527E85"/>
    <w:rsid w:val="00531A82"/>
    <w:rsid w:val="0053380D"/>
    <w:rsid w:val="00536E8A"/>
    <w:rsid w:val="00540671"/>
    <w:rsid w:val="0054456A"/>
    <w:rsid w:val="0054604F"/>
    <w:rsid w:val="00550E5D"/>
    <w:rsid w:val="005538A8"/>
    <w:rsid w:val="00562091"/>
    <w:rsid w:val="00563987"/>
    <w:rsid w:val="00565DCE"/>
    <w:rsid w:val="00567AC9"/>
    <w:rsid w:val="00570AAB"/>
    <w:rsid w:val="00572D2A"/>
    <w:rsid w:val="005752E7"/>
    <w:rsid w:val="00576D8C"/>
    <w:rsid w:val="00581111"/>
    <w:rsid w:val="00583CBB"/>
    <w:rsid w:val="00586B20"/>
    <w:rsid w:val="0059417C"/>
    <w:rsid w:val="005A03A3"/>
    <w:rsid w:val="005A40E8"/>
    <w:rsid w:val="005A4F93"/>
    <w:rsid w:val="005A70E5"/>
    <w:rsid w:val="005B1DDF"/>
    <w:rsid w:val="005B211B"/>
    <w:rsid w:val="005B2A9F"/>
    <w:rsid w:val="005B37CB"/>
    <w:rsid w:val="005B64FD"/>
    <w:rsid w:val="005C04D6"/>
    <w:rsid w:val="005C1094"/>
    <w:rsid w:val="005C5BD8"/>
    <w:rsid w:val="005C63E7"/>
    <w:rsid w:val="005D74D9"/>
    <w:rsid w:val="005E24CB"/>
    <w:rsid w:val="005F0AFF"/>
    <w:rsid w:val="005F74E7"/>
    <w:rsid w:val="00604CC1"/>
    <w:rsid w:val="00605AB4"/>
    <w:rsid w:val="00606CF7"/>
    <w:rsid w:val="00606D01"/>
    <w:rsid w:val="006144F9"/>
    <w:rsid w:val="00617661"/>
    <w:rsid w:val="0062413F"/>
    <w:rsid w:val="00627FB0"/>
    <w:rsid w:val="00631B86"/>
    <w:rsid w:val="00635144"/>
    <w:rsid w:val="006374B7"/>
    <w:rsid w:val="00640E7C"/>
    <w:rsid w:val="0064200C"/>
    <w:rsid w:val="006457CB"/>
    <w:rsid w:val="00661EB9"/>
    <w:rsid w:val="0066481D"/>
    <w:rsid w:val="00672690"/>
    <w:rsid w:val="00673B37"/>
    <w:rsid w:val="00674CB8"/>
    <w:rsid w:val="00675682"/>
    <w:rsid w:val="006922BD"/>
    <w:rsid w:val="0069241A"/>
    <w:rsid w:val="0069583B"/>
    <w:rsid w:val="006A2052"/>
    <w:rsid w:val="006A7ADC"/>
    <w:rsid w:val="006B5EF3"/>
    <w:rsid w:val="006C22F4"/>
    <w:rsid w:val="006C3F1E"/>
    <w:rsid w:val="006D0209"/>
    <w:rsid w:val="006D2F30"/>
    <w:rsid w:val="006D387D"/>
    <w:rsid w:val="006D6F45"/>
    <w:rsid w:val="006D6F66"/>
    <w:rsid w:val="006D75AA"/>
    <w:rsid w:val="006E0869"/>
    <w:rsid w:val="006E4D3A"/>
    <w:rsid w:val="006E64AA"/>
    <w:rsid w:val="006F05B6"/>
    <w:rsid w:val="006F7264"/>
    <w:rsid w:val="00706222"/>
    <w:rsid w:val="00711111"/>
    <w:rsid w:val="00714F36"/>
    <w:rsid w:val="00715C81"/>
    <w:rsid w:val="00716FFC"/>
    <w:rsid w:val="00720714"/>
    <w:rsid w:val="007216FD"/>
    <w:rsid w:val="00723681"/>
    <w:rsid w:val="007373DF"/>
    <w:rsid w:val="00741A77"/>
    <w:rsid w:val="00741DB4"/>
    <w:rsid w:val="00745759"/>
    <w:rsid w:val="00745EEF"/>
    <w:rsid w:val="00750B8B"/>
    <w:rsid w:val="00760F75"/>
    <w:rsid w:val="007624CC"/>
    <w:rsid w:val="00764222"/>
    <w:rsid w:val="007743D0"/>
    <w:rsid w:val="00776C7F"/>
    <w:rsid w:val="00780C7D"/>
    <w:rsid w:val="007810E8"/>
    <w:rsid w:val="007932F7"/>
    <w:rsid w:val="00793523"/>
    <w:rsid w:val="00796765"/>
    <w:rsid w:val="007A6610"/>
    <w:rsid w:val="007B0D74"/>
    <w:rsid w:val="007B358D"/>
    <w:rsid w:val="007B4E7F"/>
    <w:rsid w:val="007B56AA"/>
    <w:rsid w:val="007B5C8C"/>
    <w:rsid w:val="007C1CA0"/>
    <w:rsid w:val="007D204B"/>
    <w:rsid w:val="007D31A4"/>
    <w:rsid w:val="007E05AC"/>
    <w:rsid w:val="007E3DEF"/>
    <w:rsid w:val="007E43CC"/>
    <w:rsid w:val="007E561D"/>
    <w:rsid w:val="007E679A"/>
    <w:rsid w:val="007F0675"/>
    <w:rsid w:val="00800900"/>
    <w:rsid w:val="0080372D"/>
    <w:rsid w:val="00810A7D"/>
    <w:rsid w:val="00811598"/>
    <w:rsid w:val="00823EA7"/>
    <w:rsid w:val="00830D32"/>
    <w:rsid w:val="00831C1E"/>
    <w:rsid w:val="00834618"/>
    <w:rsid w:val="00835FC5"/>
    <w:rsid w:val="00842848"/>
    <w:rsid w:val="008548FE"/>
    <w:rsid w:val="00875E60"/>
    <w:rsid w:val="00880051"/>
    <w:rsid w:val="00880AD6"/>
    <w:rsid w:val="008954A7"/>
    <w:rsid w:val="008C44A4"/>
    <w:rsid w:val="008D0628"/>
    <w:rsid w:val="008D0662"/>
    <w:rsid w:val="008D4B6A"/>
    <w:rsid w:val="008D4DAE"/>
    <w:rsid w:val="008D7C99"/>
    <w:rsid w:val="008E199F"/>
    <w:rsid w:val="008E5602"/>
    <w:rsid w:val="008E5EA6"/>
    <w:rsid w:val="00910905"/>
    <w:rsid w:val="00910BE3"/>
    <w:rsid w:val="00914FB6"/>
    <w:rsid w:val="009222E5"/>
    <w:rsid w:val="00922599"/>
    <w:rsid w:val="00924E8D"/>
    <w:rsid w:val="00926AD1"/>
    <w:rsid w:val="00933067"/>
    <w:rsid w:val="00935A80"/>
    <w:rsid w:val="00936C87"/>
    <w:rsid w:val="00941AAC"/>
    <w:rsid w:val="00942053"/>
    <w:rsid w:val="00944A28"/>
    <w:rsid w:val="0094542D"/>
    <w:rsid w:val="00946EDD"/>
    <w:rsid w:val="00951FE4"/>
    <w:rsid w:val="009607FC"/>
    <w:rsid w:val="009610B4"/>
    <w:rsid w:val="00961524"/>
    <w:rsid w:val="009724AC"/>
    <w:rsid w:val="0098273D"/>
    <w:rsid w:val="00985618"/>
    <w:rsid w:val="009878B4"/>
    <w:rsid w:val="0099122E"/>
    <w:rsid w:val="009975BA"/>
    <w:rsid w:val="009A17A9"/>
    <w:rsid w:val="009A1C98"/>
    <w:rsid w:val="009A3478"/>
    <w:rsid w:val="009A7DBA"/>
    <w:rsid w:val="009B34D1"/>
    <w:rsid w:val="009B4BA0"/>
    <w:rsid w:val="009C0902"/>
    <w:rsid w:val="009C134A"/>
    <w:rsid w:val="009C1964"/>
    <w:rsid w:val="009C37F0"/>
    <w:rsid w:val="009C3A7A"/>
    <w:rsid w:val="009C7F50"/>
    <w:rsid w:val="009D44DF"/>
    <w:rsid w:val="009E6F7B"/>
    <w:rsid w:val="009F07E7"/>
    <w:rsid w:val="009F3199"/>
    <w:rsid w:val="00A024F8"/>
    <w:rsid w:val="00A1181E"/>
    <w:rsid w:val="00A16D9B"/>
    <w:rsid w:val="00A171B8"/>
    <w:rsid w:val="00A31A42"/>
    <w:rsid w:val="00A326DF"/>
    <w:rsid w:val="00A33CA2"/>
    <w:rsid w:val="00A343C2"/>
    <w:rsid w:val="00A5226C"/>
    <w:rsid w:val="00A5323A"/>
    <w:rsid w:val="00A54690"/>
    <w:rsid w:val="00A60175"/>
    <w:rsid w:val="00A6279C"/>
    <w:rsid w:val="00A7064D"/>
    <w:rsid w:val="00A906DF"/>
    <w:rsid w:val="00AA12FC"/>
    <w:rsid w:val="00AB1D95"/>
    <w:rsid w:val="00AB23FB"/>
    <w:rsid w:val="00AB3536"/>
    <w:rsid w:val="00AB79BB"/>
    <w:rsid w:val="00AC29F0"/>
    <w:rsid w:val="00AC5261"/>
    <w:rsid w:val="00AD2F6B"/>
    <w:rsid w:val="00AE11C4"/>
    <w:rsid w:val="00AE4ED2"/>
    <w:rsid w:val="00AF3131"/>
    <w:rsid w:val="00AF704E"/>
    <w:rsid w:val="00AF767F"/>
    <w:rsid w:val="00B0121F"/>
    <w:rsid w:val="00B01AB9"/>
    <w:rsid w:val="00B02A93"/>
    <w:rsid w:val="00B02BEB"/>
    <w:rsid w:val="00B02CD4"/>
    <w:rsid w:val="00B05AF5"/>
    <w:rsid w:val="00B110E6"/>
    <w:rsid w:val="00B117D5"/>
    <w:rsid w:val="00B17DED"/>
    <w:rsid w:val="00B21534"/>
    <w:rsid w:val="00B220C9"/>
    <w:rsid w:val="00B24AAA"/>
    <w:rsid w:val="00B40A07"/>
    <w:rsid w:val="00B426C6"/>
    <w:rsid w:val="00B6107F"/>
    <w:rsid w:val="00B662B6"/>
    <w:rsid w:val="00B702F2"/>
    <w:rsid w:val="00B71261"/>
    <w:rsid w:val="00B7707A"/>
    <w:rsid w:val="00B815F0"/>
    <w:rsid w:val="00B8394A"/>
    <w:rsid w:val="00B83BB1"/>
    <w:rsid w:val="00B83D54"/>
    <w:rsid w:val="00B84FB8"/>
    <w:rsid w:val="00B93621"/>
    <w:rsid w:val="00BB5818"/>
    <w:rsid w:val="00BC0F1D"/>
    <w:rsid w:val="00BC1698"/>
    <w:rsid w:val="00BD141D"/>
    <w:rsid w:val="00BD40BE"/>
    <w:rsid w:val="00BD4FA5"/>
    <w:rsid w:val="00BD6414"/>
    <w:rsid w:val="00BE4D68"/>
    <w:rsid w:val="00BE5D94"/>
    <w:rsid w:val="00BF6154"/>
    <w:rsid w:val="00C07563"/>
    <w:rsid w:val="00C13437"/>
    <w:rsid w:val="00C1751D"/>
    <w:rsid w:val="00C3295E"/>
    <w:rsid w:val="00C478D1"/>
    <w:rsid w:val="00C51484"/>
    <w:rsid w:val="00C65E87"/>
    <w:rsid w:val="00C741F6"/>
    <w:rsid w:val="00C7779A"/>
    <w:rsid w:val="00C80DE0"/>
    <w:rsid w:val="00C81585"/>
    <w:rsid w:val="00C84701"/>
    <w:rsid w:val="00C863D9"/>
    <w:rsid w:val="00C86625"/>
    <w:rsid w:val="00C934DB"/>
    <w:rsid w:val="00C95261"/>
    <w:rsid w:val="00CB561A"/>
    <w:rsid w:val="00CB5805"/>
    <w:rsid w:val="00CC351F"/>
    <w:rsid w:val="00CC3613"/>
    <w:rsid w:val="00CD35C1"/>
    <w:rsid w:val="00CD5C25"/>
    <w:rsid w:val="00CE3E65"/>
    <w:rsid w:val="00CF1317"/>
    <w:rsid w:val="00CF2714"/>
    <w:rsid w:val="00CF4912"/>
    <w:rsid w:val="00D01559"/>
    <w:rsid w:val="00D01ADD"/>
    <w:rsid w:val="00D020AF"/>
    <w:rsid w:val="00D0707C"/>
    <w:rsid w:val="00D07941"/>
    <w:rsid w:val="00D12F68"/>
    <w:rsid w:val="00D13FE2"/>
    <w:rsid w:val="00D20C2A"/>
    <w:rsid w:val="00D27BF8"/>
    <w:rsid w:val="00D41F73"/>
    <w:rsid w:val="00D45557"/>
    <w:rsid w:val="00D5734B"/>
    <w:rsid w:val="00D57B47"/>
    <w:rsid w:val="00D60827"/>
    <w:rsid w:val="00D65129"/>
    <w:rsid w:val="00D73451"/>
    <w:rsid w:val="00D82103"/>
    <w:rsid w:val="00D9210A"/>
    <w:rsid w:val="00D95241"/>
    <w:rsid w:val="00D952EB"/>
    <w:rsid w:val="00DA0681"/>
    <w:rsid w:val="00DA1DD2"/>
    <w:rsid w:val="00DA7E72"/>
    <w:rsid w:val="00DB3DD1"/>
    <w:rsid w:val="00DB514D"/>
    <w:rsid w:val="00DC16E2"/>
    <w:rsid w:val="00DC6AAA"/>
    <w:rsid w:val="00DD00B8"/>
    <w:rsid w:val="00DD28BD"/>
    <w:rsid w:val="00DD5616"/>
    <w:rsid w:val="00DD78E6"/>
    <w:rsid w:val="00DE0455"/>
    <w:rsid w:val="00DE2F5C"/>
    <w:rsid w:val="00DF0012"/>
    <w:rsid w:val="00DF518E"/>
    <w:rsid w:val="00DF5390"/>
    <w:rsid w:val="00E01E95"/>
    <w:rsid w:val="00E06CB1"/>
    <w:rsid w:val="00E07BEE"/>
    <w:rsid w:val="00E1541E"/>
    <w:rsid w:val="00E16112"/>
    <w:rsid w:val="00E23CD3"/>
    <w:rsid w:val="00E2654A"/>
    <w:rsid w:val="00E33504"/>
    <w:rsid w:val="00E4068B"/>
    <w:rsid w:val="00E41F52"/>
    <w:rsid w:val="00E53066"/>
    <w:rsid w:val="00E534A6"/>
    <w:rsid w:val="00E55F21"/>
    <w:rsid w:val="00E6121C"/>
    <w:rsid w:val="00E645C5"/>
    <w:rsid w:val="00E64EDB"/>
    <w:rsid w:val="00E67BA5"/>
    <w:rsid w:val="00E704B0"/>
    <w:rsid w:val="00E73CC8"/>
    <w:rsid w:val="00E77C4A"/>
    <w:rsid w:val="00E81CE1"/>
    <w:rsid w:val="00E9005D"/>
    <w:rsid w:val="00E9027E"/>
    <w:rsid w:val="00E937F3"/>
    <w:rsid w:val="00EA10BD"/>
    <w:rsid w:val="00EA622A"/>
    <w:rsid w:val="00EB1A43"/>
    <w:rsid w:val="00EB3A03"/>
    <w:rsid w:val="00EC14AC"/>
    <w:rsid w:val="00EC30E2"/>
    <w:rsid w:val="00ED360E"/>
    <w:rsid w:val="00ED3A8E"/>
    <w:rsid w:val="00ED5B4F"/>
    <w:rsid w:val="00EE02AB"/>
    <w:rsid w:val="00EE05DB"/>
    <w:rsid w:val="00EE6A2E"/>
    <w:rsid w:val="00EF14E6"/>
    <w:rsid w:val="00EF3640"/>
    <w:rsid w:val="00EF7F46"/>
    <w:rsid w:val="00F02511"/>
    <w:rsid w:val="00F030B7"/>
    <w:rsid w:val="00F23518"/>
    <w:rsid w:val="00F26D79"/>
    <w:rsid w:val="00F30DFD"/>
    <w:rsid w:val="00F34FB6"/>
    <w:rsid w:val="00F4046A"/>
    <w:rsid w:val="00F50D8E"/>
    <w:rsid w:val="00F53581"/>
    <w:rsid w:val="00F542C5"/>
    <w:rsid w:val="00F55935"/>
    <w:rsid w:val="00F60C34"/>
    <w:rsid w:val="00F60E5E"/>
    <w:rsid w:val="00F62B93"/>
    <w:rsid w:val="00F6661E"/>
    <w:rsid w:val="00F66A5D"/>
    <w:rsid w:val="00F72422"/>
    <w:rsid w:val="00F75785"/>
    <w:rsid w:val="00F75BE4"/>
    <w:rsid w:val="00F814C4"/>
    <w:rsid w:val="00F85E9B"/>
    <w:rsid w:val="00F904A0"/>
    <w:rsid w:val="00F91B95"/>
    <w:rsid w:val="00FA7F8F"/>
    <w:rsid w:val="00FB1218"/>
    <w:rsid w:val="00FB1363"/>
    <w:rsid w:val="00FB1980"/>
    <w:rsid w:val="00FC6C61"/>
    <w:rsid w:val="00FE38E0"/>
    <w:rsid w:val="00FF1E5B"/>
    <w:rsid w:val="00FF5C53"/>
    <w:rsid w:val="00FF6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8FEBD"/>
  <w15:docId w15:val="{819AEEFE-6B9B-41F9-A5CF-6C5F8177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F9C"/>
    <w:pPr>
      <w:autoSpaceDE w:val="0"/>
      <w:autoSpaceDN w:val="0"/>
      <w:adjustRightInd w:val="0"/>
      <w:spacing w:line="288" w:lineRule="auto"/>
    </w:pPr>
    <w:rPr>
      <w:rFonts w:ascii="ArialMT" w:hAnsi="ArialMT" w:cs="ArialMT"/>
      <w:color w:val="4A4A4A"/>
      <w:lang w:eastAsia="en-US"/>
    </w:rPr>
  </w:style>
  <w:style w:type="paragraph" w:styleId="Nadpis10">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numPr>
        <w:numId w:val="11"/>
      </w:numPr>
      <w:tabs>
        <w:tab w:val="center" w:pos="4536"/>
        <w:tab w:val="right" w:pos="9072"/>
      </w:tabs>
      <w:spacing w:line="240" w:lineRule="auto"/>
    </w:pPr>
  </w:style>
  <w:style w:type="character" w:customStyle="1" w:styleId="ZhlavChar">
    <w:name w:val="Záhlaví Char"/>
    <w:basedOn w:val="Standardnpsmoodstavce"/>
    <w:link w:val="Zhlav"/>
    <w:uiPriority w:val="99"/>
    <w:rsid w:val="00E704B0"/>
    <w:rPr>
      <w:rFonts w:ascii="ArialMT" w:hAnsi="ArialMT" w:cs="ArialMT"/>
      <w:color w:val="4A4A4A"/>
      <w:lang w:eastAsia="en-US"/>
    </w:rPr>
  </w:style>
  <w:style w:type="paragraph" w:styleId="Zpat">
    <w:name w:val="footer"/>
    <w:basedOn w:val="Normln"/>
    <w:link w:val="ZpatChar"/>
    <w:uiPriority w:val="99"/>
    <w:unhideWhenUsed/>
    <w:rsid w:val="00E704B0"/>
    <w:pPr>
      <w:numPr>
        <w:ilvl w:val="1"/>
        <w:numId w:val="11"/>
      </w:numPr>
      <w:tabs>
        <w:tab w:val="center" w:pos="4536"/>
        <w:tab w:val="right" w:pos="9072"/>
      </w:tabs>
      <w:spacing w:line="240" w:lineRule="auto"/>
    </w:pPr>
  </w:style>
  <w:style w:type="character" w:customStyle="1" w:styleId="ZpatChar">
    <w:name w:val="Zápatí Char"/>
    <w:basedOn w:val="Standardnpsmoodstavce"/>
    <w:link w:val="Zpat"/>
    <w:uiPriority w:val="99"/>
    <w:rsid w:val="00E704B0"/>
    <w:rPr>
      <w:rFonts w:ascii="ArialMT" w:hAnsi="ArialMT" w:cs="ArialMT"/>
      <w:color w:val="4A4A4A"/>
      <w:lang w:eastAsia="en-US"/>
    </w:rPr>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link w:val="TitulChar"/>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Odstavecseseznamem"/>
    <w:next w:val="Normln"/>
    <w:qFormat/>
    <w:rsid w:val="000907D2"/>
    <w:pPr>
      <w:numPr>
        <w:numId w:val="15"/>
      </w:numPr>
      <w:spacing w:before="240" w:after="240" w:line="240" w:lineRule="auto"/>
    </w:pPr>
    <w:rPr>
      <w:b/>
      <w:sz w:val="36"/>
      <w:szCs w:val="36"/>
    </w:rPr>
  </w:style>
  <w:style w:type="paragraph" w:customStyle="1" w:styleId="Podnadpis1">
    <w:name w:val="Podnadpis1"/>
    <w:basedOn w:val="Odstavecseseznamem"/>
    <w:next w:val="Normln"/>
    <w:qFormat/>
    <w:rsid w:val="000907D2"/>
    <w:pPr>
      <w:numPr>
        <w:ilvl w:val="1"/>
        <w:numId w:val="15"/>
      </w:numPr>
      <w:spacing w:before="120" w:after="120"/>
      <w:contextualSpacing w:val="0"/>
    </w:p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7624CC"/>
    <w:pPr>
      <w:numPr>
        <w:numId w:val="10"/>
      </w:numPr>
    </w:pPr>
  </w:style>
  <w:style w:type="character" w:customStyle="1" w:styleId="Nadpis1Char">
    <w:name w:val="Nadpis 1 Char"/>
    <w:basedOn w:val="Standardnpsmoodstavce"/>
    <w:link w:val="Nadpis10"/>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7810E8"/>
    <w:pPr>
      <w:spacing w:before="240" w:after="24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7624CC"/>
    <w:rPr>
      <w:rFonts w:ascii="ArialMT" w:hAnsi="ArialMT" w:cs="ArialMT"/>
      <w:color w:val="4A4A4A"/>
      <w:lang w:eastAsia="en-US"/>
    </w:rPr>
  </w:style>
  <w:style w:type="table" w:customStyle="1" w:styleId="Stednstnovn11">
    <w:name w:val="Střední stínování 1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customStyle="1" w:styleId="Stednseznam11">
    <w:name w:val="Střední seznam 1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customStyle="1" w:styleId="Stednstnovn21">
    <w:name w:val="Střední stínování 21"/>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mavseznam1">
    <w:name w:val="Tmavý seznam1"/>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customStyle="1" w:styleId="Stednmka31">
    <w:name w:val="Střední mřížka 31"/>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customStyle="1" w:styleId="Barevnmka1">
    <w:name w:val="Barevná mřížka1"/>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customStyle="1" w:styleId="Svtlmka1">
    <w:name w:val="Světlá mřížka1"/>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customStyle="1" w:styleId="Odstavec">
    <w:name w:val="Odstavec"/>
    <w:basedOn w:val="Normln"/>
    <w:qFormat/>
    <w:rsid w:val="007D204B"/>
    <w:pPr>
      <w:tabs>
        <w:tab w:val="num" w:pos="709"/>
      </w:tabs>
      <w:autoSpaceDE/>
      <w:autoSpaceDN/>
      <w:adjustRightInd/>
      <w:spacing w:after="120" w:line="240" w:lineRule="auto"/>
      <w:ind w:left="708" w:hanging="708"/>
      <w:jc w:val="both"/>
    </w:pPr>
    <w:rPr>
      <w:rFonts w:ascii="Trebuchet MS" w:eastAsia="Times New Roman" w:hAnsi="Trebuchet MS" w:cs="Times New Roman"/>
      <w:color w:val="auto"/>
      <w:sz w:val="24"/>
      <w:szCs w:val="24"/>
      <w:lang w:eastAsia="cs-CZ"/>
    </w:rPr>
  </w:style>
  <w:style w:type="paragraph" w:customStyle="1" w:styleId="Odrka11">
    <w:name w:val="Odrážka 1.1"/>
    <w:basedOn w:val="Zpat"/>
    <w:link w:val="Odrka11Char"/>
    <w:rsid w:val="0047185D"/>
    <w:pPr>
      <w:ind w:hanging="566"/>
    </w:pPr>
  </w:style>
  <w:style w:type="paragraph" w:customStyle="1" w:styleId="Odrka12">
    <w:name w:val="Odrážka 1.2"/>
    <w:basedOn w:val="Odrka11"/>
    <w:link w:val="Odrka12Char"/>
    <w:rsid w:val="0047185D"/>
    <w:pPr>
      <w:ind w:hanging="708"/>
    </w:pPr>
  </w:style>
  <w:style w:type="character" w:customStyle="1" w:styleId="Odrka11Char">
    <w:name w:val="Odrážka 1.1 Char"/>
    <w:basedOn w:val="ZpatChar"/>
    <w:link w:val="Odrka11"/>
    <w:rsid w:val="0047185D"/>
    <w:rPr>
      <w:rFonts w:ascii="ArialMT" w:hAnsi="ArialMT" w:cs="ArialMT"/>
      <w:color w:val="4A4A4A"/>
      <w:lang w:eastAsia="en-US"/>
    </w:rPr>
  </w:style>
  <w:style w:type="paragraph" w:customStyle="1" w:styleId="PodPodNadpis">
    <w:name w:val="PodPodNadpis"/>
    <w:basedOn w:val="Odstavecseseznamem"/>
    <w:link w:val="PodPodNadpisChar"/>
    <w:qFormat/>
    <w:rsid w:val="000907D2"/>
    <w:pPr>
      <w:numPr>
        <w:ilvl w:val="2"/>
        <w:numId w:val="15"/>
      </w:numPr>
      <w:spacing w:before="120" w:after="120"/>
      <w:contextualSpacing w:val="0"/>
    </w:pPr>
  </w:style>
  <w:style w:type="character" w:customStyle="1" w:styleId="Odrka12Char">
    <w:name w:val="Odrážka 1.2 Char"/>
    <w:basedOn w:val="Odrka11Char"/>
    <w:link w:val="Odrka12"/>
    <w:rsid w:val="0047185D"/>
    <w:rPr>
      <w:rFonts w:ascii="ArialMT" w:hAnsi="ArialMT" w:cs="ArialMT"/>
      <w:color w:val="4A4A4A"/>
      <w:lang w:eastAsia="en-US"/>
    </w:rPr>
  </w:style>
  <w:style w:type="paragraph" w:customStyle="1" w:styleId="PlohaA">
    <w:name w:val="Příloha A"/>
    <w:basedOn w:val="Normln"/>
    <w:link w:val="PlohaAChar"/>
    <w:qFormat/>
    <w:rsid w:val="00CF4912"/>
    <w:pPr>
      <w:numPr>
        <w:ilvl w:val="1"/>
        <w:numId w:val="13"/>
      </w:numPr>
      <w:spacing w:before="360" w:after="120"/>
      <w:jc w:val="center"/>
    </w:pPr>
    <w:rPr>
      <w:b/>
      <w:sz w:val="28"/>
      <w:szCs w:val="28"/>
    </w:rPr>
  </w:style>
  <w:style w:type="character" w:customStyle="1" w:styleId="PodPodNadpisChar">
    <w:name w:val="PodPodNadpis Char"/>
    <w:basedOn w:val="OdstavecseseznamemChar"/>
    <w:link w:val="PodPodNadpis"/>
    <w:rsid w:val="000907D2"/>
    <w:rPr>
      <w:rFonts w:ascii="ArialMT" w:hAnsi="ArialMT" w:cs="ArialMT"/>
      <w:color w:val="4A4A4A"/>
      <w:lang w:eastAsia="en-US"/>
    </w:rPr>
  </w:style>
  <w:style w:type="character" w:styleId="Sledovanodkaz">
    <w:name w:val="FollowedHyperlink"/>
    <w:basedOn w:val="Standardnpsmoodstavce"/>
    <w:uiPriority w:val="99"/>
    <w:semiHidden/>
    <w:unhideWhenUsed/>
    <w:rsid w:val="00EF14E6"/>
    <w:rPr>
      <w:color w:val="80539C" w:themeColor="followedHyperlink"/>
      <w:u w:val="single"/>
    </w:rPr>
  </w:style>
  <w:style w:type="character" w:customStyle="1" w:styleId="PlohaAChar">
    <w:name w:val="Příloha A Char"/>
    <w:basedOn w:val="Standardnpsmoodstavce"/>
    <w:link w:val="PlohaA"/>
    <w:rsid w:val="00CF4912"/>
    <w:rPr>
      <w:rFonts w:ascii="ArialMT" w:hAnsi="ArialMT" w:cs="ArialMT"/>
      <w:b/>
      <w:color w:val="4A4A4A"/>
      <w:sz w:val="28"/>
      <w:szCs w:val="28"/>
      <w:lang w:eastAsia="en-US"/>
    </w:rPr>
  </w:style>
  <w:style w:type="paragraph" w:customStyle="1" w:styleId="Titul-ploha">
    <w:name w:val="Titul - příloha"/>
    <w:basedOn w:val="Titul"/>
    <w:link w:val="Titul-plohaChar"/>
    <w:qFormat/>
    <w:rsid w:val="001E1D9C"/>
    <w:pPr>
      <w:spacing w:after="480"/>
      <w:ind w:right="0"/>
      <w:jc w:val="center"/>
    </w:pPr>
    <w:rPr>
      <w:sz w:val="48"/>
      <w:szCs w:val="48"/>
    </w:rPr>
  </w:style>
  <w:style w:type="paragraph" w:customStyle="1" w:styleId="PlohaB">
    <w:name w:val="Příloha B"/>
    <w:basedOn w:val="Normln"/>
    <w:link w:val="PlohaBChar"/>
    <w:qFormat/>
    <w:rsid w:val="00122EAE"/>
    <w:pPr>
      <w:numPr>
        <w:numId w:val="14"/>
      </w:numPr>
      <w:spacing w:before="480"/>
      <w:ind w:left="714" w:hanging="357"/>
    </w:pPr>
    <w:rPr>
      <w:b/>
    </w:rPr>
  </w:style>
  <w:style w:type="character" w:customStyle="1" w:styleId="TitulChar">
    <w:name w:val="Titul Char"/>
    <w:basedOn w:val="Standardnpsmoodstavce"/>
    <w:link w:val="Titul"/>
    <w:rsid w:val="001E1D9C"/>
    <w:rPr>
      <w:rFonts w:ascii="Arial-BoldMT" w:hAnsi="Arial-BoldMT" w:cs="Arial-BoldMT"/>
      <w:b/>
      <w:bCs/>
      <w:caps/>
      <w:color w:val="4A4A4A"/>
      <w:sz w:val="64"/>
      <w:szCs w:val="64"/>
      <w:lang w:eastAsia="en-US"/>
    </w:rPr>
  </w:style>
  <w:style w:type="character" w:customStyle="1" w:styleId="Titul-plohaChar">
    <w:name w:val="Titul - příloha Char"/>
    <w:basedOn w:val="TitulChar"/>
    <w:link w:val="Titul-ploha"/>
    <w:rsid w:val="001E1D9C"/>
    <w:rPr>
      <w:rFonts w:ascii="Arial-BoldMT" w:hAnsi="Arial-BoldMT" w:cs="Arial-BoldMT"/>
      <w:b/>
      <w:bCs/>
      <w:caps/>
      <w:color w:val="4A4A4A"/>
      <w:sz w:val="48"/>
      <w:szCs w:val="48"/>
      <w:lang w:eastAsia="en-US"/>
    </w:rPr>
  </w:style>
  <w:style w:type="character" w:customStyle="1" w:styleId="PlohaBChar">
    <w:name w:val="Příloha B Char"/>
    <w:basedOn w:val="Standardnpsmoodstavce"/>
    <w:link w:val="PlohaB"/>
    <w:rsid w:val="00122EAE"/>
    <w:rPr>
      <w:rFonts w:ascii="ArialMT" w:hAnsi="ArialMT" w:cs="ArialMT"/>
      <w:b/>
      <w:color w:val="4A4A4A"/>
      <w:lang w:eastAsia="en-US"/>
    </w:rPr>
  </w:style>
  <w:style w:type="paragraph" w:styleId="Bezmezer">
    <w:name w:val="No Spacing"/>
    <w:uiPriority w:val="1"/>
    <w:qFormat/>
    <w:rsid w:val="00711111"/>
    <w:pPr>
      <w:autoSpaceDE w:val="0"/>
      <w:autoSpaceDN w:val="0"/>
      <w:adjustRightInd w:val="0"/>
    </w:pPr>
    <w:rPr>
      <w:rFonts w:ascii="ArialMT" w:hAnsi="ArialMT" w:cs="ArialMT"/>
      <w:color w:val="4A4A4A"/>
      <w:lang w:eastAsia="en-US"/>
    </w:rPr>
  </w:style>
  <w:style w:type="paragraph" w:customStyle="1" w:styleId="Nadpis11">
    <w:name w:val="Nadpis 11"/>
    <w:basedOn w:val="Normln"/>
    <w:rsid w:val="008D0628"/>
    <w:pPr>
      <w:numPr>
        <w:numId w:val="39"/>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8D0628"/>
    <w:pPr>
      <w:numPr>
        <w:ilvl w:val="1"/>
        <w:numId w:val="39"/>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8D0628"/>
    <w:pPr>
      <w:numPr>
        <w:ilvl w:val="2"/>
        <w:numId w:val="39"/>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8D0628"/>
    <w:pPr>
      <w:numPr>
        <w:ilvl w:val="3"/>
        <w:numId w:val="39"/>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8D0628"/>
    <w:pPr>
      <w:numPr>
        <w:ilvl w:val="4"/>
        <w:numId w:val="39"/>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8D0628"/>
    <w:pPr>
      <w:numPr>
        <w:ilvl w:val="5"/>
        <w:numId w:val="39"/>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8D0628"/>
    <w:pPr>
      <w:numPr>
        <w:ilvl w:val="6"/>
        <w:numId w:val="39"/>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8D0628"/>
    <w:pPr>
      <w:numPr>
        <w:ilvl w:val="7"/>
        <w:numId w:val="39"/>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8D0628"/>
    <w:pPr>
      <w:numPr>
        <w:ilvl w:val="8"/>
        <w:numId w:val="39"/>
      </w:numPr>
      <w:autoSpaceDE/>
      <w:autoSpaceDN/>
      <w:adjustRightInd/>
      <w:spacing w:line="276" w:lineRule="auto"/>
    </w:pPr>
    <w:rPr>
      <w:rFonts w:ascii="Trebuchet MS" w:hAnsi="Trebuchet MS" w:cs="Trebuchet MS"/>
      <w:color w:val="auto"/>
      <w:sz w:val="22"/>
      <w:szCs w:val="22"/>
    </w:rPr>
  </w:style>
  <w:style w:type="character" w:styleId="Odkaznakoment">
    <w:name w:val="annotation reference"/>
    <w:basedOn w:val="Standardnpsmoodstavce"/>
    <w:uiPriority w:val="99"/>
    <w:semiHidden/>
    <w:unhideWhenUsed/>
    <w:rsid w:val="00565DCE"/>
    <w:rPr>
      <w:sz w:val="16"/>
      <w:szCs w:val="16"/>
    </w:rPr>
  </w:style>
  <w:style w:type="paragraph" w:styleId="Textkomente">
    <w:name w:val="annotation text"/>
    <w:basedOn w:val="Normln"/>
    <w:link w:val="TextkomenteChar"/>
    <w:uiPriority w:val="99"/>
    <w:semiHidden/>
    <w:unhideWhenUsed/>
    <w:rsid w:val="00565DCE"/>
    <w:pPr>
      <w:spacing w:line="240" w:lineRule="auto"/>
    </w:pPr>
  </w:style>
  <w:style w:type="character" w:customStyle="1" w:styleId="TextkomenteChar">
    <w:name w:val="Text komentáře Char"/>
    <w:basedOn w:val="Standardnpsmoodstavce"/>
    <w:link w:val="Textkomente"/>
    <w:uiPriority w:val="99"/>
    <w:semiHidden/>
    <w:rsid w:val="00565DC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565DCE"/>
    <w:rPr>
      <w:b/>
      <w:bCs/>
    </w:rPr>
  </w:style>
  <w:style w:type="character" w:customStyle="1" w:styleId="PedmtkomenteChar">
    <w:name w:val="Předmět komentáře Char"/>
    <w:basedOn w:val="TextkomenteChar"/>
    <w:link w:val="Pedmtkomente"/>
    <w:uiPriority w:val="99"/>
    <w:semiHidden/>
    <w:rsid w:val="00565DCE"/>
    <w:rPr>
      <w:rFonts w:ascii="ArialMT" w:hAnsi="ArialMT" w:cs="ArialMT"/>
      <w:b/>
      <w:bCs/>
      <w:color w:val="4A4A4A"/>
      <w:lang w:eastAsia="en-US"/>
    </w:rPr>
  </w:style>
  <w:style w:type="paragraph" w:styleId="Revize">
    <w:name w:val="Revision"/>
    <w:hidden/>
    <w:uiPriority w:val="99"/>
    <w:semiHidden/>
    <w:rsid w:val="009F3199"/>
    <w:rPr>
      <w:rFonts w:ascii="ArialMT" w:hAnsi="ArialMT" w:cs="ArialMT"/>
      <w:color w:val="4A4A4A"/>
      <w:lang w:eastAsia="en-US"/>
    </w:rPr>
  </w:style>
  <w:style w:type="character" w:customStyle="1" w:styleId="Nevyeenzmnka1">
    <w:name w:val="Nevyřešená zmínka1"/>
    <w:basedOn w:val="Standardnpsmoodstavce"/>
    <w:uiPriority w:val="99"/>
    <w:semiHidden/>
    <w:unhideWhenUsed/>
    <w:rsid w:val="00053F0E"/>
    <w:rPr>
      <w:color w:val="605E5C"/>
      <w:shd w:val="clear" w:color="auto" w:fill="E1DFDD"/>
    </w:rPr>
  </w:style>
  <w:style w:type="paragraph" w:customStyle="1" w:styleId="Nadpis1">
    <w:name w:val="Nadpis1"/>
    <w:basedOn w:val="Odstavecseseznamem"/>
    <w:next w:val="Normln"/>
    <w:autoRedefine/>
    <w:qFormat/>
    <w:rsid w:val="0099122E"/>
    <w:pPr>
      <w:numPr>
        <w:numId w:val="56"/>
      </w:numPr>
      <w:autoSpaceDE/>
      <w:autoSpaceDN/>
      <w:adjustRightInd/>
      <w:spacing w:before="240" w:after="240" w:line="276" w:lineRule="auto"/>
      <w:ind w:left="426" w:hanging="426"/>
      <w:jc w:val="both"/>
    </w:pPr>
    <w:rPr>
      <w:rFonts w:ascii="NettoPro-Bold" w:hAnsi="NettoPro-Bold" w:cs="NettoPro-Bold"/>
      <w:color w:val="FFFFFF" w:themeColor="background1"/>
      <w:sz w:val="36"/>
      <w:szCs w:val="36"/>
      <w:lang w:eastAsia="cs-CZ"/>
    </w:rPr>
  </w:style>
  <w:style w:type="table" w:styleId="Svtlmkazvraznn2">
    <w:name w:val="Light Grid Accent 2"/>
    <w:basedOn w:val="Normlntabulka"/>
    <w:uiPriority w:val="62"/>
    <w:rsid w:val="0099122E"/>
    <w:pPr>
      <w:jc w:val="both"/>
    </w:pPr>
    <w:rPr>
      <w:rFonts w:ascii="Arial" w:eastAsiaTheme="minorHAnsi" w:hAnsi="Arial" w:cstheme="minorBidi"/>
      <w:color w:val="4A4A4A"/>
      <w:szCs w:val="22"/>
      <w:lang w:eastAsia="en-US"/>
    </w:rPr>
    <w:tblPr>
      <w:tblStyleRowBandSize w:val="1"/>
      <w:tblStyleColBandSize w:val="1"/>
      <w:tblBorders>
        <w:top w:val="single" w:sz="8" w:space="0" w:color="EA4B5B" w:themeColor="accent2"/>
        <w:left w:val="single" w:sz="8" w:space="0" w:color="EA4B5B" w:themeColor="accent2"/>
        <w:bottom w:val="single" w:sz="8" w:space="0" w:color="EA4B5B" w:themeColor="accent2"/>
        <w:right w:val="single" w:sz="8" w:space="0" w:color="EA4B5B" w:themeColor="accent2"/>
        <w:insideH w:val="single" w:sz="8" w:space="0" w:color="EA4B5B" w:themeColor="accent2"/>
        <w:insideV w:val="single" w:sz="8" w:space="0" w:color="EA4B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18" w:space="0" w:color="EA4B5B" w:themeColor="accent2"/>
          <w:right w:val="single" w:sz="8" w:space="0" w:color="EA4B5B" w:themeColor="accent2"/>
          <w:insideH w:val="nil"/>
          <w:insideV w:val="single" w:sz="8" w:space="0" w:color="EA4B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B5B" w:themeColor="accent2"/>
          <w:left w:val="single" w:sz="8" w:space="0" w:color="EA4B5B" w:themeColor="accent2"/>
          <w:bottom w:val="single" w:sz="8" w:space="0" w:color="EA4B5B" w:themeColor="accent2"/>
          <w:right w:val="single" w:sz="8" w:space="0" w:color="EA4B5B" w:themeColor="accent2"/>
          <w:insideH w:val="nil"/>
          <w:insideV w:val="single" w:sz="8" w:space="0" w:color="EA4B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tcPr>
    </w:tblStylePr>
    <w:tblStylePr w:type="band1Vert">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shd w:val="clear" w:color="auto" w:fill="F9D2D6" w:themeFill="accent2" w:themeFillTint="3F"/>
      </w:tcPr>
    </w:tblStylePr>
    <w:tblStylePr w:type="band1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shd w:val="clear" w:color="auto" w:fill="F9D2D6" w:themeFill="accent2" w:themeFillTint="3F"/>
      </w:tcPr>
    </w:tblStylePr>
    <w:tblStylePr w:type="band2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tcPr>
    </w:tblStylePr>
  </w:style>
  <w:style w:type="character" w:styleId="Zstupntext">
    <w:name w:val="Placeholder Text"/>
    <w:basedOn w:val="Standardnpsmoodstavce"/>
    <w:uiPriority w:val="99"/>
    <w:semiHidden/>
    <w:rsid w:val="0053380D"/>
    <w:rPr>
      <w:color w:val="808080"/>
    </w:rPr>
  </w:style>
  <w:style w:type="table" w:customStyle="1" w:styleId="Prosttabulka21">
    <w:name w:val="Prostá tabulka 21"/>
    <w:basedOn w:val="Normlntabulka"/>
    <w:uiPriority w:val="42"/>
    <w:rsid w:val="004C688D"/>
    <w:tblPr>
      <w:tblStyleRowBandSize w:val="1"/>
      <w:tblStyleColBandSize w:val="1"/>
      <w:tblBorders>
        <w:top w:val="single" w:sz="4" w:space="0" w:color="B2B2B2" w:themeColor="text1" w:themeTint="80"/>
        <w:bottom w:val="single" w:sz="4" w:space="0" w:color="B2B2B2" w:themeColor="text1" w:themeTint="80"/>
      </w:tblBorders>
    </w:tblPr>
    <w:tblStylePr w:type="firstRow">
      <w:rPr>
        <w:b/>
        <w:bCs/>
      </w:rPr>
      <w:tblPr/>
      <w:tcPr>
        <w:tcBorders>
          <w:bottom w:val="single" w:sz="4" w:space="0" w:color="B2B2B2" w:themeColor="text1" w:themeTint="80"/>
        </w:tcBorders>
      </w:tcPr>
    </w:tblStylePr>
    <w:tblStylePr w:type="lastRow">
      <w:rPr>
        <w:b/>
        <w:bCs/>
      </w:rPr>
      <w:tblPr/>
      <w:tcPr>
        <w:tcBorders>
          <w:top w:val="single" w:sz="4" w:space="0" w:color="B2B2B2" w:themeColor="text1" w:themeTint="80"/>
        </w:tcBorders>
      </w:tcPr>
    </w:tblStylePr>
    <w:tblStylePr w:type="firstCol">
      <w:rPr>
        <w:b/>
        <w:bCs/>
      </w:rPr>
    </w:tblStylePr>
    <w:tblStylePr w:type="lastCol">
      <w:rPr>
        <w:b/>
        <w:bCs/>
      </w:rPr>
    </w:tblStylePr>
    <w:tblStylePr w:type="band1Vert">
      <w:tblPr/>
      <w:tcPr>
        <w:tcBorders>
          <w:left w:val="single" w:sz="4" w:space="0" w:color="B2B2B2" w:themeColor="text1" w:themeTint="80"/>
          <w:right w:val="single" w:sz="4" w:space="0" w:color="B2B2B2" w:themeColor="text1" w:themeTint="80"/>
        </w:tcBorders>
      </w:tcPr>
    </w:tblStylePr>
    <w:tblStylePr w:type="band2Vert">
      <w:tblPr/>
      <w:tcPr>
        <w:tcBorders>
          <w:left w:val="single" w:sz="4" w:space="0" w:color="B2B2B2" w:themeColor="text1" w:themeTint="80"/>
          <w:right w:val="single" w:sz="4" w:space="0" w:color="B2B2B2" w:themeColor="text1" w:themeTint="80"/>
        </w:tcBorders>
      </w:tcPr>
    </w:tblStylePr>
    <w:tblStylePr w:type="band1Horz">
      <w:tblPr/>
      <w:tcPr>
        <w:tcBorders>
          <w:top w:val="single" w:sz="4" w:space="0" w:color="B2B2B2" w:themeColor="text1" w:themeTint="80"/>
          <w:bottom w:val="single" w:sz="4" w:space="0" w:color="B2B2B2" w:themeColor="text1" w:themeTint="80"/>
        </w:tcBorders>
      </w:tcPr>
    </w:tblStylePr>
  </w:style>
  <w:style w:type="character" w:customStyle="1" w:styleId="nowrap">
    <w:name w:val="nowrap"/>
    <w:basedOn w:val="Standardnpsmoodstavce"/>
    <w:rsid w:val="00ED5B4F"/>
  </w:style>
  <w:style w:type="paragraph" w:customStyle="1" w:styleId="Smlouva-slo">
    <w:name w:val="Smlouva-číslo"/>
    <w:basedOn w:val="Normln"/>
    <w:rsid w:val="002C2902"/>
    <w:pPr>
      <w:widowControl w:val="0"/>
      <w:numPr>
        <w:numId w:val="78"/>
      </w:numPr>
      <w:suppressAutoHyphens/>
      <w:autoSpaceDE/>
      <w:autoSpaceDN/>
      <w:adjustRightInd/>
      <w:spacing w:before="120" w:line="240" w:lineRule="atLeast"/>
      <w:jc w:val="both"/>
    </w:pPr>
    <w:rPr>
      <w:rFonts w:ascii="Times New Roman" w:eastAsia="Times New Roman" w:hAnsi="Times New Roman" w:cs="Calibri"/>
      <w:color w:val="auto"/>
      <w:sz w:val="24"/>
      <w:lang w:eastAsia="ar-SA"/>
    </w:rPr>
  </w:style>
  <w:style w:type="character" w:customStyle="1" w:styleId="UnresolvedMention">
    <w:name w:val="Unresolved Mention"/>
    <w:basedOn w:val="Standardnpsmoodstavce"/>
    <w:uiPriority w:val="99"/>
    <w:semiHidden/>
    <w:unhideWhenUsed/>
    <w:rsid w:val="0061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73259">
      <w:bodyDiv w:val="1"/>
      <w:marLeft w:val="0"/>
      <w:marRight w:val="0"/>
      <w:marTop w:val="0"/>
      <w:marBottom w:val="0"/>
      <w:divBdr>
        <w:top w:val="none" w:sz="0" w:space="0" w:color="auto"/>
        <w:left w:val="none" w:sz="0" w:space="0" w:color="auto"/>
        <w:bottom w:val="none" w:sz="0" w:space="0" w:color="auto"/>
        <w:right w:val="none" w:sz="0" w:space="0" w:color="auto"/>
      </w:divBdr>
    </w:div>
    <w:div w:id="614289541">
      <w:bodyDiv w:val="1"/>
      <w:marLeft w:val="0"/>
      <w:marRight w:val="0"/>
      <w:marTop w:val="0"/>
      <w:marBottom w:val="0"/>
      <w:divBdr>
        <w:top w:val="none" w:sz="0" w:space="0" w:color="auto"/>
        <w:left w:val="none" w:sz="0" w:space="0" w:color="auto"/>
        <w:bottom w:val="none" w:sz="0" w:space="0" w:color="auto"/>
        <w:right w:val="none" w:sz="0" w:space="0" w:color="auto"/>
      </w:divBdr>
    </w:div>
    <w:div w:id="1357999269">
      <w:bodyDiv w:val="1"/>
      <w:marLeft w:val="0"/>
      <w:marRight w:val="0"/>
      <w:marTop w:val="0"/>
      <w:marBottom w:val="0"/>
      <w:divBdr>
        <w:top w:val="none" w:sz="0" w:space="0" w:color="auto"/>
        <w:left w:val="none" w:sz="0" w:space="0" w:color="auto"/>
        <w:bottom w:val="none" w:sz="0" w:space="0" w:color="auto"/>
        <w:right w:val="none" w:sz="0" w:space="0" w:color="auto"/>
      </w:divBdr>
    </w:div>
    <w:div w:id="16876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ustomercare@newtonmedi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tonone.newtonmedi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948D-101B-4F8F-B832-139F96BE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B9BCB0-1F62-46CC-9AA5-66DF315B669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2F750EDC-D72C-43A3-9EE0-B8A67D8E31C3}">
  <ds:schemaRefs>
    <ds:schemaRef ds:uri="http://schemas.microsoft.com/sharepoint/v3/contenttype/forms"/>
  </ds:schemaRefs>
</ds:datastoreItem>
</file>

<file path=customXml/itemProps4.xml><?xml version="1.0" encoding="utf-8"?>
<ds:datastoreItem xmlns:ds="http://schemas.openxmlformats.org/officeDocument/2006/customXml" ds:itemID="{511E4E7E-902A-4627-9175-093A314F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4427</Words>
  <Characters>26126</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Hrones Michal</dc:creator>
  <cp:lastModifiedBy>maršíková</cp:lastModifiedBy>
  <cp:revision>2</cp:revision>
  <cp:lastPrinted>2019-04-11T16:10:00Z</cp:lastPrinted>
  <dcterms:created xsi:type="dcterms:W3CDTF">2023-01-02T07:54:00Z</dcterms:created>
  <dcterms:modified xsi:type="dcterms:W3CDTF">2023-01-02T07:54:00Z</dcterms:modified>
</cp:coreProperties>
</file>