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61AF5" w14:textId="643BBF69" w:rsidR="00E2509E" w:rsidRPr="00976DF7" w:rsidRDefault="00E2509E" w:rsidP="00E2509E">
      <w:pPr>
        <w:pStyle w:val="Nadpis1"/>
      </w:pPr>
      <w:r>
        <w:t xml:space="preserve">Smlouva o poskytování </w:t>
      </w:r>
      <w:r w:rsidR="00072B8E">
        <w:t>konzultačních a vývojových prací</w:t>
      </w:r>
      <w:r>
        <w:t xml:space="preserve"> </w:t>
      </w:r>
      <w:r w:rsidR="00B23236">
        <w:t>pro reporting v </w:t>
      </w:r>
      <w:proofErr w:type="spellStart"/>
      <w:r w:rsidR="00B23236">
        <w:t>PowerBI</w:t>
      </w:r>
      <w:proofErr w:type="spellEnd"/>
      <w:r w:rsidR="00B23236">
        <w:t xml:space="preserve"> AMU</w:t>
      </w:r>
      <w:r w:rsidR="2DA215CC">
        <w:t xml:space="preserve"> a Datový sklad AMU</w:t>
      </w:r>
    </w:p>
    <w:p w14:paraId="672A6659" w14:textId="72CE3347" w:rsidR="004416FB" w:rsidRDefault="004416FB" w:rsidP="7246F2BC">
      <w:pPr>
        <w:rPr>
          <w:rFonts w:cs="Arial"/>
          <w:sz w:val="22"/>
          <w:szCs w:val="22"/>
        </w:rPr>
      </w:pPr>
    </w:p>
    <w:p w14:paraId="0A37501D" w14:textId="77777777" w:rsidR="00E2509E" w:rsidRDefault="00E2509E"/>
    <w:p w14:paraId="21C1E5E9" w14:textId="77777777" w:rsidR="00E2509E" w:rsidRDefault="00E2509E" w:rsidP="00E2509E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</w:t>
      </w:r>
      <w:r w:rsidRPr="00976DF7">
        <w:rPr>
          <w:rFonts w:cs="Arial"/>
          <w:b/>
          <w:bCs/>
          <w:sz w:val="22"/>
          <w:szCs w:val="22"/>
        </w:rPr>
        <w:t>mluvní stran</w:t>
      </w:r>
      <w:r>
        <w:rPr>
          <w:rFonts w:cs="Arial"/>
          <w:b/>
          <w:bCs/>
          <w:sz w:val="22"/>
          <w:szCs w:val="22"/>
        </w:rPr>
        <w:t>y</w:t>
      </w:r>
      <w:r w:rsidRPr="00976DF7">
        <w:rPr>
          <w:rFonts w:cs="Arial"/>
          <w:b/>
          <w:bCs/>
          <w:sz w:val="22"/>
          <w:szCs w:val="22"/>
        </w:rPr>
        <w:t>:</w:t>
      </w:r>
    </w:p>
    <w:p w14:paraId="5DAB6C7B" w14:textId="77777777" w:rsidR="00E2509E" w:rsidRPr="00976DF7" w:rsidRDefault="00E2509E" w:rsidP="00E2509E">
      <w:pPr>
        <w:rPr>
          <w:rFonts w:cs="Arial"/>
          <w:b/>
          <w:bCs/>
          <w:sz w:val="22"/>
          <w:szCs w:val="22"/>
        </w:rPr>
      </w:pPr>
    </w:p>
    <w:p w14:paraId="02EB378F" w14:textId="77777777" w:rsidR="00E2509E" w:rsidRPr="00976DF7" w:rsidRDefault="00E2509E" w:rsidP="00E2509E">
      <w:pPr>
        <w:rPr>
          <w:rFonts w:cs="Arial"/>
          <w:b/>
          <w:bCs/>
          <w:sz w:val="14"/>
          <w:szCs w:val="22"/>
        </w:rPr>
      </w:pPr>
    </w:p>
    <w:p w14:paraId="6A05A809" w14:textId="77777777" w:rsidR="00E2509E" w:rsidRPr="00976DF7" w:rsidRDefault="00E2509E" w:rsidP="00E2509E">
      <w:pPr>
        <w:rPr>
          <w:rFonts w:cs="Arial"/>
          <w:b/>
          <w:iCs/>
          <w:sz w:val="22"/>
          <w:szCs w:val="22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260"/>
        <w:gridCol w:w="6663"/>
      </w:tblGrid>
      <w:tr w:rsidR="00E2509E" w:rsidRPr="00976DF7" w14:paraId="41E2BA16" w14:textId="77777777" w:rsidTr="3C2682ED">
        <w:tc>
          <w:tcPr>
            <w:tcW w:w="3260" w:type="dxa"/>
            <w:vAlign w:val="center"/>
          </w:tcPr>
          <w:p w14:paraId="17E85F95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76DF7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6663" w:type="dxa"/>
            <w:vAlign w:val="center"/>
          </w:tcPr>
          <w:p w14:paraId="0B19D48C" w14:textId="77777777" w:rsidR="00E2509E" w:rsidRPr="00976DF7" w:rsidRDefault="00E2509E" w:rsidP="00390409">
            <w:pPr>
              <w:spacing w:before="20" w:after="20"/>
              <w:rPr>
                <w:rFonts w:cs="Arial"/>
                <w:b/>
                <w:bCs/>
                <w:sz w:val="22"/>
                <w:szCs w:val="22"/>
              </w:rPr>
            </w:pPr>
            <w:r w:rsidRPr="002A25E0">
              <w:rPr>
                <w:rFonts w:cs="Arial"/>
                <w:b/>
                <w:bCs/>
              </w:rPr>
              <w:t>Akademie múzických umění v Praze</w:t>
            </w:r>
          </w:p>
        </w:tc>
      </w:tr>
      <w:tr w:rsidR="00E2509E" w:rsidRPr="00976DF7" w14:paraId="38E98346" w14:textId="77777777" w:rsidTr="3C2682ED">
        <w:tc>
          <w:tcPr>
            <w:tcW w:w="3260" w:type="dxa"/>
          </w:tcPr>
          <w:p w14:paraId="7F6F437C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76DF7">
              <w:rPr>
                <w:rFonts w:cs="Arial"/>
                <w:sz w:val="22"/>
                <w:szCs w:val="22"/>
              </w:rPr>
              <w:t>Se sídlem:</w:t>
            </w:r>
          </w:p>
        </w:tc>
        <w:tc>
          <w:tcPr>
            <w:tcW w:w="6663" w:type="dxa"/>
          </w:tcPr>
          <w:p w14:paraId="5CE22689" w14:textId="77777777" w:rsidR="00E2509E" w:rsidRPr="00976DF7" w:rsidRDefault="00E2509E" w:rsidP="00390409">
            <w:pPr>
              <w:spacing w:before="20" w:after="20"/>
              <w:rPr>
                <w:rFonts w:cs="Arial"/>
                <w:bCs/>
                <w:sz w:val="22"/>
                <w:szCs w:val="22"/>
              </w:rPr>
            </w:pPr>
            <w:r w:rsidRPr="00940612">
              <w:rPr>
                <w:rFonts w:cs="Arial"/>
                <w:bCs/>
                <w:sz w:val="22"/>
                <w:szCs w:val="22"/>
              </w:rPr>
              <w:t>Malostranské náměstí 12, 118 00 Praha 1</w:t>
            </w:r>
          </w:p>
        </w:tc>
      </w:tr>
      <w:tr w:rsidR="00E2509E" w:rsidRPr="00976DF7" w14:paraId="28DFA5AF" w14:textId="77777777" w:rsidTr="3C2682ED">
        <w:tc>
          <w:tcPr>
            <w:tcW w:w="3260" w:type="dxa"/>
          </w:tcPr>
          <w:p w14:paraId="7FD07F30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76DF7">
              <w:rPr>
                <w:rFonts w:cs="Arial"/>
                <w:sz w:val="22"/>
                <w:szCs w:val="22"/>
              </w:rPr>
              <w:t>IČ:</w:t>
            </w:r>
          </w:p>
        </w:tc>
        <w:tc>
          <w:tcPr>
            <w:tcW w:w="6663" w:type="dxa"/>
          </w:tcPr>
          <w:p w14:paraId="688087AC" w14:textId="77777777" w:rsidR="00E2509E" w:rsidRPr="00976DF7" w:rsidRDefault="00E2509E" w:rsidP="00390409">
            <w:pPr>
              <w:spacing w:before="20" w:after="20"/>
              <w:rPr>
                <w:rFonts w:cs="Arial"/>
                <w:bCs/>
                <w:sz w:val="22"/>
                <w:szCs w:val="22"/>
              </w:rPr>
            </w:pPr>
            <w:r w:rsidRPr="00940612">
              <w:rPr>
                <w:rFonts w:cs="Arial"/>
                <w:bCs/>
                <w:sz w:val="22"/>
                <w:szCs w:val="22"/>
              </w:rPr>
              <w:t>61384984</w:t>
            </w:r>
          </w:p>
        </w:tc>
      </w:tr>
      <w:tr w:rsidR="00E2509E" w:rsidRPr="00976DF7" w14:paraId="7CA649B5" w14:textId="77777777" w:rsidTr="3C2682ED">
        <w:tc>
          <w:tcPr>
            <w:tcW w:w="3260" w:type="dxa"/>
          </w:tcPr>
          <w:p w14:paraId="22590E9A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  <w:r w:rsidRPr="00940612">
              <w:rPr>
                <w:rFonts w:cs="Arial"/>
                <w:sz w:val="22"/>
                <w:szCs w:val="22"/>
              </w:rPr>
              <w:t>ankovní spojení</w:t>
            </w:r>
          </w:p>
        </w:tc>
        <w:tc>
          <w:tcPr>
            <w:tcW w:w="6663" w:type="dxa"/>
          </w:tcPr>
          <w:p w14:paraId="26562C56" w14:textId="77777777" w:rsidR="00E2509E" w:rsidRPr="00940612" w:rsidRDefault="00E2509E" w:rsidP="00390409">
            <w:pPr>
              <w:spacing w:before="20" w:after="20"/>
              <w:rPr>
                <w:rFonts w:cs="Arial"/>
                <w:bCs/>
                <w:sz w:val="22"/>
                <w:szCs w:val="22"/>
              </w:rPr>
            </w:pPr>
            <w:r w:rsidRPr="00940612">
              <w:rPr>
                <w:rFonts w:cs="Arial"/>
                <w:bCs/>
                <w:sz w:val="22"/>
                <w:szCs w:val="22"/>
              </w:rPr>
              <w:t xml:space="preserve">Komerční banka, a.s., </w:t>
            </w:r>
          </w:p>
          <w:p w14:paraId="64EC8DCC" w14:textId="77777777" w:rsidR="00E2509E" w:rsidRPr="00940612" w:rsidRDefault="00E2509E" w:rsidP="00390409">
            <w:pPr>
              <w:spacing w:before="20" w:after="2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Č</w:t>
            </w:r>
            <w:r w:rsidRPr="00940612">
              <w:rPr>
                <w:rFonts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940612">
              <w:rPr>
                <w:rFonts w:cs="Arial"/>
                <w:bCs/>
                <w:sz w:val="22"/>
                <w:szCs w:val="22"/>
              </w:rPr>
              <w:t>ú.</w:t>
            </w:r>
            <w:proofErr w:type="spellEnd"/>
            <w:r w:rsidRPr="00940612">
              <w:rPr>
                <w:rFonts w:cs="Arial"/>
                <w:bCs/>
                <w:sz w:val="22"/>
                <w:szCs w:val="22"/>
              </w:rPr>
              <w:t>: 19-5373180297/0100</w:t>
            </w:r>
          </w:p>
        </w:tc>
      </w:tr>
      <w:tr w:rsidR="00E2509E" w:rsidRPr="00976DF7" w14:paraId="2316F705" w14:textId="77777777" w:rsidTr="3C2682ED">
        <w:tc>
          <w:tcPr>
            <w:tcW w:w="3260" w:type="dxa"/>
          </w:tcPr>
          <w:p w14:paraId="2F35A5A2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76DF7">
              <w:rPr>
                <w:rFonts w:cs="Arial"/>
                <w:sz w:val="22"/>
                <w:szCs w:val="22"/>
              </w:rPr>
              <w:t>Zastoupen:</w:t>
            </w:r>
          </w:p>
        </w:tc>
        <w:tc>
          <w:tcPr>
            <w:tcW w:w="6663" w:type="dxa"/>
          </w:tcPr>
          <w:p w14:paraId="5A39BBE3" w14:textId="538AF20B" w:rsidR="00E2509E" w:rsidRPr="00976DF7" w:rsidRDefault="11D6EDED" w:rsidP="3C2682E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3C2682ED">
              <w:rPr>
                <w:rFonts w:cs="Arial"/>
                <w:sz w:val="22"/>
                <w:szCs w:val="22"/>
              </w:rPr>
              <w:t>Ing. Tomáš Langer, Ph.D., kvestor</w:t>
            </w:r>
          </w:p>
        </w:tc>
      </w:tr>
    </w:tbl>
    <w:p w14:paraId="41C8F396" w14:textId="77777777" w:rsidR="00E2509E" w:rsidRPr="00976DF7" w:rsidRDefault="00E2509E" w:rsidP="00E2509E">
      <w:pPr>
        <w:rPr>
          <w:rFonts w:cs="Arial"/>
          <w:iCs/>
          <w:sz w:val="22"/>
          <w:szCs w:val="22"/>
        </w:rPr>
      </w:pPr>
    </w:p>
    <w:p w14:paraId="4AC1F539" w14:textId="77777777" w:rsidR="00E2509E" w:rsidRPr="00976DF7" w:rsidRDefault="00E2509E" w:rsidP="00E2509E">
      <w:pPr>
        <w:ind w:firstLine="142"/>
        <w:rPr>
          <w:rFonts w:cs="Arial"/>
          <w:iCs/>
          <w:sz w:val="22"/>
          <w:szCs w:val="22"/>
        </w:rPr>
      </w:pPr>
      <w:r w:rsidRPr="00976DF7">
        <w:rPr>
          <w:rFonts w:cs="Arial"/>
          <w:iCs/>
          <w:sz w:val="22"/>
          <w:szCs w:val="22"/>
        </w:rPr>
        <w:t xml:space="preserve">dále jako „Objednatel“  </w:t>
      </w:r>
    </w:p>
    <w:p w14:paraId="72A3D3EC" w14:textId="77777777" w:rsidR="00E2509E" w:rsidRPr="00976DF7" w:rsidRDefault="00E2509E" w:rsidP="00E2509E">
      <w:pPr>
        <w:ind w:firstLine="142"/>
        <w:rPr>
          <w:rFonts w:cs="Arial"/>
          <w:iCs/>
          <w:sz w:val="22"/>
          <w:szCs w:val="22"/>
        </w:rPr>
      </w:pPr>
    </w:p>
    <w:p w14:paraId="45F94F8F" w14:textId="77777777" w:rsidR="00E2509E" w:rsidRPr="00976DF7" w:rsidRDefault="00E2509E" w:rsidP="00E2509E">
      <w:pPr>
        <w:ind w:firstLine="142"/>
        <w:rPr>
          <w:rFonts w:cs="Arial"/>
          <w:iCs/>
          <w:sz w:val="22"/>
          <w:szCs w:val="22"/>
        </w:rPr>
      </w:pPr>
      <w:r w:rsidRPr="00976DF7">
        <w:rPr>
          <w:rFonts w:cs="Arial"/>
          <w:iCs/>
          <w:sz w:val="22"/>
          <w:szCs w:val="22"/>
        </w:rPr>
        <w:t>a</w:t>
      </w:r>
    </w:p>
    <w:p w14:paraId="0D0B940D" w14:textId="77777777" w:rsidR="00E2509E" w:rsidRPr="00976DF7" w:rsidRDefault="00E2509E" w:rsidP="00E2509E">
      <w:pPr>
        <w:rPr>
          <w:rFonts w:cs="Arial"/>
          <w:iCs/>
          <w:sz w:val="22"/>
          <w:szCs w:val="22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260"/>
        <w:gridCol w:w="6663"/>
      </w:tblGrid>
      <w:tr w:rsidR="00E2509E" w:rsidRPr="00976DF7" w14:paraId="029F3613" w14:textId="77777777" w:rsidTr="3C2682ED">
        <w:tc>
          <w:tcPr>
            <w:tcW w:w="3260" w:type="dxa"/>
            <w:vAlign w:val="center"/>
          </w:tcPr>
          <w:p w14:paraId="1B7C8EA5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76DF7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6663" w:type="dxa"/>
            <w:vAlign w:val="center"/>
          </w:tcPr>
          <w:p w14:paraId="5ACA362B" w14:textId="4B3ABD75" w:rsidR="00E2509E" w:rsidRPr="00976DF7" w:rsidRDefault="30CDDD95" w:rsidP="00390409">
            <w:pPr>
              <w:spacing w:before="20" w:after="20"/>
              <w:rPr>
                <w:rFonts w:cs="Arial"/>
                <w:b/>
                <w:bCs/>
                <w:sz w:val="22"/>
                <w:szCs w:val="22"/>
              </w:rPr>
            </w:pPr>
            <w:r w:rsidRPr="3C2682ED">
              <w:rPr>
                <w:rFonts w:cs="Arial"/>
                <w:b/>
                <w:bCs/>
                <w:sz w:val="22"/>
                <w:szCs w:val="22"/>
              </w:rPr>
              <w:t xml:space="preserve">Mgr. </w:t>
            </w:r>
            <w:r w:rsidR="000A592D" w:rsidRPr="3C2682ED">
              <w:rPr>
                <w:rFonts w:cs="Arial"/>
                <w:b/>
                <w:bCs/>
                <w:sz w:val="22"/>
                <w:szCs w:val="22"/>
              </w:rPr>
              <w:t>Tereza Kliment</w:t>
            </w:r>
          </w:p>
        </w:tc>
      </w:tr>
      <w:tr w:rsidR="00E2509E" w:rsidRPr="00976DF7" w14:paraId="5DB2AA16" w14:textId="77777777" w:rsidTr="3C2682ED">
        <w:tc>
          <w:tcPr>
            <w:tcW w:w="3260" w:type="dxa"/>
          </w:tcPr>
          <w:p w14:paraId="15D1F98C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76DF7">
              <w:rPr>
                <w:rFonts w:cs="Arial"/>
                <w:sz w:val="22"/>
                <w:szCs w:val="22"/>
              </w:rPr>
              <w:t>Se sídlem:</w:t>
            </w:r>
          </w:p>
        </w:tc>
        <w:tc>
          <w:tcPr>
            <w:tcW w:w="6663" w:type="dxa"/>
          </w:tcPr>
          <w:p w14:paraId="65482E81" w14:textId="2A96C553" w:rsidR="00E2509E" w:rsidRPr="00976DF7" w:rsidRDefault="3341C4D0" w:rsidP="3C2682E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3C2682ED">
              <w:rPr>
                <w:rFonts w:cs="Arial"/>
                <w:sz w:val="22"/>
                <w:szCs w:val="22"/>
              </w:rPr>
              <w:t xml:space="preserve">Černošice, Nerudova 864, PSČ 25228 </w:t>
            </w:r>
          </w:p>
        </w:tc>
      </w:tr>
      <w:tr w:rsidR="00E2509E" w:rsidRPr="00976DF7" w14:paraId="1FB1A3D7" w14:textId="77777777" w:rsidTr="3C2682ED">
        <w:tc>
          <w:tcPr>
            <w:tcW w:w="3260" w:type="dxa"/>
          </w:tcPr>
          <w:p w14:paraId="40C77609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76DF7">
              <w:rPr>
                <w:rFonts w:cs="Arial"/>
                <w:sz w:val="22"/>
                <w:szCs w:val="22"/>
              </w:rPr>
              <w:t>IČ:</w:t>
            </w:r>
          </w:p>
        </w:tc>
        <w:tc>
          <w:tcPr>
            <w:tcW w:w="6663" w:type="dxa"/>
          </w:tcPr>
          <w:p w14:paraId="1A242E31" w14:textId="658F479C" w:rsidR="00E2509E" w:rsidRPr="00976DF7" w:rsidRDefault="38E975B0" w:rsidP="3C2682E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3C2682ED">
              <w:rPr>
                <w:rFonts w:eastAsia="Arial" w:cs="Arial"/>
                <w:color w:val="060604"/>
                <w:sz w:val="22"/>
                <w:szCs w:val="22"/>
              </w:rPr>
              <w:t>03650120</w:t>
            </w:r>
            <w:r w:rsidRPr="3C2682ED">
              <w:rPr>
                <w:rFonts w:eastAsia="Arial" w:cs="Arial"/>
                <w:sz w:val="22"/>
                <w:szCs w:val="22"/>
              </w:rPr>
              <w:t xml:space="preserve"> </w:t>
            </w:r>
          </w:p>
        </w:tc>
      </w:tr>
      <w:tr w:rsidR="00E2509E" w:rsidRPr="00976DF7" w14:paraId="46E8FD73" w14:textId="77777777" w:rsidTr="3C2682ED">
        <w:tc>
          <w:tcPr>
            <w:tcW w:w="3260" w:type="dxa"/>
          </w:tcPr>
          <w:p w14:paraId="7D582465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  <w:r w:rsidRPr="00940612">
              <w:rPr>
                <w:rFonts w:cs="Arial"/>
                <w:sz w:val="22"/>
                <w:szCs w:val="22"/>
              </w:rPr>
              <w:t>ankovní spojení</w:t>
            </w:r>
          </w:p>
        </w:tc>
        <w:tc>
          <w:tcPr>
            <w:tcW w:w="6663" w:type="dxa"/>
          </w:tcPr>
          <w:p w14:paraId="431A4CC8" w14:textId="7318ED09" w:rsidR="00E2509E" w:rsidRPr="00976DF7" w:rsidRDefault="00E2509E" w:rsidP="3C2682ED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</w:tr>
      <w:tr w:rsidR="00E2509E" w:rsidRPr="00976DF7" w14:paraId="01DF0715" w14:textId="77777777" w:rsidTr="3C2682ED">
        <w:tc>
          <w:tcPr>
            <w:tcW w:w="3260" w:type="dxa"/>
          </w:tcPr>
          <w:p w14:paraId="63453FA0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76DF7">
              <w:rPr>
                <w:rFonts w:cs="Arial"/>
                <w:sz w:val="22"/>
                <w:szCs w:val="22"/>
              </w:rPr>
              <w:t>Zastoupen:</w:t>
            </w:r>
          </w:p>
        </w:tc>
        <w:tc>
          <w:tcPr>
            <w:tcW w:w="6663" w:type="dxa"/>
          </w:tcPr>
          <w:p w14:paraId="09598A8C" w14:textId="0242D5E9" w:rsidR="00E2509E" w:rsidRPr="00976DF7" w:rsidRDefault="32E31FEE" w:rsidP="3C2682E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3C2682ED">
              <w:rPr>
                <w:rFonts w:cs="Arial"/>
                <w:sz w:val="22"/>
                <w:szCs w:val="22"/>
              </w:rPr>
              <w:t xml:space="preserve">Tereza Kliment </w:t>
            </w:r>
          </w:p>
        </w:tc>
      </w:tr>
    </w:tbl>
    <w:p w14:paraId="0E27B00A" w14:textId="77777777" w:rsidR="00E2509E" w:rsidRDefault="00E2509E" w:rsidP="00E2509E">
      <w:pPr>
        <w:rPr>
          <w:rFonts w:cs="Arial"/>
          <w:iCs/>
          <w:sz w:val="22"/>
          <w:szCs w:val="22"/>
        </w:rPr>
      </w:pPr>
    </w:p>
    <w:p w14:paraId="60061E4C" w14:textId="77777777" w:rsidR="00E2509E" w:rsidRPr="00976DF7" w:rsidRDefault="00E2509E" w:rsidP="00E2509E">
      <w:pPr>
        <w:ind w:firstLine="708"/>
        <w:rPr>
          <w:rFonts w:cs="Arial"/>
          <w:iCs/>
          <w:sz w:val="22"/>
          <w:szCs w:val="22"/>
        </w:rPr>
      </w:pPr>
    </w:p>
    <w:p w14:paraId="21A479FC" w14:textId="77777777" w:rsidR="00E2509E" w:rsidRDefault="00E2509E" w:rsidP="00E2509E">
      <w:r w:rsidRPr="00976DF7">
        <w:rPr>
          <w:rFonts w:cs="Arial"/>
          <w:iCs/>
          <w:sz w:val="22"/>
          <w:szCs w:val="22"/>
        </w:rPr>
        <w:t>dále jako „</w:t>
      </w:r>
      <w:r>
        <w:rPr>
          <w:rFonts w:cs="Arial"/>
          <w:iCs/>
          <w:sz w:val="22"/>
          <w:szCs w:val="22"/>
        </w:rPr>
        <w:t>Poskytovatel</w:t>
      </w:r>
      <w:r w:rsidRPr="00976DF7">
        <w:rPr>
          <w:rFonts w:cs="Arial"/>
          <w:iCs/>
          <w:sz w:val="22"/>
          <w:szCs w:val="22"/>
        </w:rPr>
        <w:t>“.</w:t>
      </w:r>
    </w:p>
    <w:p w14:paraId="44EAFD9C" w14:textId="77777777" w:rsidR="00E2509E" w:rsidRDefault="00E2509E"/>
    <w:p w14:paraId="4B94D5A5" w14:textId="77777777" w:rsidR="00E2509E" w:rsidRDefault="00E2509E">
      <w:pPr>
        <w:spacing w:after="100" w:line="276" w:lineRule="auto"/>
        <w:ind w:left="454"/>
      </w:pPr>
      <w:r>
        <w:br w:type="page"/>
      </w:r>
    </w:p>
    <w:p w14:paraId="117461EB" w14:textId="77777777" w:rsidR="00E2509E" w:rsidRPr="00E2509E" w:rsidRDefault="00E2509E" w:rsidP="00E2509E">
      <w:pPr>
        <w:pStyle w:val="Nadpis2"/>
        <w:numPr>
          <w:ilvl w:val="0"/>
          <w:numId w:val="2"/>
        </w:numPr>
      </w:pPr>
      <w:r w:rsidRPr="00E2509E">
        <w:lastRenderedPageBreak/>
        <w:t>Úvodní ustanovení</w:t>
      </w:r>
    </w:p>
    <w:p w14:paraId="7A5F33C7" w14:textId="769F4375" w:rsidR="00E2509E" w:rsidRDefault="00E2509E" w:rsidP="00E2509E">
      <w:pPr>
        <w:pStyle w:val="Odstavecseseznamem"/>
        <w:numPr>
          <w:ilvl w:val="1"/>
          <w:numId w:val="2"/>
        </w:numPr>
      </w:pPr>
      <w:r>
        <w:t xml:space="preserve">Objednatel </w:t>
      </w:r>
      <w:r w:rsidR="000A592D">
        <w:t xml:space="preserve">provozuje datový sklad (dále jen „DS AMU“) a navazující reportingovou platformu </w:t>
      </w:r>
      <w:proofErr w:type="spellStart"/>
      <w:r w:rsidR="000A592D">
        <w:t>PowerBI</w:t>
      </w:r>
      <w:proofErr w:type="spellEnd"/>
      <w:r w:rsidR="000A592D">
        <w:t xml:space="preserve"> (dále jen „PBI AMU“)</w:t>
      </w:r>
      <w:r>
        <w:t>.</w:t>
      </w:r>
    </w:p>
    <w:p w14:paraId="0A604774" w14:textId="77777777" w:rsidR="00E2509E" w:rsidRDefault="00E2509E" w:rsidP="00E2509E">
      <w:pPr>
        <w:pStyle w:val="Nadpis2"/>
        <w:numPr>
          <w:ilvl w:val="0"/>
          <w:numId w:val="2"/>
        </w:numPr>
      </w:pPr>
      <w:r w:rsidRPr="00E2509E">
        <w:t>Předmět smlouvy</w:t>
      </w:r>
    </w:p>
    <w:p w14:paraId="326258CA" w14:textId="4B11EBB2" w:rsidR="00E2509E" w:rsidRDefault="00314A4A" w:rsidP="00E2509E">
      <w:pPr>
        <w:pStyle w:val="Odstavecseseznamem"/>
        <w:numPr>
          <w:ilvl w:val="1"/>
          <w:numId w:val="2"/>
        </w:numPr>
      </w:pPr>
      <w:r>
        <w:t>Předmětem této Smlouvy je závazek Poskytovatele poskytnout Objednateli za úplatu a za dále stanovených podmínek konzultační služ</w:t>
      </w:r>
      <w:r w:rsidR="00927523">
        <w:t>by</w:t>
      </w:r>
      <w:r>
        <w:t xml:space="preserve"> a vývojové práce související se zlepšováním a rozšiřováním funkcionalit </w:t>
      </w:r>
      <w:r w:rsidR="000A592D">
        <w:t>DS AMU a</w:t>
      </w:r>
      <w:r w:rsidR="00876D63">
        <w:t> </w:t>
      </w:r>
      <w:r w:rsidR="000A592D">
        <w:t>PBI AMU</w:t>
      </w:r>
      <w:r w:rsidR="00E2509E">
        <w:t>.</w:t>
      </w:r>
    </w:p>
    <w:p w14:paraId="298B032D" w14:textId="77777777" w:rsidR="00E2509E" w:rsidRDefault="00E2509E" w:rsidP="00E2509E">
      <w:pPr>
        <w:pStyle w:val="Nadpis2"/>
        <w:numPr>
          <w:ilvl w:val="0"/>
          <w:numId w:val="2"/>
        </w:numPr>
      </w:pPr>
      <w:r w:rsidRPr="00E2509E">
        <w:t>Poskytova</w:t>
      </w:r>
      <w:r>
        <w:t>n</w:t>
      </w:r>
      <w:r w:rsidRPr="00E2509E">
        <w:t>é služby</w:t>
      </w:r>
    </w:p>
    <w:p w14:paraId="21676180" w14:textId="20CB0CBA" w:rsidR="00E2509E" w:rsidRDefault="0CAD18E5" w:rsidP="00947EA3">
      <w:pPr>
        <w:pStyle w:val="Odstavecseseznamem"/>
        <w:numPr>
          <w:ilvl w:val="1"/>
          <w:numId w:val="2"/>
        </w:numPr>
        <w:spacing w:after="120"/>
        <w:ind w:left="788" w:hanging="431"/>
      </w:pPr>
      <w:r>
        <w:t>R</w:t>
      </w:r>
      <w:r w:rsidR="00E2509E">
        <w:t xml:space="preserve">ozsah a parametry poskytování </w:t>
      </w:r>
      <w:r w:rsidR="00314A4A">
        <w:t>konzultačních služ</w:t>
      </w:r>
      <w:r w:rsidR="00571854">
        <w:t>eb</w:t>
      </w:r>
      <w:r w:rsidR="00314A4A">
        <w:t xml:space="preserve"> a vývojových prací </w:t>
      </w:r>
      <w:r w:rsidR="00AB01F7">
        <w:t>k DS AMU a PBI AMU, jakož i již implementované aplikace v PBI AMU</w:t>
      </w:r>
      <w:r w:rsidR="00D32B94">
        <w:t xml:space="preserve"> a připojené datové zdroje v DS AMU</w:t>
      </w:r>
      <w:r w:rsidR="00E2509E">
        <w:t xml:space="preserve"> jsou uvedeny v příloze č. 1 </w:t>
      </w:r>
      <w:r w:rsidR="000476BC">
        <w:t xml:space="preserve">a č. 2 </w:t>
      </w:r>
      <w:r w:rsidR="00E2509E">
        <w:t>této smlouvy.</w:t>
      </w:r>
    </w:p>
    <w:p w14:paraId="3F60FAA9" w14:textId="77777777" w:rsidR="00E2509E" w:rsidRDefault="00314A4A" w:rsidP="00947EA3">
      <w:pPr>
        <w:pStyle w:val="Odstavecseseznamem"/>
        <w:numPr>
          <w:ilvl w:val="1"/>
          <w:numId w:val="2"/>
        </w:numPr>
        <w:spacing w:after="120"/>
        <w:ind w:left="788" w:hanging="431"/>
      </w:pPr>
      <w:r w:rsidRPr="00314A4A">
        <w:t>Za účelem prokázání realizovaných prací bude Poskytovatel provádět úplnou a přesnou evidenci všech poskytnutých konzultačních služ</w:t>
      </w:r>
      <w:r>
        <w:t>eb</w:t>
      </w:r>
      <w:r w:rsidRPr="00314A4A">
        <w:t xml:space="preserve"> a vývojových prací. Poskytovatel je povinen na vyžádání Objednatele předložit potřebnou dokumentaci o </w:t>
      </w:r>
      <w:r>
        <w:t xml:space="preserve">evidenci </w:t>
      </w:r>
      <w:r w:rsidRPr="00314A4A">
        <w:t>provedených prací</w:t>
      </w:r>
      <w:r w:rsidR="00E2509E">
        <w:t>.</w:t>
      </w:r>
    </w:p>
    <w:p w14:paraId="4A79E7D5" w14:textId="437F4912" w:rsidR="00E2509E" w:rsidRDefault="00E2509E" w:rsidP="00947EA3">
      <w:pPr>
        <w:pStyle w:val="Odstavecseseznamem"/>
        <w:numPr>
          <w:ilvl w:val="1"/>
          <w:numId w:val="2"/>
        </w:numPr>
        <w:spacing w:after="120"/>
        <w:ind w:left="788" w:hanging="431"/>
      </w:pPr>
      <w:r>
        <w:t xml:space="preserve">Kontaktní osoby Objednatele, oprávněné komunikovat a potvrzovat plnění </w:t>
      </w:r>
      <w:r w:rsidR="00584C7E">
        <w:t>konzultační</w:t>
      </w:r>
      <w:r w:rsidR="00B509F5">
        <w:t>ch</w:t>
      </w:r>
      <w:r w:rsidR="00584C7E">
        <w:t xml:space="preserve"> služeb a vývojových prací </w:t>
      </w:r>
      <w:r w:rsidR="00AB01F7">
        <w:t>pro DS AMU a PBI AMU</w:t>
      </w:r>
      <w:r>
        <w:t xml:space="preserve"> pro Objednatele, jsou uvedeny v příloze č. 3.</w:t>
      </w:r>
    </w:p>
    <w:p w14:paraId="319964EA" w14:textId="574F6988" w:rsidR="00E2509E" w:rsidRDefault="00584C7E" w:rsidP="00584C7E">
      <w:pPr>
        <w:pStyle w:val="Odstavecseseznamem"/>
        <w:numPr>
          <w:ilvl w:val="1"/>
          <w:numId w:val="2"/>
        </w:numPr>
      </w:pPr>
      <w:r>
        <w:t xml:space="preserve">Poskytovatel bude poskytovat dílčí plnění na základě oboustranně odsouhlaseného </w:t>
      </w:r>
      <w:r w:rsidR="00AB01F7">
        <w:t xml:space="preserve">měsíčního </w:t>
      </w:r>
      <w:r>
        <w:t>plánu prací (dále jen „Plán vývojových prací“)</w:t>
      </w:r>
      <w:r w:rsidR="4F04A630">
        <w:t>,</w:t>
      </w:r>
      <w:r w:rsidR="003B0CB9">
        <w:t xml:space="preserve"> </w:t>
      </w:r>
      <w:r w:rsidR="00B43BB1">
        <w:t>konzultací a vývoje témat podle přílohy č. 1</w:t>
      </w:r>
      <w:r>
        <w:t xml:space="preserve">.  Bližší postup </w:t>
      </w:r>
      <w:r w:rsidR="00C10599">
        <w:t xml:space="preserve">sjednávání </w:t>
      </w:r>
      <w:r>
        <w:t>dílčích plnění je uveden v</w:t>
      </w:r>
      <w:r w:rsidR="001D08CF">
        <w:t xml:space="preserve"> článku </w:t>
      </w:r>
      <w:r w:rsidR="00571854">
        <w:t>6</w:t>
      </w:r>
      <w:r>
        <w:t xml:space="preserve"> této smlouvy.</w:t>
      </w:r>
    </w:p>
    <w:p w14:paraId="29BDA026" w14:textId="72A23AFD" w:rsidR="00E2509E" w:rsidRDefault="00EF5071" w:rsidP="00947EA3">
      <w:pPr>
        <w:pStyle w:val="Odstavecseseznamem"/>
        <w:numPr>
          <w:ilvl w:val="1"/>
          <w:numId w:val="2"/>
        </w:numPr>
        <w:spacing w:after="120"/>
        <w:ind w:left="788" w:hanging="431"/>
      </w:pPr>
      <w:r>
        <w:t>Úpravy pro DS AMU a PBI AMU</w:t>
      </w:r>
      <w:r w:rsidR="00E2509E">
        <w:t xml:space="preserve"> a </w:t>
      </w:r>
      <w:r w:rsidR="0079428C">
        <w:t>funkcionality</w:t>
      </w:r>
      <w:r w:rsidR="00E2509E">
        <w:t xml:space="preserve"> dodané Poskytovatelem Objednateli budou splňovat požadavky a podmínky této smlouvy a požadavky veškerých zákonných a právních předpisů a podmínek vztahujících se k předmětu této smlouvy.</w:t>
      </w:r>
    </w:p>
    <w:p w14:paraId="217AC14D" w14:textId="77777777" w:rsidR="00E2509E" w:rsidRDefault="00E2509E" w:rsidP="00947EA3">
      <w:pPr>
        <w:pStyle w:val="Odstavecseseznamem"/>
        <w:numPr>
          <w:ilvl w:val="1"/>
          <w:numId w:val="2"/>
        </w:numPr>
        <w:spacing w:after="120"/>
        <w:ind w:left="788" w:hanging="431"/>
      </w:pPr>
      <w:r>
        <w:t>Poskytovatel se zavazuje, že jím dodaná plnění budou způsobilá pro použití ke smluvenému účelu, tj. že budou funkční dle veškeré dodané dokumentace a dle specifikací dohodnutých mezi smluvními stranami, a že si po dobu provozu zachovají smluvené vlastnosti.</w:t>
      </w:r>
    </w:p>
    <w:p w14:paraId="4B5F9DE6" w14:textId="77777777" w:rsidR="00E2509E" w:rsidRDefault="00E2509E" w:rsidP="00947EA3">
      <w:pPr>
        <w:pStyle w:val="Odstavecseseznamem"/>
        <w:numPr>
          <w:ilvl w:val="1"/>
          <w:numId w:val="2"/>
        </w:numPr>
        <w:spacing w:after="120"/>
        <w:ind w:left="788" w:hanging="431"/>
      </w:pPr>
      <w:r>
        <w:t>Předmětem plnění na straně Objednatele je poskytnutí potřebné součinnosti Poskytovateli, převzetí předmětu plnění a zaplacení ceny</w:t>
      </w:r>
      <w:r w:rsidR="0079428C">
        <w:t xml:space="preserve"> služeb</w:t>
      </w:r>
      <w:r>
        <w:t>.</w:t>
      </w:r>
    </w:p>
    <w:p w14:paraId="1562072C" w14:textId="77777777" w:rsidR="00E2509E" w:rsidRPr="00E2509E" w:rsidRDefault="00E2509E" w:rsidP="00947EA3">
      <w:pPr>
        <w:pStyle w:val="Odstavecseseznamem"/>
        <w:numPr>
          <w:ilvl w:val="1"/>
          <w:numId w:val="2"/>
        </w:numPr>
        <w:spacing w:after="120"/>
        <w:ind w:left="788" w:hanging="431"/>
      </w:pPr>
      <w:r>
        <w:t xml:space="preserve">Pokud se na jakoukoliv část plnění poskytovanou Poskytovatelem vztahuje nařízení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Poskytovatel povinen zajistit plnění svých povinností v nařízení GDPR stanovených. V případě, kdy bude Poskytovatel v kterémkoliv okamžiku plnění svých smluvních povinností zpracovatelem osobních údajů poskytnutých Objednatelem nebo získaných </w:t>
      </w:r>
      <w:r>
        <w:lastRenderedPageBreak/>
        <w:t>pro Objednatele, je povinen na tuto skutečnost Objednatele upozornit a bezodkladně (vždy však před zahájením zpracování osobních údajů) s ním uzavřít smlouvu o zpracování osobních údajů. Smlouvu dle předcházející věty je dále Poskytovatel s Objednatelem povinen uzavřít vždy, když jej k tomu Objednatel písemně vyzve</w:t>
      </w:r>
      <w:r w:rsidR="0079428C">
        <w:t>.</w:t>
      </w:r>
    </w:p>
    <w:p w14:paraId="09A173FB" w14:textId="77777777" w:rsidR="00E2509E" w:rsidRDefault="00E2509E" w:rsidP="00E2509E">
      <w:pPr>
        <w:pStyle w:val="Nadpis2"/>
        <w:numPr>
          <w:ilvl w:val="0"/>
          <w:numId w:val="2"/>
        </w:numPr>
      </w:pPr>
      <w:r w:rsidRPr="00E2509E">
        <w:t>Termíny plnění, místo plnění</w:t>
      </w:r>
    </w:p>
    <w:p w14:paraId="75C8766F" w14:textId="77777777" w:rsidR="00E2509E" w:rsidRDefault="00E2509E" w:rsidP="00E2509E">
      <w:pPr>
        <w:pStyle w:val="Odstavecseseznamem"/>
        <w:numPr>
          <w:ilvl w:val="1"/>
          <w:numId w:val="2"/>
        </w:numPr>
      </w:pPr>
      <w:r w:rsidRPr="00E2509E">
        <w:t xml:space="preserve">Poskytovatel bude poskytovat vyžádané služby podle </w:t>
      </w:r>
      <w:r w:rsidRPr="001D08CF">
        <w:t xml:space="preserve">článku </w:t>
      </w:r>
      <w:r w:rsidR="001D08CF" w:rsidRPr="001D08CF">
        <w:t>5</w:t>
      </w:r>
      <w:r w:rsidRPr="001D08CF">
        <w:t xml:space="preserve"> smlouvy</w:t>
      </w:r>
      <w:r w:rsidRPr="00E2509E">
        <w:t xml:space="preserve"> průběžně po celou dobu platnosti této smlouvy, a to v režimu </w:t>
      </w:r>
      <w:r w:rsidR="00584C7E">
        <w:t xml:space="preserve">plnění </w:t>
      </w:r>
      <w:r w:rsidR="0079428C">
        <w:t xml:space="preserve">Plánu </w:t>
      </w:r>
      <w:r w:rsidR="00584C7E">
        <w:t xml:space="preserve">vývojových </w:t>
      </w:r>
      <w:r w:rsidR="0079428C">
        <w:t>prací</w:t>
      </w:r>
      <w:r w:rsidRPr="00E2509E">
        <w:t>.</w:t>
      </w:r>
    </w:p>
    <w:p w14:paraId="27700EA2" w14:textId="77777777" w:rsidR="00A8661B" w:rsidRDefault="00A8661B" w:rsidP="00E2509E">
      <w:pPr>
        <w:pStyle w:val="Odstavecseseznamem"/>
        <w:numPr>
          <w:ilvl w:val="1"/>
          <w:numId w:val="2"/>
        </w:numPr>
      </w:pPr>
      <w:r>
        <w:t xml:space="preserve">Místo plnění </w:t>
      </w:r>
      <w:r w:rsidR="0052382C">
        <w:t xml:space="preserve">je sídlo Objednatele, v případě potřeby lze upravit </w:t>
      </w:r>
      <w:r>
        <w:t xml:space="preserve">v rámci Plánu </w:t>
      </w:r>
      <w:r w:rsidR="00584C7E">
        <w:t xml:space="preserve">vývojových </w:t>
      </w:r>
      <w:r>
        <w:t>prací</w:t>
      </w:r>
      <w:r w:rsidR="0052382C">
        <w:t xml:space="preserve"> dohodou na jiném místě.</w:t>
      </w:r>
    </w:p>
    <w:p w14:paraId="2B6EA374" w14:textId="4B6E32E8" w:rsidR="001C16EB" w:rsidRDefault="001C16EB" w:rsidP="00E2509E">
      <w:pPr>
        <w:pStyle w:val="Odstavecseseznamem"/>
        <w:numPr>
          <w:ilvl w:val="1"/>
          <w:numId w:val="2"/>
        </w:numPr>
      </w:pPr>
      <w:r w:rsidRPr="001C16EB">
        <w:t>Veškerý servisní personál i všichni ostatní zaměstnanci či zástupci Poskytovatele, kteří se budou podílet na plnění předmětu této Smlouvy, jsou povinni dodržovat interní předpisy Objednatele, se kterými bude Objednatelem prokazatelně seznámen, týkající se bezpečnosti a důvěrného charakteru informací, tvořících předmět obchodního tajemství Objednatele, s nimiž při plnění závazků vyplývajících z této Smlouvy přijdou do styku</w:t>
      </w:r>
      <w:r>
        <w:t>.</w:t>
      </w:r>
    </w:p>
    <w:p w14:paraId="03840FA2" w14:textId="38AA3074" w:rsidR="001C16EB" w:rsidRDefault="001C16EB" w:rsidP="00E2509E">
      <w:pPr>
        <w:pStyle w:val="Odstavecseseznamem"/>
        <w:numPr>
          <w:ilvl w:val="1"/>
          <w:numId w:val="2"/>
        </w:numPr>
      </w:pPr>
      <w:r>
        <w:t xml:space="preserve">Určené osoby Poskytovatele </w:t>
      </w:r>
      <w:r w:rsidR="004408AF">
        <w:t xml:space="preserve">podle přílohy č. 3 </w:t>
      </w:r>
      <w:r>
        <w:t>podílející se na plnění této Smlouvy, jsou oprávněni vstupovat do objektů Objednatele. Poskytovatel se zavazuje, řídit se při plnění této Smlouvy v objektech Objednatele jejich interními předpisy a dodržovat interní bezpečnostní pravidla a opatření, se kterými bude Objednatelem prokazatelně seznámen. Poskytovatel souhlasí též se sledováním a zaznamenáváním své činnosti při plnění této Smlouvy.</w:t>
      </w:r>
    </w:p>
    <w:p w14:paraId="04475EC9" w14:textId="77777777" w:rsidR="001C16EB" w:rsidRDefault="001C16EB" w:rsidP="001C16EB">
      <w:pPr>
        <w:pStyle w:val="Odstavecseseznamem"/>
        <w:numPr>
          <w:ilvl w:val="1"/>
          <w:numId w:val="2"/>
        </w:numPr>
      </w:pPr>
      <w:r w:rsidRPr="001C16EB">
        <w:t>Objednatel je povinen zabezpečit vstupní poučení servisního personálu a ostatních osob Poskytovatele o dodržování interních bezpečnostních opatřeních platných při pohybu ve svých objektech. O poučení bude sepsán písemný zápis podepsaný poučovanou osobou.</w:t>
      </w:r>
    </w:p>
    <w:p w14:paraId="3ED1BD4C" w14:textId="77777777" w:rsidR="00E2509E" w:rsidRDefault="0079428C" w:rsidP="0079428C">
      <w:pPr>
        <w:pStyle w:val="Nadpis2"/>
        <w:numPr>
          <w:ilvl w:val="0"/>
          <w:numId w:val="2"/>
        </w:numPr>
      </w:pPr>
      <w:r w:rsidRPr="0079428C">
        <w:t>Výzva k poskytnutí plnění</w:t>
      </w:r>
    </w:p>
    <w:p w14:paraId="7E222A22" w14:textId="20842D09" w:rsidR="0079428C" w:rsidRDefault="00584C7E" w:rsidP="0079428C">
      <w:pPr>
        <w:pStyle w:val="Odstavecseseznamem"/>
        <w:numPr>
          <w:ilvl w:val="1"/>
          <w:numId w:val="2"/>
        </w:numPr>
      </w:pPr>
      <w:r>
        <w:t xml:space="preserve">Objednatel </w:t>
      </w:r>
      <w:r w:rsidR="0072094E">
        <w:t>a</w:t>
      </w:r>
      <w:r>
        <w:t xml:space="preserve"> Poskytovatel</w:t>
      </w:r>
      <w:r w:rsidR="0072094E">
        <w:t xml:space="preserve"> jsou povinni projednat</w:t>
      </w:r>
      <w:r>
        <w:t xml:space="preserve"> </w:t>
      </w:r>
      <w:r w:rsidR="00CE6C76">
        <w:t xml:space="preserve">měsíční </w:t>
      </w:r>
      <w:r>
        <w:t xml:space="preserve">Plán vývojových prací a vzájemně ho písemně prostřednictvím kontaktních osob potvrdit. </w:t>
      </w:r>
      <w:r w:rsidR="002248C5">
        <w:t xml:space="preserve"> Objednatel se zavazuje sjednat a Poskytovatel se zavazuje poskytnout prostřednictvím měsíčních Plánů vývojových prací konzultační a vývojové práce v</w:t>
      </w:r>
      <w:r w:rsidR="00875A97">
        <w:t xml:space="preserve"> celkovém </w:t>
      </w:r>
      <w:r w:rsidR="002248C5">
        <w:t>rozsahu stanoveném Přílohou č. 1.</w:t>
      </w:r>
    </w:p>
    <w:p w14:paraId="3916046C" w14:textId="7FFC3217" w:rsidR="00115702" w:rsidRDefault="00AA4C8B" w:rsidP="00E2509E">
      <w:pPr>
        <w:pStyle w:val="Odstavecseseznamem"/>
        <w:numPr>
          <w:ilvl w:val="1"/>
          <w:numId w:val="2"/>
        </w:numPr>
      </w:pPr>
      <w:r>
        <w:t>K p</w:t>
      </w:r>
      <w:r w:rsidR="00903270">
        <w:t>lánovan</w:t>
      </w:r>
      <w:r>
        <w:t>ým</w:t>
      </w:r>
      <w:r w:rsidR="00903270">
        <w:t xml:space="preserve"> p</w:t>
      </w:r>
      <w:r w:rsidR="00115702">
        <w:t>ožadavk</w:t>
      </w:r>
      <w:r>
        <w:t>ům</w:t>
      </w:r>
      <w:r w:rsidR="00115702">
        <w:t xml:space="preserve"> </w:t>
      </w:r>
      <w:r w:rsidR="007303F3">
        <w:t xml:space="preserve">Objednatele </w:t>
      </w:r>
      <w:r w:rsidR="00115702">
        <w:t>bude Poskytovatel zpracovávat odhad rozsahu práce pro přípravu Plánu vývojových prací maximálně do týdn</w:t>
      </w:r>
      <w:r w:rsidR="007303F3">
        <w:t>e</w:t>
      </w:r>
      <w:r w:rsidR="00115702">
        <w:t xml:space="preserve"> po obdržení požadavku.</w:t>
      </w:r>
      <w:r w:rsidR="004207EE">
        <w:t xml:space="preserve"> Analýza a zpracování rozsahu práce k jednotlivým požadavkům je součástí poskytovaných konzultačních služeb podle této smlouvy.</w:t>
      </w:r>
    </w:p>
    <w:p w14:paraId="46453A5E" w14:textId="4016C183" w:rsidR="00A8661B" w:rsidRDefault="00584C7E" w:rsidP="00E2509E">
      <w:pPr>
        <w:pStyle w:val="Odstavecseseznamem"/>
        <w:numPr>
          <w:ilvl w:val="1"/>
          <w:numId w:val="2"/>
        </w:numPr>
      </w:pPr>
      <w:r>
        <w:t xml:space="preserve">Na základě </w:t>
      </w:r>
      <w:r w:rsidR="003E65EA">
        <w:t xml:space="preserve">sjednaného a </w:t>
      </w:r>
      <w:r w:rsidR="007303F3">
        <w:t xml:space="preserve">odsouhlaseného Plánu vývojových prací </w:t>
      </w:r>
      <w:r>
        <w:t>zahájí Poskytovatel plnění.</w:t>
      </w:r>
    </w:p>
    <w:p w14:paraId="2A524078" w14:textId="319799D8" w:rsidR="00584C7E" w:rsidRDefault="00584C7E" w:rsidP="00E2509E">
      <w:pPr>
        <w:pStyle w:val="Odstavecseseznamem"/>
        <w:numPr>
          <w:ilvl w:val="1"/>
          <w:numId w:val="2"/>
        </w:numPr>
      </w:pPr>
      <w:r>
        <w:t xml:space="preserve">Poskytovatel je povinen zahájit plnění s požadovaným termínem </w:t>
      </w:r>
      <w:r w:rsidR="00CA4BBE">
        <w:t>dle Plánu vývojových prací</w:t>
      </w:r>
      <w:r>
        <w:t>.</w:t>
      </w:r>
    </w:p>
    <w:p w14:paraId="5D33A567" w14:textId="1A1E695B" w:rsidR="00115702" w:rsidRDefault="00115702" w:rsidP="00115702">
      <w:pPr>
        <w:pStyle w:val="Odstavecseseznamem"/>
        <w:numPr>
          <w:ilvl w:val="1"/>
          <w:numId w:val="2"/>
        </w:numPr>
      </w:pPr>
      <w:bookmarkStart w:id="0" w:name="_Hlk115295552"/>
      <w:r>
        <w:lastRenderedPageBreak/>
        <w:t xml:space="preserve">Pro zajištění udržitelnosti a kvality prací se předpokládá </w:t>
      </w:r>
      <w:r w:rsidR="67163ECA">
        <w:t>rozsah plnění</w:t>
      </w:r>
      <w:r>
        <w:t xml:space="preserve"> podle Přílohy č. 1 této Smlouvy.</w:t>
      </w:r>
    </w:p>
    <w:bookmarkEnd w:id="0"/>
    <w:p w14:paraId="3DEEC669" w14:textId="77777777" w:rsidR="00115702" w:rsidRDefault="00115702" w:rsidP="322F26A4"/>
    <w:p w14:paraId="5CE4E3DC" w14:textId="77777777" w:rsidR="00571854" w:rsidRDefault="00571854" w:rsidP="00571854">
      <w:pPr>
        <w:pStyle w:val="Nadpis2"/>
        <w:numPr>
          <w:ilvl w:val="0"/>
          <w:numId w:val="2"/>
        </w:numPr>
      </w:pPr>
      <w:r w:rsidRPr="00CA4BBE">
        <w:t>Dílčí plnění</w:t>
      </w:r>
    </w:p>
    <w:p w14:paraId="29722E7A" w14:textId="74F79682" w:rsidR="00571854" w:rsidRDefault="00571854" w:rsidP="00571854">
      <w:pPr>
        <w:pStyle w:val="Odstavecseseznamem"/>
        <w:numPr>
          <w:ilvl w:val="1"/>
          <w:numId w:val="2"/>
        </w:numPr>
      </w:pPr>
      <w:r>
        <w:t xml:space="preserve">Poskytovatel realizuje předmět smlouvy postupně po logických celcích dle </w:t>
      </w:r>
      <w:r w:rsidR="003C593C">
        <w:t xml:space="preserve">Plánu vývojových prací </w:t>
      </w:r>
      <w:r>
        <w:t>podle článku 5.</w:t>
      </w:r>
    </w:p>
    <w:p w14:paraId="7A483313" w14:textId="77777777" w:rsidR="00571854" w:rsidRPr="00CA4BBE" w:rsidRDefault="00571854" w:rsidP="00571854">
      <w:pPr>
        <w:pStyle w:val="Odstavecseseznamem"/>
        <w:numPr>
          <w:ilvl w:val="1"/>
          <w:numId w:val="2"/>
        </w:numPr>
      </w:pPr>
      <w:r w:rsidRPr="00CA4BBE">
        <w:t>Akceptace dílčích částí předmětu smlouvy probíhá samostatně za každé dílčí plnění. Případné odmítnutí jednoho dílčího plnění není důvodem k odmítnutí ostatních dílčích plnění.</w:t>
      </w:r>
    </w:p>
    <w:p w14:paraId="3656B9AB" w14:textId="77777777" w:rsidR="00571854" w:rsidRDefault="00571854" w:rsidP="00571854"/>
    <w:p w14:paraId="35C72AD4" w14:textId="77777777" w:rsidR="0079428C" w:rsidRDefault="001B488E" w:rsidP="001B488E">
      <w:pPr>
        <w:pStyle w:val="Nadpis2"/>
        <w:numPr>
          <w:ilvl w:val="0"/>
          <w:numId w:val="2"/>
        </w:numPr>
      </w:pPr>
      <w:r w:rsidRPr="001B488E">
        <w:t>Termín zahá</w:t>
      </w:r>
      <w:r w:rsidR="00A8661B">
        <w:t>jení</w:t>
      </w:r>
      <w:r w:rsidR="00A83800">
        <w:t xml:space="preserve"> a dokončení</w:t>
      </w:r>
    </w:p>
    <w:p w14:paraId="0E62E2E3" w14:textId="78E4C30F" w:rsidR="00E2509E" w:rsidRDefault="00CA4BBE" w:rsidP="001B488E">
      <w:pPr>
        <w:pStyle w:val="Odstavecseseznamem"/>
        <w:numPr>
          <w:ilvl w:val="1"/>
          <w:numId w:val="2"/>
        </w:numPr>
      </w:pPr>
      <w:r>
        <w:t>Poskytovatel je povinen zahájit</w:t>
      </w:r>
      <w:r w:rsidR="005D4308">
        <w:t xml:space="preserve"> a dokončit </w:t>
      </w:r>
      <w:r>
        <w:t xml:space="preserve">práce na </w:t>
      </w:r>
      <w:r w:rsidR="009369DF">
        <w:t>každém dílčím plnění</w:t>
      </w:r>
      <w:r>
        <w:t xml:space="preserve"> nejpozději v termínu sjednaném a potvrzeném v </w:t>
      </w:r>
      <w:r w:rsidR="005D4308">
        <w:t>Plánu vývojových prací</w:t>
      </w:r>
      <w:r>
        <w:t xml:space="preserve"> dle </w:t>
      </w:r>
      <w:r w:rsidR="00571854">
        <w:t>článku 6</w:t>
      </w:r>
      <w:r>
        <w:t xml:space="preserve"> této smlouvy</w:t>
      </w:r>
      <w:r w:rsidR="0052382C">
        <w:t>.</w:t>
      </w:r>
    </w:p>
    <w:p w14:paraId="27385E3B" w14:textId="4B63B171" w:rsidR="3C2682ED" w:rsidRDefault="3C2682ED" w:rsidP="3C2682ED"/>
    <w:p w14:paraId="3B9B9D41" w14:textId="2F6E4B97" w:rsidR="001B488E" w:rsidRDefault="001C16EB" w:rsidP="3C2682ED">
      <w:pPr>
        <w:pStyle w:val="Odstavecseseznamem"/>
        <w:numPr>
          <w:ilvl w:val="0"/>
          <w:numId w:val="2"/>
        </w:numPr>
        <w:rPr>
          <w:b/>
          <w:bCs/>
        </w:rPr>
      </w:pPr>
      <w:r w:rsidRPr="3C2682ED">
        <w:rPr>
          <w:b/>
          <w:bCs/>
        </w:rPr>
        <w:t>Cena předmětu smlouvy a její splatnost</w:t>
      </w:r>
    </w:p>
    <w:p w14:paraId="306A801D" w14:textId="244309D2" w:rsidR="3C2682ED" w:rsidRDefault="3C2682ED" w:rsidP="3C2682ED">
      <w:pPr>
        <w:rPr>
          <w:b/>
          <w:bCs/>
        </w:rPr>
      </w:pPr>
    </w:p>
    <w:p w14:paraId="2DE4C4ED" w14:textId="77777777" w:rsidR="00947EA3" w:rsidRDefault="002A1E56" w:rsidP="00947EA3">
      <w:pPr>
        <w:pStyle w:val="Odstavecseseznamem"/>
        <w:numPr>
          <w:ilvl w:val="1"/>
          <w:numId w:val="2"/>
        </w:numPr>
      </w:pPr>
      <w:r>
        <w:t>Cen</w:t>
      </w:r>
      <w:r w:rsidR="00571854">
        <w:t>y</w:t>
      </w:r>
      <w:r>
        <w:t xml:space="preserve"> </w:t>
      </w:r>
      <w:r w:rsidR="00A466F4">
        <w:t xml:space="preserve">za </w:t>
      </w:r>
      <w:bookmarkStart w:id="1" w:name="_Hlk108477105"/>
      <w:r>
        <w:t>konzultační služby a vývojové práce</w:t>
      </w:r>
      <w:bookmarkEnd w:id="1"/>
      <w:r>
        <w:t xml:space="preserve"> </w:t>
      </w:r>
      <w:r w:rsidR="00A466F4">
        <w:t>jsou stanoveny v Příloze č. 2</w:t>
      </w:r>
      <w:r w:rsidR="00947EA3">
        <w:t>.</w:t>
      </w:r>
    </w:p>
    <w:p w14:paraId="1F34C222" w14:textId="5609C59C" w:rsidR="00947EA3" w:rsidRDefault="002A1E56" w:rsidP="00947EA3">
      <w:pPr>
        <w:pStyle w:val="Odstavecseseznamem"/>
        <w:numPr>
          <w:ilvl w:val="1"/>
          <w:numId w:val="2"/>
        </w:numPr>
        <w:rPr>
          <w:lang w:eastAsia="en-US"/>
        </w:rPr>
      </w:pPr>
      <w:r w:rsidRPr="3C2682ED">
        <w:rPr>
          <w:lang w:eastAsia="en-US"/>
        </w:rPr>
        <w:t xml:space="preserve">Fakturace za konzultační služby a vývojové práce bude probíhat vždy na základě splnění dílčího plnění </w:t>
      </w:r>
      <w:r w:rsidR="00156B29" w:rsidRPr="3C2682ED">
        <w:rPr>
          <w:lang w:eastAsia="en-US"/>
        </w:rPr>
        <w:t>podle Plánu vývojových prací</w:t>
      </w:r>
      <w:r w:rsidR="000B74B8" w:rsidRPr="3C2682ED">
        <w:rPr>
          <w:lang w:eastAsia="en-US"/>
        </w:rPr>
        <w:t xml:space="preserve"> ze strany Poskytovatele a akceptace ze strany Objednatele, přičemž</w:t>
      </w:r>
      <w:r w:rsidRPr="3C2682ED">
        <w:rPr>
          <w:lang w:eastAsia="en-US"/>
        </w:rPr>
        <w:t xml:space="preserve"> podkladem pro fakturac</w:t>
      </w:r>
      <w:r w:rsidR="00010B39" w:rsidRPr="3C2682ED">
        <w:rPr>
          <w:lang w:eastAsia="en-US"/>
        </w:rPr>
        <w:t>i</w:t>
      </w:r>
      <w:r w:rsidRPr="3C2682ED">
        <w:rPr>
          <w:lang w:eastAsia="en-US"/>
        </w:rPr>
        <w:t xml:space="preserve"> bude výkaz realizovaných prací</w:t>
      </w:r>
      <w:r w:rsidR="00947EA3" w:rsidRPr="3C2682ED">
        <w:rPr>
          <w:lang w:eastAsia="en-US"/>
        </w:rPr>
        <w:t xml:space="preserve">. </w:t>
      </w:r>
      <w:r w:rsidR="00C11DED" w:rsidRPr="3C2682ED">
        <w:rPr>
          <w:lang w:eastAsia="en-US"/>
        </w:rPr>
        <w:t xml:space="preserve">Objednatel je oprávněn krátit úhradu fakturace, pokud dílčí plnění nebude zpracováno dle sjednané specifikace, nebo bude mít funkční vady, které Poskytovatel neodstraní do </w:t>
      </w:r>
      <w:r w:rsidR="00FA241E" w:rsidRPr="3C2682ED">
        <w:rPr>
          <w:lang w:eastAsia="en-US"/>
        </w:rPr>
        <w:t>7 pracovních d</w:t>
      </w:r>
      <w:r w:rsidR="00C11DED" w:rsidRPr="3C2682ED">
        <w:rPr>
          <w:lang w:eastAsia="en-US"/>
        </w:rPr>
        <w:t>nů od výzvy Objednatele.</w:t>
      </w:r>
      <w:r w:rsidR="00FA241E" w:rsidRPr="3C2682ED">
        <w:rPr>
          <w:lang w:eastAsia="en-US"/>
        </w:rPr>
        <w:t xml:space="preserve"> Objednatel je </w:t>
      </w:r>
      <w:r w:rsidR="563717C4" w:rsidRPr="3C2682ED">
        <w:rPr>
          <w:lang w:eastAsia="en-US"/>
        </w:rPr>
        <w:t>povinen</w:t>
      </w:r>
      <w:r w:rsidR="00FA241E" w:rsidRPr="3C2682ED">
        <w:rPr>
          <w:lang w:eastAsia="en-US"/>
        </w:rPr>
        <w:t xml:space="preserve"> posoudit dílčí plnění a provést úplnou či částečnou akceptaci do 3 pracovních dnů od předložení dílčího plnění Poskytovatelem.</w:t>
      </w:r>
    </w:p>
    <w:p w14:paraId="080A0070" w14:textId="40AC06E9" w:rsidR="00947EA3" w:rsidRDefault="00947EA3" w:rsidP="00947EA3">
      <w:pPr>
        <w:pStyle w:val="Odstavecseseznamem"/>
        <w:numPr>
          <w:ilvl w:val="1"/>
          <w:numId w:val="2"/>
        </w:numPr>
        <w:rPr>
          <w:lang w:eastAsia="en-US"/>
        </w:rPr>
      </w:pPr>
      <w:r w:rsidRPr="3C2682ED">
        <w:rPr>
          <w:lang w:eastAsia="en-US"/>
        </w:rPr>
        <w:t xml:space="preserve">Všechny faktury – daňové doklady vystavené Poskytovatelem jsou splatné ve lhůtě </w:t>
      </w:r>
      <w:r w:rsidR="00FA241E" w:rsidRPr="3C2682ED">
        <w:rPr>
          <w:lang w:eastAsia="en-US"/>
        </w:rPr>
        <w:t xml:space="preserve">10 pracovních </w:t>
      </w:r>
      <w:r w:rsidRPr="3C2682ED">
        <w:rPr>
          <w:lang w:eastAsia="en-US"/>
        </w:rPr>
        <w:t>dnů po jejich doručení na adresu Objednatele</w:t>
      </w:r>
      <w:r w:rsidR="00D17729" w:rsidRPr="3C2682ED">
        <w:rPr>
          <w:lang w:eastAsia="en-US"/>
        </w:rPr>
        <w:t xml:space="preserve"> faktury@amu.cz</w:t>
      </w:r>
      <w:r w:rsidRPr="3C2682ED">
        <w:rPr>
          <w:lang w:eastAsia="en-US"/>
        </w:rPr>
        <w:t>.</w:t>
      </w:r>
    </w:p>
    <w:p w14:paraId="15110A09" w14:textId="4439B41E" w:rsidR="00947EA3" w:rsidRDefault="00947EA3" w:rsidP="00947EA3">
      <w:pPr>
        <w:pStyle w:val="Odstavecseseznamem"/>
        <w:numPr>
          <w:ilvl w:val="1"/>
          <w:numId w:val="2"/>
        </w:numPr>
        <w:rPr>
          <w:lang w:eastAsia="en-US"/>
        </w:rPr>
      </w:pPr>
      <w:r w:rsidRPr="3C2682ED">
        <w:rPr>
          <w:lang w:eastAsia="en-US"/>
        </w:rPr>
        <w:t>Každá faktura musí splňovat náležitosti daňového dokladu dle platných právních předpisů a musí obsahovat též evidenční číslo této Smlouvy, pod kterým je vedena u Objednatele.</w:t>
      </w:r>
      <w:r w:rsidR="0BAB95BB" w:rsidRPr="3C2682ED">
        <w:rPr>
          <w:lang w:eastAsia="en-US"/>
        </w:rPr>
        <w:t xml:space="preserve"> Toto</w:t>
      </w:r>
      <w:r w:rsidRPr="3C2682ED">
        <w:rPr>
          <w:lang w:eastAsia="en-US"/>
        </w:rPr>
        <w:t xml:space="preserve"> </w:t>
      </w:r>
      <w:r w:rsidR="0BAB95BB" w:rsidRPr="3C2682ED">
        <w:rPr>
          <w:lang w:eastAsia="en-US"/>
        </w:rPr>
        <w:t xml:space="preserve">číslo poskytne Objednatel. </w:t>
      </w:r>
      <w:r w:rsidRPr="3C2682ED">
        <w:rPr>
          <w:lang w:eastAsia="en-US"/>
        </w:rPr>
        <w:t>V případě, že faktura nebude splňovat uvedené náležitosti daňového dokladu, vrátí jí Objednatel Poskytovateli k přepracování. Lhůta splatnosti v tomto případě počíná běžet dnem doručení přepracované faktury.</w:t>
      </w:r>
    </w:p>
    <w:p w14:paraId="53130D42" w14:textId="2ED7F7E4" w:rsidR="00947EA3" w:rsidRDefault="00947EA3" w:rsidP="00947EA3">
      <w:pPr>
        <w:pStyle w:val="Odstavecseseznamem"/>
        <w:numPr>
          <w:ilvl w:val="1"/>
          <w:numId w:val="2"/>
        </w:numPr>
        <w:rPr>
          <w:lang w:eastAsia="en-US"/>
        </w:rPr>
      </w:pPr>
      <w:r w:rsidRPr="3C2682ED">
        <w:rPr>
          <w:lang w:eastAsia="en-US"/>
        </w:rPr>
        <w:t>Všechny ceny, poplatky a další odvody splatné podle této Smlouvy jsou uvedeny bez daně z přidané hodnoty.</w:t>
      </w:r>
      <w:r w:rsidR="004C5925" w:rsidRPr="3C2682ED">
        <w:rPr>
          <w:lang w:eastAsia="en-US"/>
        </w:rPr>
        <w:t xml:space="preserve"> Poskytovatel není plátcem DPH.</w:t>
      </w:r>
      <w:r w:rsidRPr="3C2682ED">
        <w:rPr>
          <w:lang w:eastAsia="en-US"/>
        </w:rPr>
        <w:t xml:space="preserve"> </w:t>
      </w:r>
    </w:p>
    <w:p w14:paraId="3517696C" w14:textId="77777777" w:rsidR="003A3240" w:rsidRDefault="003A3240" w:rsidP="003A3240">
      <w:pPr>
        <w:pStyle w:val="Nadpis2"/>
        <w:numPr>
          <w:ilvl w:val="0"/>
          <w:numId w:val="2"/>
        </w:numPr>
      </w:pPr>
      <w:r>
        <w:t>Práva a povinnosti smluvních stran, součinnost</w:t>
      </w:r>
    </w:p>
    <w:p w14:paraId="590C5263" w14:textId="77777777" w:rsidR="003A3240" w:rsidRDefault="003A3240" w:rsidP="00CA4BBE">
      <w:pPr>
        <w:pStyle w:val="Odstavecseseznamem"/>
        <w:numPr>
          <w:ilvl w:val="1"/>
          <w:numId w:val="2"/>
        </w:numPr>
        <w:ind w:hanging="650"/>
      </w:pPr>
      <w:r>
        <w:t>Poskytovatel se zavazuje, že veškeré práce, dodávky a služby provede pod svým jménem a na svou vlastní zodpovědnost. V případě, že tím pověří, v jakémkoli rozsahu, jinou osobu, má Poskytovatel odpovědnost za takto provedené práce, dodávky či služby, jako by je provedl sám.</w:t>
      </w:r>
    </w:p>
    <w:p w14:paraId="229F3B53" w14:textId="244DF5B1" w:rsidR="003A3240" w:rsidRDefault="003A3240" w:rsidP="00CA4BBE">
      <w:pPr>
        <w:pStyle w:val="Odstavecseseznamem"/>
        <w:numPr>
          <w:ilvl w:val="1"/>
          <w:numId w:val="2"/>
        </w:numPr>
        <w:ind w:hanging="650"/>
      </w:pPr>
      <w:r>
        <w:t>Poskytovatel se zavazuje realizovat veškeré práce vyžadující zvláštní způsobilost nebo povolení podle příslušných předpisů</w:t>
      </w:r>
      <w:r w:rsidR="6C6593FC">
        <w:t xml:space="preserve"> s</w:t>
      </w:r>
      <w:r>
        <w:t xml:space="preserve"> osobami, které tuto podmínku splňují.</w:t>
      </w:r>
    </w:p>
    <w:p w14:paraId="5CB51179" w14:textId="2EDA54B8" w:rsidR="003A3240" w:rsidRDefault="003A3240" w:rsidP="00CA4BBE">
      <w:pPr>
        <w:pStyle w:val="Odstavecseseznamem"/>
        <w:numPr>
          <w:ilvl w:val="1"/>
          <w:numId w:val="2"/>
        </w:numPr>
        <w:ind w:hanging="650"/>
      </w:pPr>
      <w:r>
        <w:t xml:space="preserve">Objednatel se zavazuje Poskytovateli </w:t>
      </w:r>
      <w:r w:rsidR="002066A4">
        <w:t xml:space="preserve">poskytnout potřebné přístupy do PBI AMU, DS AMU a dalších systémů umožňující spolupráci na předmětu této smlouvy a též </w:t>
      </w:r>
      <w:r>
        <w:t>poskytnout součinnost při plnění předmětu této smlouvy, a to v rozsahu, ve kterém lze a způsobem, kterým lze tuto součinnost po Objednateli spravedlivě požadovat dle této smlouvy. Bude-li Poskytovatelem požadována po Objednateli jakákoliv součinnost dle předchozí věty, je povinen ji před započetím jakéhokoliv plnění z této smlouvy dostatečně a prokazatelně specifikovat. V případě, že Objednatel nevyvine takto specifikovanou a požadovanou součinnost při plnění dle této smlouvy, může Poskytovatel prodloužit termín plnění o dobu, po kterou nemohl z uvedeného důvodu pokračovat v realizaci svého závazku.</w:t>
      </w:r>
    </w:p>
    <w:p w14:paraId="55AFCE76" w14:textId="77777777" w:rsidR="003A3240" w:rsidRDefault="003A3240" w:rsidP="00CA4BBE">
      <w:pPr>
        <w:pStyle w:val="Odstavecseseznamem"/>
        <w:numPr>
          <w:ilvl w:val="1"/>
          <w:numId w:val="2"/>
        </w:numPr>
        <w:ind w:hanging="650"/>
      </w:pPr>
      <w:r>
        <w:t>Odpovědnost za porušení součinnosti je vázána vždy na součinnost v rozsahu stanoveném smlouvou. Vzájemná součinnost musí být jasně formulována, popř. bude popsána v příslušných specifikacích schválených oběma smluvními stranami.</w:t>
      </w:r>
    </w:p>
    <w:p w14:paraId="7A93A99A" w14:textId="77777777" w:rsidR="003A3240" w:rsidRDefault="003A3240" w:rsidP="00CA4BBE">
      <w:pPr>
        <w:pStyle w:val="Odstavecseseznamem"/>
        <w:numPr>
          <w:ilvl w:val="1"/>
          <w:numId w:val="2"/>
        </w:numPr>
        <w:ind w:hanging="650"/>
      </w:pPr>
      <w:r>
        <w:t>Smluvní strany spolu budou komunikovat buď písemně na adresy stanovené v úvodu této smlouvy, nebo telefonem, elektronickou poštou či osobně prostřednictvím pověřených Kontaktních osob jmenovaných oběma smluvními stranami v příloze č.</w:t>
      </w:r>
      <w:r w:rsidR="00115702">
        <w:t xml:space="preserve"> </w:t>
      </w:r>
      <w:r>
        <w:t>3 této smlouvy.</w:t>
      </w:r>
    </w:p>
    <w:p w14:paraId="72FF9B89" w14:textId="28115D54" w:rsidR="003A3240" w:rsidRDefault="003A3240" w:rsidP="00CA4BBE">
      <w:pPr>
        <w:pStyle w:val="Odstavecseseznamem"/>
        <w:numPr>
          <w:ilvl w:val="1"/>
          <w:numId w:val="2"/>
        </w:numPr>
        <w:ind w:hanging="650"/>
      </w:pPr>
      <w:r>
        <w:t xml:space="preserve">Poskytovatel odpovídá </w:t>
      </w:r>
      <w:proofErr w:type="gramStart"/>
      <w:r>
        <w:t>za  dodržování</w:t>
      </w:r>
      <w:proofErr w:type="gramEnd"/>
      <w:r>
        <w:t xml:space="preserve"> bezpečnostních, hygienických a požárních předpisů</w:t>
      </w:r>
      <w:r w:rsidR="5042A56E">
        <w:t xml:space="preserve"> Objednatele v prostorách Objednatele</w:t>
      </w:r>
      <w:r>
        <w:t>.</w:t>
      </w:r>
    </w:p>
    <w:p w14:paraId="2034DEC5" w14:textId="2FC36C81" w:rsidR="003A3240" w:rsidRDefault="003A3240" w:rsidP="00CA4BBE">
      <w:pPr>
        <w:pStyle w:val="Odstavecseseznamem"/>
        <w:numPr>
          <w:ilvl w:val="1"/>
          <w:numId w:val="2"/>
        </w:numPr>
        <w:ind w:hanging="650"/>
      </w:pPr>
      <w:r>
        <w:t xml:space="preserve">Poskytovatel je povinen po dobu plnění předmětu smlouvy a </w:t>
      </w:r>
      <w:r w:rsidR="1FFF245A">
        <w:t>při jejím ukončení předat veškerou technickou dokumentaci spojenou s dílčími plněními</w:t>
      </w:r>
      <w:r w:rsidR="05B82D57">
        <w:t>.</w:t>
      </w:r>
      <w:r w:rsidR="1FFF245A">
        <w:t xml:space="preserve"> </w:t>
      </w:r>
      <w:r w:rsidR="2175DA80">
        <w:t>P</w:t>
      </w:r>
      <w:r>
        <w:t>o dobu následujících 5 let od předání a převzetí celkového plnění poskytnout požadované informace související s realizací kontrolním orgánům Objednatele.</w:t>
      </w:r>
    </w:p>
    <w:p w14:paraId="754E9037" w14:textId="77777777" w:rsidR="003A3240" w:rsidRDefault="003A3240" w:rsidP="003A3240">
      <w:pPr>
        <w:pStyle w:val="Nadpis2"/>
        <w:numPr>
          <w:ilvl w:val="0"/>
          <w:numId w:val="2"/>
        </w:numPr>
      </w:pPr>
      <w:r>
        <w:t>Platnost a účinnost smlouvy, ukončení</w:t>
      </w:r>
    </w:p>
    <w:p w14:paraId="505A4038" w14:textId="0045844B" w:rsidR="009B20A9" w:rsidRDefault="003A3240" w:rsidP="00CA4BBE">
      <w:pPr>
        <w:pStyle w:val="Odstavecseseznamem"/>
        <w:numPr>
          <w:ilvl w:val="1"/>
          <w:numId w:val="2"/>
        </w:numPr>
        <w:ind w:left="851" w:hanging="709"/>
      </w:pPr>
      <w:r>
        <w:t xml:space="preserve">Tato Smlouva je uzavřena na dobu </w:t>
      </w:r>
      <w:r w:rsidR="002A1E56">
        <w:t>určitou</w:t>
      </w:r>
      <w:r w:rsidR="7E9E612F">
        <w:t xml:space="preserve"> od 1. 1. 2023</w:t>
      </w:r>
      <w:r w:rsidR="002A1E56">
        <w:t xml:space="preserve"> do </w:t>
      </w:r>
      <w:r w:rsidR="00931DC0">
        <w:t xml:space="preserve">30. </w:t>
      </w:r>
      <w:r w:rsidR="001D730B">
        <w:t>6</w:t>
      </w:r>
      <w:r w:rsidR="00931DC0">
        <w:t>. 2023</w:t>
      </w:r>
      <w:r>
        <w:t xml:space="preserve">. </w:t>
      </w:r>
    </w:p>
    <w:p w14:paraId="07DF2F06" w14:textId="38BCF869" w:rsidR="003A3240" w:rsidRDefault="003A3240" w:rsidP="00CA4BBE">
      <w:pPr>
        <w:pStyle w:val="Odstavecseseznamem"/>
        <w:numPr>
          <w:ilvl w:val="1"/>
          <w:numId w:val="2"/>
        </w:numPr>
        <w:ind w:left="851" w:hanging="709"/>
      </w:pPr>
      <w:r>
        <w:t xml:space="preserve">Smlouvu lze oběma smluvními stranami ukončit písemnou výpovědí bez uvedení důvodů. Výpovědní doba </w:t>
      </w:r>
      <w:r w:rsidR="009B20A9">
        <w:t xml:space="preserve">pak </w:t>
      </w:r>
      <w:r w:rsidR="77F91E29">
        <w:t>činí 2</w:t>
      </w:r>
      <w:r w:rsidR="001D730B">
        <w:t xml:space="preserve"> </w:t>
      </w:r>
      <w:r>
        <w:t>(</w:t>
      </w:r>
      <w:r w:rsidR="001D730B">
        <w:t>dva</w:t>
      </w:r>
      <w:r>
        <w:t>) měsíc</w:t>
      </w:r>
      <w:r w:rsidR="00931DC0">
        <w:t>e</w:t>
      </w:r>
      <w:r>
        <w:t xml:space="preserve">. Výpovědní doba začne běžet prvním dnem </w:t>
      </w:r>
      <w:r w:rsidR="001D730B">
        <w:t xml:space="preserve">měsíce </w:t>
      </w:r>
      <w:r>
        <w:t xml:space="preserve">následujícího po </w:t>
      </w:r>
      <w:r w:rsidR="001D730B">
        <w:t>měsíci</w:t>
      </w:r>
      <w:r w:rsidR="00931DC0">
        <w:t xml:space="preserve">, v němž byla </w:t>
      </w:r>
      <w:r>
        <w:t>doručen</w:t>
      </w:r>
      <w:r w:rsidR="00931DC0">
        <w:t>a</w:t>
      </w:r>
      <w:r>
        <w:t xml:space="preserve"> </w:t>
      </w:r>
      <w:r w:rsidR="00931DC0">
        <w:t xml:space="preserve">výpověď </w:t>
      </w:r>
      <w:r>
        <w:t xml:space="preserve">druhé smluvní straně. </w:t>
      </w:r>
    </w:p>
    <w:p w14:paraId="78EE2D6D" w14:textId="77777777" w:rsidR="003A3240" w:rsidRPr="003A3240" w:rsidRDefault="003A3240" w:rsidP="00CA4BBE">
      <w:pPr>
        <w:pStyle w:val="Odstavecseseznamem"/>
        <w:numPr>
          <w:ilvl w:val="1"/>
          <w:numId w:val="2"/>
        </w:numPr>
        <w:ind w:left="851" w:hanging="709"/>
      </w:pPr>
      <w:r>
        <w:t xml:space="preserve">Smlouvu je dále možné ukončit písemnou výpovědí z důvodů podstatného porušení smluvních povinností druhou smluvní stranou. V tom případě </w:t>
      </w:r>
      <w:r w:rsidR="008B4C56">
        <w:t>ukončení smlouvy následuje</w:t>
      </w:r>
      <w:r>
        <w:t xml:space="preserve"> po doručení výpovědi druhé smluvní straně.</w:t>
      </w:r>
    </w:p>
    <w:p w14:paraId="36C6F1B0" w14:textId="77777777" w:rsidR="00F36D9D" w:rsidRPr="00A9783E" w:rsidRDefault="00F36D9D" w:rsidP="00F36D9D">
      <w:pPr>
        <w:pStyle w:val="Nadpis2"/>
        <w:numPr>
          <w:ilvl w:val="0"/>
          <w:numId w:val="2"/>
        </w:numPr>
      </w:pPr>
      <w:r>
        <w:t xml:space="preserve">Důvody odstoupení </w:t>
      </w:r>
    </w:p>
    <w:p w14:paraId="176ED340" w14:textId="77777777" w:rsidR="00F36D9D" w:rsidRPr="00A9783E" w:rsidRDefault="00F36D9D" w:rsidP="00D22233">
      <w:pPr>
        <w:pStyle w:val="Odstavecseseznamem"/>
        <w:numPr>
          <w:ilvl w:val="1"/>
          <w:numId w:val="2"/>
        </w:numPr>
        <w:ind w:left="851" w:hanging="709"/>
      </w:pPr>
      <w:r>
        <w:t xml:space="preserve">Za podstatné porušení smluvních povinností ze strany Poskytovatele se pro účely této Smlouvy považuje opakované prodlení poskytování </w:t>
      </w:r>
      <w:r w:rsidR="00A9783E">
        <w:t>objednaných prací dle</w:t>
      </w:r>
      <w:r>
        <w:t xml:space="preserve"> této smlouvy po dobu delší než 30 (třicet) dnů u služeb dle Plánu </w:t>
      </w:r>
      <w:r w:rsidR="00A9783E">
        <w:t xml:space="preserve">vývojových </w:t>
      </w:r>
      <w:r>
        <w:t>prací</w:t>
      </w:r>
      <w:r w:rsidR="0081543A">
        <w:t>.</w:t>
      </w:r>
    </w:p>
    <w:p w14:paraId="4C9D5592" w14:textId="77777777" w:rsidR="00F36D9D" w:rsidRPr="00A9783E" w:rsidRDefault="00F36D9D" w:rsidP="00D22233">
      <w:pPr>
        <w:pStyle w:val="Odstavecseseznamem"/>
        <w:numPr>
          <w:ilvl w:val="1"/>
          <w:numId w:val="2"/>
        </w:numPr>
        <w:ind w:left="851" w:hanging="709"/>
      </w:pPr>
      <w:r>
        <w:t xml:space="preserve">Za podstatné porušení smluvních povinností ze strany Objednatele se pro účely této Smlouvy považuje: </w:t>
      </w:r>
    </w:p>
    <w:p w14:paraId="6B71613D" w14:textId="40D2A71B" w:rsidR="00F36D9D" w:rsidRDefault="00F36D9D" w:rsidP="00D22233">
      <w:pPr>
        <w:pStyle w:val="Odstavecseseznamem"/>
        <w:ind w:left="1560" w:hanging="709"/>
      </w:pPr>
      <w:r>
        <w:t>a) prodlení s úhradou faktur po dobu delší 30 dnů</w:t>
      </w:r>
      <w:r w:rsidR="009B20A9">
        <w:t>,</w:t>
      </w:r>
    </w:p>
    <w:p w14:paraId="462612FC" w14:textId="3F28A55E" w:rsidR="00F36D9D" w:rsidRDefault="00F36D9D" w:rsidP="00D22233">
      <w:pPr>
        <w:pStyle w:val="Odstavecseseznamem"/>
        <w:ind w:left="1560" w:hanging="709"/>
      </w:pPr>
      <w:r>
        <w:t>b) opakované neplnění nezbytné součinnosti</w:t>
      </w:r>
      <w:r w:rsidR="009B20A9">
        <w:t>.</w:t>
      </w:r>
    </w:p>
    <w:p w14:paraId="41FB06F1" w14:textId="77777777" w:rsidR="00F36D9D" w:rsidRDefault="00F36D9D" w:rsidP="00D22233">
      <w:pPr>
        <w:pStyle w:val="Odstavecseseznamem"/>
        <w:numPr>
          <w:ilvl w:val="1"/>
          <w:numId w:val="2"/>
        </w:numPr>
        <w:ind w:left="851" w:hanging="709"/>
      </w:pPr>
      <w:r>
        <w:t>V případě odstoupení kterékoli ze smluvních stran vyřeší strany stávající závazky vzájemnou dohodou.</w:t>
      </w:r>
    </w:p>
    <w:p w14:paraId="762F7D45" w14:textId="77777777" w:rsidR="00F36D9D" w:rsidRDefault="00F36D9D" w:rsidP="00D22233">
      <w:pPr>
        <w:pStyle w:val="Odstavecseseznamem"/>
        <w:numPr>
          <w:ilvl w:val="1"/>
          <w:numId w:val="2"/>
        </w:numPr>
        <w:ind w:left="851" w:hanging="709"/>
      </w:pPr>
      <w:r>
        <w:t>Doručování písemností týkajících se předčasného ukončení smlouvy se řídí ustanovením § 46 a násl. zákona č. 99/1963 Sb., občanský soudní řád, ve znění pozdějších předpisů.</w:t>
      </w:r>
    </w:p>
    <w:p w14:paraId="0B9FB80F" w14:textId="77777777" w:rsidR="0081543A" w:rsidRDefault="0081543A" w:rsidP="0081543A">
      <w:pPr>
        <w:pStyle w:val="Nadpis2"/>
        <w:numPr>
          <w:ilvl w:val="0"/>
          <w:numId w:val="2"/>
        </w:numPr>
      </w:pPr>
      <w:r>
        <w:t>Sankční ujednání</w:t>
      </w:r>
    </w:p>
    <w:p w14:paraId="44049D8C" w14:textId="4B629543" w:rsidR="0081543A" w:rsidRPr="002A1E56" w:rsidRDefault="0081543A" w:rsidP="3C2682ED">
      <w:pPr>
        <w:pStyle w:val="Odstavecseseznamem"/>
        <w:numPr>
          <w:ilvl w:val="1"/>
          <w:numId w:val="2"/>
        </w:numPr>
        <w:spacing w:after="120"/>
        <w:ind w:left="851" w:hanging="709"/>
        <w:rPr>
          <w:b/>
          <w:bCs/>
        </w:rPr>
      </w:pPr>
      <w:r w:rsidRPr="3C2682ED">
        <w:rPr>
          <w:b/>
          <w:bCs/>
        </w:rPr>
        <w:t>Úrok z</w:t>
      </w:r>
      <w:r w:rsidR="00744EA9" w:rsidRPr="3C2682ED">
        <w:rPr>
          <w:b/>
          <w:bCs/>
        </w:rPr>
        <w:t> </w:t>
      </w:r>
      <w:r w:rsidRPr="3C2682ED">
        <w:rPr>
          <w:b/>
          <w:bCs/>
        </w:rPr>
        <w:t>prodlení</w:t>
      </w:r>
    </w:p>
    <w:p w14:paraId="66C4E8F2" w14:textId="77777777" w:rsidR="00744EA9" w:rsidRDefault="00744EA9" w:rsidP="00D22233">
      <w:pPr>
        <w:pStyle w:val="Odstavecseseznamem"/>
        <w:numPr>
          <w:ilvl w:val="2"/>
          <w:numId w:val="2"/>
        </w:numPr>
        <w:ind w:hanging="940"/>
      </w:pPr>
      <w:r>
        <w:t>Pokud bude Objednatel v prodlení s úhradou faktury proti sjednanému termínu, je Poskytovatel oprávněn vyúčtovat k tíži Objednatele úrok z prodlení v zákonné výši za každý i započatý kalendářní den prodlení.</w:t>
      </w:r>
    </w:p>
    <w:p w14:paraId="32473384" w14:textId="77777777" w:rsidR="0081543A" w:rsidRPr="002A1E56" w:rsidRDefault="0081543A" w:rsidP="002A1E56">
      <w:pPr>
        <w:pStyle w:val="Odstavecseseznamem"/>
        <w:numPr>
          <w:ilvl w:val="1"/>
          <w:numId w:val="2"/>
        </w:numPr>
        <w:ind w:left="851" w:hanging="709"/>
        <w:rPr>
          <w:b/>
        </w:rPr>
      </w:pPr>
      <w:r w:rsidRPr="3C2682ED">
        <w:rPr>
          <w:b/>
          <w:bCs/>
        </w:rPr>
        <w:t>Lhůta splatnosti sankcí, související náhrada škody</w:t>
      </w:r>
    </w:p>
    <w:p w14:paraId="4584E659" w14:textId="77777777" w:rsidR="00744EA9" w:rsidRDefault="00744EA9" w:rsidP="00D22233">
      <w:pPr>
        <w:pStyle w:val="Odstavecseseznamem"/>
        <w:numPr>
          <w:ilvl w:val="2"/>
          <w:numId w:val="2"/>
        </w:numPr>
        <w:ind w:hanging="940"/>
      </w:pPr>
      <w:r>
        <w:t>Strana povinná je povinna uhradit vyúčtované sankce nejpozději do čtrnácti (14) dnů ode dne obdržení příslušného vyúčtování.</w:t>
      </w:r>
    </w:p>
    <w:p w14:paraId="7D8037B9" w14:textId="1ED902E2" w:rsidR="3C2682ED" w:rsidRDefault="3C2682ED" w:rsidP="3C2682ED"/>
    <w:p w14:paraId="1DC899EB" w14:textId="58ED1FB6" w:rsidR="009B4316" w:rsidRDefault="009B4316" w:rsidP="3C2682ED">
      <w:pPr>
        <w:pStyle w:val="Odstavecseseznamem"/>
        <w:numPr>
          <w:ilvl w:val="0"/>
          <w:numId w:val="2"/>
        </w:numPr>
        <w:rPr>
          <w:b/>
          <w:bCs/>
        </w:rPr>
      </w:pPr>
      <w:r w:rsidRPr="3C2682ED">
        <w:rPr>
          <w:b/>
          <w:bCs/>
        </w:rPr>
        <w:t xml:space="preserve">Ochrana informací, Ochrana osobních údajů a Informací </w:t>
      </w:r>
    </w:p>
    <w:p w14:paraId="60288E32" w14:textId="77777777" w:rsidR="009B4316" w:rsidRDefault="009B4316" w:rsidP="009B4316">
      <w:pPr>
        <w:pStyle w:val="Odstavecseseznamem"/>
        <w:numPr>
          <w:ilvl w:val="1"/>
          <w:numId w:val="2"/>
        </w:numPr>
        <w:ind w:left="851" w:hanging="709"/>
      </w:pPr>
      <w:r>
        <w:t>Žádná ze smluvních stran nesmí zpřístupnit třetí osobě důvěrné informace, které při plnění předmětu smlouvy získala od druhé smluvní strany v souvislosti se smlouvou. To neplatí, mají-li být za účelem plnění předmětu smlouvy potřebné informace zpřístupněny zaměstnancům, orgánům nebo jejich členům, kteří se podílejí na plnění dle smlouvy za stejných podmínek, jaké jsou stanoveny smluvním stranám v tomto článku, a to vždy jen v rozsahu zcela nezbytně nutném pro řádné plnění smlouvy, či naplnění jejího účelu.</w:t>
      </w:r>
    </w:p>
    <w:p w14:paraId="36A8AF0D" w14:textId="77777777" w:rsidR="009B4316" w:rsidRDefault="009B4316" w:rsidP="009B4316">
      <w:pPr>
        <w:pStyle w:val="Odstavecseseznamem"/>
        <w:numPr>
          <w:ilvl w:val="1"/>
          <w:numId w:val="2"/>
        </w:numPr>
        <w:ind w:left="851" w:hanging="709"/>
      </w:pPr>
      <w:r>
        <w:t xml:space="preserve">Ochrana informací se nevztahuje na případy, kdy: </w:t>
      </w:r>
    </w:p>
    <w:p w14:paraId="34BCE417" w14:textId="77777777" w:rsidR="009B4316" w:rsidRDefault="009B4316" w:rsidP="009B4316">
      <w:pPr>
        <w:pStyle w:val="Odstavecseseznamem"/>
        <w:numPr>
          <w:ilvl w:val="0"/>
          <w:numId w:val="22"/>
        </w:numPr>
      </w:pPr>
      <w:r>
        <w:t xml:space="preserve">smluvní strana prokáže, že je tato informace veřejně dostupná, aniž by tuto dostupnost způsobila sama smluvní strana; </w:t>
      </w:r>
    </w:p>
    <w:p w14:paraId="0670831C" w14:textId="77777777" w:rsidR="009B4316" w:rsidRDefault="009B4316" w:rsidP="009B4316">
      <w:pPr>
        <w:pStyle w:val="Odstavecseseznamem"/>
        <w:numPr>
          <w:ilvl w:val="0"/>
          <w:numId w:val="22"/>
        </w:numPr>
      </w:pPr>
      <w:r>
        <w:t xml:space="preserve">smluvní strana prokáže, že měla tuto informaci k dispozici ještě před datem zpřístupnění druhou stranou, a že ji nenabyla v rozporu se zákonem; </w:t>
      </w:r>
    </w:p>
    <w:p w14:paraId="3234D075" w14:textId="77777777" w:rsidR="009B4316" w:rsidRDefault="009B4316" w:rsidP="009B4316">
      <w:pPr>
        <w:pStyle w:val="Odstavecseseznamem"/>
        <w:numPr>
          <w:ilvl w:val="0"/>
          <w:numId w:val="22"/>
        </w:numPr>
      </w:pPr>
      <w:r>
        <w:t xml:space="preserve">smluvní strana obdrží od zpřístupňující strany písemný souhlas zpřístupňovat danou informaci; </w:t>
      </w:r>
    </w:p>
    <w:p w14:paraId="2AB5165D" w14:textId="77777777" w:rsidR="009B4316" w:rsidRDefault="009B4316" w:rsidP="009B4316">
      <w:pPr>
        <w:pStyle w:val="Odstavecseseznamem"/>
        <w:numPr>
          <w:ilvl w:val="0"/>
          <w:numId w:val="22"/>
        </w:numPr>
      </w:pPr>
      <w:r>
        <w:t>je-li zpřístupnění informace vyžadováno zákonem nebo závazným rozhodnutím oprávněného orgánu.</w:t>
      </w:r>
    </w:p>
    <w:p w14:paraId="7F2BBB59" w14:textId="77777777" w:rsidR="009B4316" w:rsidRDefault="009B4316" w:rsidP="009B4316">
      <w:pPr>
        <w:pStyle w:val="Odstavecseseznamem"/>
        <w:numPr>
          <w:ilvl w:val="1"/>
          <w:numId w:val="2"/>
        </w:numPr>
        <w:ind w:hanging="650"/>
      </w:pPr>
      <w:r>
        <w:t>Za důvěrné informace jsou dle smlouvy považovány veškeré informace vzájemně poskytnuté v ústní nebo v písemné formě, jakož i know-how, jímž se rozumí veškeré poznatky obchodní, výrobní, bezpečnostní, technické či ekonomické povahy související s činností smluvní strany, které mají skutečnou nebo alespoň potenciální hodnotu a které nejsou v příslušných obchodních kruzích běžně dostupné a mají být dle vůle příslušné smluvní strany utajeny. Za důvěrné informace jsou dále dle smlouvy považovány software, diagnostika, dokumentace včetně manuálů a veškeré další informace, které jsou písemně označeny jako důvěrné informace Poskytovatele, Objednatele nebo dodavatelů jejich licencí.</w:t>
      </w:r>
    </w:p>
    <w:p w14:paraId="02CF37FF" w14:textId="77777777" w:rsidR="009B4316" w:rsidRDefault="009B4316" w:rsidP="009B4316">
      <w:pPr>
        <w:pStyle w:val="Odstavecseseznamem"/>
        <w:numPr>
          <w:ilvl w:val="1"/>
          <w:numId w:val="2"/>
        </w:numPr>
        <w:ind w:hanging="650"/>
      </w:pPr>
      <w:r>
        <w:t>Obě smluvní strany se zavazují nakládat s důvěrnými informacemi, které jim byly poskytnuty druhou stranou nebo je jinak získaly v souvislosti s plněním smlouvy, jako s obchodním tajemstvím, zejména uchovávat je v tajnosti a učinit veškerá smluvní a technická opatření zabraňující jejich zneužití či prozrazení.</w:t>
      </w:r>
    </w:p>
    <w:p w14:paraId="16152363" w14:textId="77777777" w:rsidR="009B4316" w:rsidRDefault="009B4316" w:rsidP="009B4316">
      <w:pPr>
        <w:pStyle w:val="Odstavecseseznamem"/>
        <w:numPr>
          <w:ilvl w:val="1"/>
          <w:numId w:val="2"/>
        </w:numPr>
        <w:ind w:hanging="650"/>
      </w:pPr>
      <w:r>
        <w:t>Povinnost utajovat důvěrné informace uvedená v tomto článku zavazuje smluvní strany po dobu neurčitou, tedy i po ukončení smlouvy.</w:t>
      </w:r>
    </w:p>
    <w:p w14:paraId="7F5B87F2" w14:textId="77777777" w:rsidR="009B4316" w:rsidRDefault="009B4316" w:rsidP="009B4316">
      <w:pPr>
        <w:pStyle w:val="Odstavecseseznamem"/>
        <w:numPr>
          <w:ilvl w:val="1"/>
          <w:numId w:val="2"/>
        </w:numPr>
        <w:ind w:hanging="650"/>
      </w:pPr>
      <w:r>
        <w:t>Poskytnutí informací dle zákona č. 106/1999 Sb., o svobodném přístupu k informacím, není porušením této smlouvy.</w:t>
      </w:r>
    </w:p>
    <w:p w14:paraId="72756BD3" w14:textId="77777777" w:rsidR="009B4316" w:rsidRDefault="008B4C56" w:rsidP="008B4C56">
      <w:pPr>
        <w:pStyle w:val="Nadpis2"/>
        <w:numPr>
          <w:ilvl w:val="0"/>
          <w:numId w:val="2"/>
        </w:numPr>
      </w:pPr>
      <w:r>
        <w:t>Výkon a převod majetkových práv, licence software</w:t>
      </w:r>
    </w:p>
    <w:p w14:paraId="64142208" w14:textId="75848BE2" w:rsidR="008B4C56" w:rsidRDefault="008B4C56" w:rsidP="008B4C56">
      <w:pPr>
        <w:pStyle w:val="Odstavecseseznamem"/>
        <w:numPr>
          <w:ilvl w:val="1"/>
          <w:numId w:val="2"/>
        </w:numPr>
        <w:ind w:hanging="650"/>
      </w:pPr>
      <w:r>
        <w:t xml:space="preserve">Je-li součástí předmětu plnění dílo nebo vznikne-li při plnění zakázky dílo podléhající ochraně podle zák. č. 121/2000 Sb., o právu autorském, o právech souvisejících s právem autorským a o změně některých zákonů (autorský zákon), přecházejí práva užití k tomu dílu na Objednatele dnem jeho </w:t>
      </w:r>
      <w:r w:rsidR="00C0768C">
        <w:t xml:space="preserve">akceptace a </w:t>
      </w:r>
      <w:r>
        <w:t>protokolárního předání Objednateli v rozsahu sjednaném dále v této smlouvě.</w:t>
      </w:r>
    </w:p>
    <w:p w14:paraId="7DD2F183" w14:textId="03497591" w:rsidR="008B4C56" w:rsidRDefault="008B4C56" w:rsidP="008B4C56">
      <w:pPr>
        <w:pStyle w:val="Odstavecseseznamem"/>
        <w:numPr>
          <w:ilvl w:val="1"/>
          <w:numId w:val="2"/>
        </w:numPr>
        <w:ind w:hanging="650"/>
      </w:pPr>
      <w:r>
        <w:t xml:space="preserve">Objednatel předáním a převzetím díla nebo jeho části se stává Nabyvatelem licence a získává výhradní právo na užití díla časově a teritoriálně neomezené, právo na užití díla </w:t>
      </w:r>
      <w:r w:rsidR="008E4ED5">
        <w:t>bez omezení.</w:t>
      </w:r>
    </w:p>
    <w:p w14:paraId="01162B5C" w14:textId="5FD8FC9C" w:rsidR="008B4C56" w:rsidRDefault="008B4C56" w:rsidP="008B4C56">
      <w:pPr>
        <w:pStyle w:val="Odstavecseseznamem"/>
        <w:numPr>
          <w:ilvl w:val="1"/>
          <w:numId w:val="2"/>
        </w:numPr>
        <w:ind w:hanging="650"/>
      </w:pPr>
      <w:r>
        <w:t xml:space="preserve">Objednatel </w:t>
      </w:r>
      <w:r w:rsidR="008E4ED5">
        <w:t xml:space="preserve">je </w:t>
      </w:r>
      <w:r>
        <w:t>oprávněn dílo dále šířit, půjčovat, rozmnožovat, pronajímat nebo postoupit výkon majetkových práv k tomuto dílu na jinou třetí osobu bez předchozího souhlasu Poskytovatele.</w:t>
      </w:r>
    </w:p>
    <w:p w14:paraId="703B8AE2" w14:textId="3C355743" w:rsidR="008B4C56" w:rsidRPr="008B4C56" w:rsidRDefault="008B4C56" w:rsidP="008B4C56">
      <w:pPr>
        <w:pStyle w:val="Odstavecseseznamem"/>
        <w:numPr>
          <w:ilvl w:val="1"/>
          <w:numId w:val="2"/>
        </w:numPr>
        <w:ind w:hanging="650"/>
      </w:pPr>
      <w:r>
        <w:t>Objednatel je oprávněn na převzatém díle nebo jeho části provést změny a úpravy, avšak s vědomím, že na takové pozměněné dílo se nevztahuje žádná záruka podle této smlouvy.</w:t>
      </w:r>
    </w:p>
    <w:p w14:paraId="45FB0818" w14:textId="77777777" w:rsidR="008B4C56" w:rsidRPr="008B4C56" w:rsidRDefault="008B4C56" w:rsidP="008B4C56">
      <w:pPr>
        <w:rPr>
          <w:lang w:eastAsia="en-US"/>
        </w:rPr>
      </w:pPr>
    </w:p>
    <w:p w14:paraId="43A86AC9" w14:textId="77777777" w:rsidR="009B4316" w:rsidRDefault="009B4316" w:rsidP="009B4316">
      <w:pPr>
        <w:pStyle w:val="Nadpis2"/>
        <w:numPr>
          <w:ilvl w:val="0"/>
          <w:numId w:val="2"/>
        </w:numPr>
      </w:pPr>
      <w:r>
        <w:t>Závěrečná ustanovení</w:t>
      </w:r>
    </w:p>
    <w:p w14:paraId="74E8CC5A" w14:textId="77777777" w:rsidR="009B4316" w:rsidRDefault="009B4316" w:rsidP="009B4316">
      <w:pPr>
        <w:pStyle w:val="Odstavecseseznamem"/>
        <w:numPr>
          <w:ilvl w:val="1"/>
          <w:numId w:val="2"/>
        </w:numPr>
        <w:ind w:hanging="650"/>
      </w:pPr>
      <w:r>
        <w:t>Tato smlouva, jakož i práva a povinnosti z ní vzniklé nebo s ní související, se řídí českým právním řádem. Právní vztahy týkající se licence k počítačovému programu se řídí zákonem č. 121/2000 Sb., o právu autorském a o právech souvisejících s právem autorským (autorský zákon), ve znění pozdějších předpisů. Ostatní právní vztahy ze smlouvy vznikající, vyplývající nebo s ní související se řídí zejména § 2586 a násl. zákona č. 89/2012 Sb., občanský zákoník.</w:t>
      </w:r>
    </w:p>
    <w:p w14:paraId="3300BDC4" w14:textId="77777777" w:rsidR="009B4316" w:rsidRDefault="009B4316" w:rsidP="009B4316">
      <w:pPr>
        <w:pStyle w:val="Odstavecseseznamem"/>
        <w:numPr>
          <w:ilvl w:val="1"/>
          <w:numId w:val="2"/>
        </w:numPr>
        <w:ind w:hanging="650"/>
      </w:pPr>
      <w:r>
        <w:t xml:space="preserve">Smluvní strany řeší případné spory především vzájemnou dohodou. Nedojde-li k dohodě, řeší spory věcně příslušný soud. </w:t>
      </w:r>
    </w:p>
    <w:p w14:paraId="7B3CF855" w14:textId="77777777" w:rsidR="009B4316" w:rsidRDefault="009B4316" w:rsidP="009B4316">
      <w:pPr>
        <w:pStyle w:val="Odstavecseseznamem"/>
        <w:numPr>
          <w:ilvl w:val="1"/>
          <w:numId w:val="2"/>
        </w:numPr>
        <w:ind w:hanging="650"/>
      </w:pPr>
      <w:r>
        <w:t>Smlouva je vyhotovena ve dvou stejnopisech s platností originálu podepsaných oprávněnými zástupci smluvních stran, přičemž každá strana obdrží jedno vyhotovení.</w:t>
      </w:r>
    </w:p>
    <w:p w14:paraId="412DA1E2" w14:textId="77777777" w:rsidR="009B4316" w:rsidRDefault="009B4316" w:rsidP="009B4316">
      <w:pPr>
        <w:pStyle w:val="Odstavecseseznamem"/>
        <w:numPr>
          <w:ilvl w:val="1"/>
          <w:numId w:val="2"/>
        </w:numPr>
        <w:ind w:hanging="650"/>
      </w:pPr>
      <w:r>
        <w:t>Tuto Smlouvu lze měnit nebo doplňovat pouze písemnými dodatky podepsanými zástupci obou smluvních stran</w:t>
      </w:r>
      <w:r w:rsidR="000C2D1B">
        <w:t>.</w:t>
      </w:r>
    </w:p>
    <w:p w14:paraId="5733425C" w14:textId="77777777" w:rsidR="000C2D1B" w:rsidRDefault="000C2D1B" w:rsidP="009B4316">
      <w:pPr>
        <w:pStyle w:val="Odstavecseseznamem"/>
        <w:numPr>
          <w:ilvl w:val="1"/>
          <w:numId w:val="2"/>
        </w:numPr>
        <w:ind w:hanging="650"/>
      </w:pPr>
      <w:r>
        <w:t>Akademie múzických umění v Praze je osobou, na níž se vztahují povinnosti vyplývající ze zákona č. 340/2015 Sb., o registru smluv a tato smlouva podléhá povinnosti uveřejnění v registru smluv podle tohoto zákona. Obě smluvní strany prohlašují, že si jsou vědomy následků vyplývajících z této skutečnosti. Tato smlouva nabývá platnosti dnem podpisu smluvními stranami a účinnosti dnem jejího uveřejnění v registru smluv.</w:t>
      </w:r>
    </w:p>
    <w:p w14:paraId="32E63DBD" w14:textId="77777777" w:rsidR="009B4316" w:rsidRDefault="009B4316" w:rsidP="009B4316">
      <w:pPr>
        <w:pStyle w:val="Odstavecseseznamem"/>
        <w:numPr>
          <w:ilvl w:val="1"/>
          <w:numId w:val="2"/>
        </w:numPr>
        <w:ind w:hanging="650"/>
      </w:pPr>
      <w:r>
        <w:t>Nedílnou součástí této smlouvy jsou přílohy:</w:t>
      </w:r>
    </w:p>
    <w:p w14:paraId="1CA0849E" w14:textId="77777777" w:rsidR="009B4316" w:rsidRDefault="009B4316" w:rsidP="009B4316">
      <w:pPr>
        <w:pStyle w:val="Odstavecseseznamem"/>
        <w:numPr>
          <w:ilvl w:val="0"/>
          <w:numId w:val="25"/>
        </w:numPr>
      </w:pPr>
      <w:r>
        <w:t xml:space="preserve">Příloha č. 1 – Parametry poskytovaných služeb </w:t>
      </w:r>
    </w:p>
    <w:p w14:paraId="51BD2FE2" w14:textId="0F2D795B" w:rsidR="009B4316" w:rsidRDefault="009B4316" w:rsidP="009B4316">
      <w:pPr>
        <w:pStyle w:val="Odstavecseseznamem"/>
        <w:numPr>
          <w:ilvl w:val="0"/>
          <w:numId w:val="25"/>
        </w:numPr>
      </w:pPr>
      <w:r>
        <w:t xml:space="preserve">Příloha č. 2 – </w:t>
      </w:r>
      <w:r w:rsidR="00B80967">
        <w:t xml:space="preserve">Cena </w:t>
      </w:r>
      <w:r>
        <w:t>konzultačních</w:t>
      </w:r>
      <w:r w:rsidR="001B1A97">
        <w:t xml:space="preserve"> služeb </w:t>
      </w:r>
      <w:r w:rsidR="00950513">
        <w:t xml:space="preserve">a vývojových </w:t>
      </w:r>
      <w:r w:rsidR="001B1A97">
        <w:t>prací</w:t>
      </w:r>
    </w:p>
    <w:p w14:paraId="112642BC" w14:textId="2031F076" w:rsidR="009B4316" w:rsidRDefault="009B4316" w:rsidP="009B4316">
      <w:pPr>
        <w:pStyle w:val="Odstavecseseznamem"/>
        <w:numPr>
          <w:ilvl w:val="0"/>
          <w:numId w:val="25"/>
        </w:numPr>
      </w:pPr>
      <w:r>
        <w:t xml:space="preserve">Příloha č. 3 – Kontakty </w:t>
      </w:r>
      <w:r w:rsidR="001B1A97">
        <w:t xml:space="preserve">osoby </w:t>
      </w:r>
      <w:r>
        <w:t xml:space="preserve">pro </w:t>
      </w:r>
      <w:r w:rsidR="001B1A97">
        <w:t xml:space="preserve">jednání </w:t>
      </w:r>
    </w:p>
    <w:p w14:paraId="049F31CB" w14:textId="77777777" w:rsidR="009B4316" w:rsidRPr="009B4316" w:rsidRDefault="009B4316" w:rsidP="009B4316">
      <w:pPr>
        <w:rPr>
          <w:rFonts w:cs="Arial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9B4316" w:rsidRPr="009B4316" w14:paraId="20025E1D" w14:textId="77777777" w:rsidTr="3C2682ED">
        <w:trPr>
          <w:trHeight w:val="382"/>
        </w:trPr>
        <w:tc>
          <w:tcPr>
            <w:tcW w:w="4820" w:type="dxa"/>
          </w:tcPr>
          <w:p w14:paraId="477A387C" w14:textId="48F4062D" w:rsidR="009B4316" w:rsidRPr="009B4316" w:rsidRDefault="009B4316" w:rsidP="00390409">
            <w:pPr>
              <w:rPr>
                <w:rFonts w:cs="Arial"/>
              </w:rPr>
            </w:pPr>
            <w:r w:rsidRPr="3C2682ED">
              <w:rPr>
                <w:rFonts w:cs="Arial"/>
              </w:rPr>
              <w:t xml:space="preserve">V Praze dne </w:t>
            </w:r>
            <w:r w:rsidR="3DD100D6" w:rsidRPr="3C2682ED">
              <w:rPr>
                <w:rFonts w:cs="Arial"/>
              </w:rPr>
              <w:t>28</w:t>
            </w:r>
            <w:r w:rsidR="675252A2" w:rsidRPr="3C2682ED">
              <w:rPr>
                <w:rFonts w:cs="Arial"/>
              </w:rPr>
              <w:t>. 12. 202</w:t>
            </w:r>
            <w:r w:rsidR="2D5AA64C" w:rsidRPr="3C2682ED">
              <w:rPr>
                <w:rFonts w:cs="Arial"/>
              </w:rPr>
              <w:t>2</w:t>
            </w:r>
          </w:p>
          <w:p w14:paraId="53128261" w14:textId="77777777" w:rsidR="009B4316" w:rsidRPr="009B4316" w:rsidRDefault="009B4316" w:rsidP="00390409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4F2DB7E7" w14:textId="45D435E1" w:rsidR="009B4316" w:rsidRPr="009B4316" w:rsidRDefault="009B4316" w:rsidP="00390409">
            <w:pPr>
              <w:rPr>
                <w:rFonts w:cs="Arial"/>
              </w:rPr>
            </w:pPr>
            <w:r w:rsidRPr="3C2682ED">
              <w:rPr>
                <w:rFonts w:cs="Arial"/>
              </w:rPr>
              <w:t xml:space="preserve">V Praze dne </w:t>
            </w:r>
            <w:r w:rsidR="30616980" w:rsidRPr="3C2682ED">
              <w:rPr>
                <w:rFonts w:cs="Arial"/>
              </w:rPr>
              <w:t>28</w:t>
            </w:r>
            <w:r w:rsidR="675252A2" w:rsidRPr="3C2682ED">
              <w:rPr>
                <w:rFonts w:cs="Arial"/>
              </w:rPr>
              <w:t>. 12. 202</w:t>
            </w:r>
            <w:r w:rsidR="515B6FA9" w:rsidRPr="3C2682ED">
              <w:rPr>
                <w:rFonts w:cs="Arial"/>
              </w:rPr>
              <w:t>2</w:t>
            </w:r>
          </w:p>
          <w:p w14:paraId="62486C05" w14:textId="77777777" w:rsidR="009B4316" w:rsidRPr="009B4316" w:rsidRDefault="009B4316" w:rsidP="00390409">
            <w:pPr>
              <w:rPr>
                <w:rFonts w:cs="Arial"/>
              </w:rPr>
            </w:pPr>
          </w:p>
        </w:tc>
      </w:tr>
    </w:tbl>
    <w:p w14:paraId="4101652C" w14:textId="77777777" w:rsidR="009B4316" w:rsidRPr="009B4316" w:rsidRDefault="009B4316" w:rsidP="009B4316">
      <w:pPr>
        <w:rPr>
          <w:rFonts w:cs="Arial"/>
        </w:rPr>
      </w:pPr>
    </w:p>
    <w:p w14:paraId="4B99056E" w14:textId="77777777" w:rsidR="009B4316" w:rsidRDefault="009B4316" w:rsidP="009B4316">
      <w:pPr>
        <w:rPr>
          <w:rFonts w:cs="Arial"/>
        </w:rPr>
      </w:pPr>
    </w:p>
    <w:p w14:paraId="1299C43A" w14:textId="77777777" w:rsidR="007F2BF3" w:rsidRPr="009B4316" w:rsidRDefault="007F2BF3" w:rsidP="009B4316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4384"/>
      </w:tblGrid>
      <w:tr w:rsidR="009B4316" w:rsidRPr="009B4316" w14:paraId="6841A57A" w14:textId="77777777" w:rsidTr="322F26A4">
        <w:tc>
          <w:tcPr>
            <w:tcW w:w="4781" w:type="dxa"/>
          </w:tcPr>
          <w:p w14:paraId="5CE1A49C" w14:textId="77777777" w:rsidR="009B4316" w:rsidRPr="009B4316" w:rsidRDefault="009B4316" w:rsidP="00390409">
            <w:pPr>
              <w:rPr>
                <w:rFonts w:cs="Arial"/>
              </w:rPr>
            </w:pPr>
            <w:r w:rsidRPr="009B4316">
              <w:rPr>
                <w:rFonts w:cs="Arial"/>
              </w:rPr>
              <w:t>_______________________</w:t>
            </w:r>
          </w:p>
        </w:tc>
        <w:tc>
          <w:tcPr>
            <w:tcW w:w="4466" w:type="dxa"/>
          </w:tcPr>
          <w:p w14:paraId="44C67960" w14:textId="77777777" w:rsidR="009B4316" w:rsidRPr="009B4316" w:rsidRDefault="009B4316" w:rsidP="00390409">
            <w:pPr>
              <w:rPr>
                <w:rFonts w:cs="Arial"/>
              </w:rPr>
            </w:pPr>
            <w:r w:rsidRPr="009B4316">
              <w:rPr>
                <w:rFonts w:cs="Arial"/>
              </w:rPr>
              <w:t>______________________</w:t>
            </w:r>
          </w:p>
          <w:p w14:paraId="4DDBEF00" w14:textId="77777777" w:rsidR="009B4316" w:rsidRPr="009B4316" w:rsidRDefault="009B4316" w:rsidP="00390409">
            <w:pPr>
              <w:rPr>
                <w:rFonts w:cs="Arial"/>
              </w:rPr>
            </w:pPr>
          </w:p>
        </w:tc>
      </w:tr>
      <w:tr w:rsidR="009B4316" w:rsidRPr="009B4316" w14:paraId="73E7FD62" w14:textId="77777777" w:rsidTr="322F26A4">
        <w:tc>
          <w:tcPr>
            <w:tcW w:w="4781" w:type="dxa"/>
          </w:tcPr>
          <w:p w14:paraId="33F18141" w14:textId="77777777" w:rsidR="009B4316" w:rsidRPr="009B4316" w:rsidRDefault="009B4316" w:rsidP="00390409">
            <w:pPr>
              <w:rPr>
                <w:rFonts w:cs="Arial"/>
              </w:rPr>
            </w:pPr>
            <w:r w:rsidRPr="009B4316">
              <w:rPr>
                <w:rFonts w:cs="Arial"/>
              </w:rPr>
              <w:t xml:space="preserve">za Objednatele </w:t>
            </w:r>
          </w:p>
          <w:p w14:paraId="3461D779" w14:textId="77777777" w:rsidR="009B4316" w:rsidRPr="009B4316" w:rsidRDefault="009B4316" w:rsidP="00390409">
            <w:pPr>
              <w:rPr>
                <w:rFonts w:cs="Arial"/>
              </w:rPr>
            </w:pPr>
          </w:p>
        </w:tc>
        <w:tc>
          <w:tcPr>
            <w:tcW w:w="4466" w:type="dxa"/>
          </w:tcPr>
          <w:p w14:paraId="3179DFF4" w14:textId="77777777" w:rsidR="009B4316" w:rsidRPr="009B4316" w:rsidRDefault="009B4316" w:rsidP="00390409">
            <w:pPr>
              <w:rPr>
                <w:rFonts w:cs="Arial"/>
              </w:rPr>
            </w:pPr>
            <w:r w:rsidRPr="009B4316">
              <w:rPr>
                <w:rFonts w:cs="Arial"/>
              </w:rPr>
              <w:t>za Poskytovatele</w:t>
            </w:r>
          </w:p>
          <w:p w14:paraId="689807AC" w14:textId="14C54139" w:rsidR="009B4316" w:rsidRPr="009B4316" w:rsidRDefault="009B4316" w:rsidP="322F26A4">
            <w:pPr>
              <w:rPr>
                <w:rFonts w:cs="Arial"/>
              </w:rPr>
            </w:pPr>
          </w:p>
        </w:tc>
      </w:tr>
    </w:tbl>
    <w:p w14:paraId="3CF2D8B6" w14:textId="77777777" w:rsidR="003A3240" w:rsidRPr="009B4316" w:rsidRDefault="003A3240" w:rsidP="009B4316">
      <w:pPr>
        <w:rPr>
          <w:rFonts w:cs="Arial"/>
        </w:rPr>
      </w:pPr>
      <w:r w:rsidRPr="009B4316">
        <w:rPr>
          <w:rFonts w:cs="Arial"/>
        </w:rPr>
        <w:br w:type="page"/>
      </w:r>
    </w:p>
    <w:p w14:paraId="5BA6A993" w14:textId="77777777" w:rsidR="004E507B" w:rsidRDefault="004E507B" w:rsidP="322F26A4">
      <w:pPr>
        <w:rPr>
          <w:rFonts w:cs="Arial"/>
          <w:b/>
          <w:bCs/>
          <w:sz w:val="36"/>
          <w:szCs w:val="36"/>
        </w:rPr>
      </w:pPr>
      <w:r w:rsidRPr="322F26A4">
        <w:rPr>
          <w:rFonts w:cs="Arial"/>
          <w:b/>
          <w:bCs/>
          <w:sz w:val="36"/>
          <w:szCs w:val="36"/>
        </w:rPr>
        <w:t>Příloha č. 1</w:t>
      </w:r>
    </w:p>
    <w:p w14:paraId="029267ED" w14:textId="77777777" w:rsidR="001B1A97" w:rsidRPr="00302789" w:rsidRDefault="001B1A97" w:rsidP="322F26A4">
      <w:pPr>
        <w:rPr>
          <w:b/>
          <w:bCs/>
        </w:rPr>
      </w:pPr>
      <w:r w:rsidRPr="322F26A4">
        <w:rPr>
          <w:b/>
          <w:bCs/>
        </w:rPr>
        <w:t>Parametry poskytovaných služeb</w:t>
      </w:r>
    </w:p>
    <w:p w14:paraId="0FB78278" w14:textId="77777777" w:rsidR="004E507B" w:rsidRPr="00302789" w:rsidRDefault="004E507B" w:rsidP="004E507B">
      <w:pPr>
        <w:rPr>
          <w:rFonts w:cs="Arial"/>
        </w:rPr>
      </w:pPr>
    </w:p>
    <w:p w14:paraId="35C1D924" w14:textId="77777777" w:rsidR="004E507B" w:rsidRPr="00476DD0" w:rsidRDefault="004E507B" w:rsidP="004E507B">
      <w:pPr>
        <w:pStyle w:val="Nadpis1"/>
        <w:keepLines w:val="0"/>
        <w:numPr>
          <w:ilvl w:val="0"/>
          <w:numId w:val="13"/>
        </w:numPr>
        <w:spacing w:before="240" w:after="120" w:line="240" w:lineRule="auto"/>
        <w:jc w:val="left"/>
        <w:rPr>
          <w:rFonts w:cs="Arial"/>
        </w:rPr>
      </w:pPr>
      <w:r w:rsidRPr="00476DD0">
        <w:rPr>
          <w:rFonts w:cs="Arial"/>
        </w:rPr>
        <w:t xml:space="preserve">Základní </w:t>
      </w:r>
      <w:r w:rsidR="00072B8E" w:rsidRPr="00476DD0">
        <w:rPr>
          <w:rFonts w:cs="Arial"/>
        </w:rPr>
        <w:t>charakteristika předmětu plnění</w:t>
      </w:r>
    </w:p>
    <w:p w14:paraId="1CA4C42C" w14:textId="0743FB27" w:rsidR="00D71B47" w:rsidRDefault="00D71B47" w:rsidP="3C2682ED">
      <w:pPr>
        <w:spacing w:after="120"/>
        <w:rPr>
          <w:rFonts w:cs="Arial"/>
          <w:sz w:val="22"/>
          <w:szCs w:val="22"/>
        </w:rPr>
      </w:pPr>
      <w:r w:rsidRPr="3C2682ED">
        <w:rPr>
          <w:rFonts w:cs="Arial"/>
          <w:sz w:val="22"/>
          <w:szCs w:val="22"/>
        </w:rPr>
        <w:t>Již existující aplikace a datové zdroje v PBI AMU a DS AMU:</w:t>
      </w:r>
    </w:p>
    <w:p w14:paraId="15EFC339" w14:textId="2B87E776" w:rsidR="00D71B47" w:rsidRDefault="00D71B47" w:rsidP="3C2682ED">
      <w:pPr>
        <w:pStyle w:val="Odstavecseseznamem"/>
        <w:numPr>
          <w:ilvl w:val="0"/>
          <w:numId w:val="39"/>
        </w:numPr>
        <w:spacing w:after="120"/>
        <w:rPr>
          <w:rFonts w:cs="Arial"/>
          <w:sz w:val="22"/>
          <w:szCs w:val="22"/>
        </w:rPr>
      </w:pPr>
      <w:r w:rsidRPr="3C2682ED">
        <w:rPr>
          <w:rFonts w:cs="Arial"/>
          <w:sz w:val="22"/>
          <w:szCs w:val="22"/>
        </w:rPr>
        <w:t>Akreditační sestava pedagogického zajištění studijních programů CI,</w:t>
      </w:r>
    </w:p>
    <w:p w14:paraId="17C763D3" w14:textId="14D9A267" w:rsidR="00D71B47" w:rsidRDefault="00D71B47" w:rsidP="3C2682ED">
      <w:pPr>
        <w:pStyle w:val="Odstavecseseznamem"/>
        <w:numPr>
          <w:ilvl w:val="0"/>
          <w:numId w:val="39"/>
        </w:numPr>
        <w:spacing w:after="120"/>
        <w:rPr>
          <w:rFonts w:cs="Arial"/>
          <w:sz w:val="22"/>
          <w:szCs w:val="22"/>
        </w:rPr>
      </w:pPr>
      <w:r w:rsidRPr="3C2682ED">
        <w:rPr>
          <w:rFonts w:cs="Arial"/>
          <w:sz w:val="22"/>
          <w:szCs w:val="22"/>
        </w:rPr>
        <w:t>Finanční reporting AMU,</w:t>
      </w:r>
    </w:p>
    <w:p w14:paraId="7C380DE6" w14:textId="18137AA9" w:rsidR="00D71B47" w:rsidRPr="00D71B47" w:rsidRDefault="00D71B47" w:rsidP="3C2682ED">
      <w:pPr>
        <w:pStyle w:val="Odstavecseseznamem"/>
        <w:numPr>
          <w:ilvl w:val="0"/>
          <w:numId w:val="39"/>
        </w:numPr>
        <w:spacing w:after="120"/>
        <w:rPr>
          <w:rFonts w:cs="Arial"/>
          <w:sz w:val="22"/>
          <w:szCs w:val="22"/>
        </w:rPr>
      </w:pPr>
      <w:r w:rsidRPr="3C2682ED">
        <w:rPr>
          <w:rFonts w:cs="Arial"/>
          <w:sz w:val="22"/>
          <w:szCs w:val="22"/>
        </w:rPr>
        <w:t xml:space="preserve">Připojené datové zdroje: VEMA, KOS, </w:t>
      </w:r>
      <w:proofErr w:type="spellStart"/>
      <w:r w:rsidRPr="3C2682ED">
        <w:rPr>
          <w:rFonts w:cs="Arial"/>
          <w:sz w:val="22"/>
          <w:szCs w:val="22"/>
        </w:rPr>
        <w:t>iFIS</w:t>
      </w:r>
      <w:proofErr w:type="spellEnd"/>
      <w:r w:rsidRPr="3C2682ED">
        <w:rPr>
          <w:rFonts w:cs="Arial"/>
          <w:sz w:val="22"/>
          <w:szCs w:val="22"/>
        </w:rPr>
        <w:t>, RIV, RUV.</w:t>
      </w:r>
    </w:p>
    <w:p w14:paraId="5B39B54C" w14:textId="2301F1C4" w:rsidR="004E507B" w:rsidRPr="00103CF1" w:rsidRDefault="00072B8E" w:rsidP="3C2682ED">
      <w:pPr>
        <w:spacing w:after="120"/>
        <w:rPr>
          <w:rFonts w:cs="Arial"/>
          <w:sz w:val="22"/>
          <w:szCs w:val="22"/>
        </w:rPr>
      </w:pPr>
      <w:r w:rsidRPr="3C2682ED">
        <w:rPr>
          <w:rFonts w:cs="Arial"/>
          <w:sz w:val="22"/>
          <w:szCs w:val="22"/>
        </w:rPr>
        <w:t xml:space="preserve">Konzultační služby a vývojové práce se budou </w:t>
      </w:r>
      <w:r w:rsidR="00532D1F" w:rsidRPr="3C2682ED">
        <w:rPr>
          <w:rFonts w:cs="Arial"/>
          <w:sz w:val="22"/>
          <w:szCs w:val="22"/>
        </w:rPr>
        <w:t xml:space="preserve">týkat </w:t>
      </w:r>
      <w:r w:rsidR="0054047C" w:rsidRPr="3C2682ED">
        <w:rPr>
          <w:rFonts w:cs="Arial"/>
          <w:sz w:val="22"/>
          <w:szCs w:val="22"/>
        </w:rPr>
        <w:t xml:space="preserve">následujících nových služeb </w:t>
      </w:r>
      <w:r w:rsidR="00CE772C" w:rsidRPr="3C2682ED">
        <w:rPr>
          <w:rFonts w:cs="Arial"/>
          <w:sz w:val="22"/>
          <w:szCs w:val="22"/>
        </w:rPr>
        <w:t>v</w:t>
      </w:r>
      <w:r w:rsidR="0054047C" w:rsidRPr="3C2682ED">
        <w:rPr>
          <w:rFonts w:cs="Arial"/>
          <w:sz w:val="22"/>
          <w:szCs w:val="22"/>
        </w:rPr>
        <w:t xml:space="preserve"> reportingovém </w:t>
      </w:r>
      <w:r w:rsidR="00CE772C" w:rsidRPr="3C2682ED">
        <w:rPr>
          <w:rFonts w:cs="Arial"/>
          <w:sz w:val="22"/>
          <w:szCs w:val="22"/>
        </w:rPr>
        <w:t>prostředí PBI AMU a DS AMU</w:t>
      </w:r>
      <w:r w:rsidR="0054047C" w:rsidRPr="3C2682ED">
        <w:rPr>
          <w:rFonts w:cs="Arial"/>
          <w:sz w:val="22"/>
          <w:szCs w:val="22"/>
        </w:rPr>
        <w:t>:</w:t>
      </w:r>
    </w:p>
    <w:p w14:paraId="55390EFC" w14:textId="312942C4" w:rsidR="00D41549" w:rsidRPr="00103CF1" w:rsidRDefault="00CE772C" w:rsidP="3C2682ED">
      <w:pPr>
        <w:pStyle w:val="paragraph"/>
        <w:numPr>
          <w:ilvl w:val="0"/>
          <w:numId w:val="37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Personální přehledy </w:t>
      </w:r>
      <w:r w:rsidR="00D41549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pedagogického zajištění výuky podle organizačního klíče</w:t>
      </w:r>
    </w:p>
    <w:p w14:paraId="18BB692F" w14:textId="3FAA3F95" w:rsidR="00D41549" w:rsidRPr="00103CF1" w:rsidRDefault="00D41549" w:rsidP="3C2682ED">
      <w:pPr>
        <w:pStyle w:val="paragraph"/>
        <w:numPr>
          <w:ilvl w:val="1"/>
          <w:numId w:val="3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po fakultách a katedrách (pracovištích)</w:t>
      </w:r>
      <w:r w:rsidR="006D153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</w:p>
    <w:p w14:paraId="407040AC" w14:textId="275B2180" w:rsidR="00CE772C" w:rsidRPr="00103CF1" w:rsidRDefault="00D41549" w:rsidP="3C2682ED">
      <w:pPr>
        <w:pStyle w:val="paragraph"/>
        <w:numPr>
          <w:ilvl w:val="1"/>
          <w:numId w:val="38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z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droj: VEMA</w:t>
      </w:r>
      <w:r w:rsidR="006D153C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.</w:t>
      </w:r>
    </w:p>
    <w:p w14:paraId="7F6AC4D1" w14:textId="35BDB9CB" w:rsidR="005C551C" w:rsidRPr="00103CF1" w:rsidRDefault="00CE772C" w:rsidP="3C2682ED">
      <w:pPr>
        <w:pStyle w:val="paragraph"/>
        <w:numPr>
          <w:ilvl w:val="0"/>
          <w:numId w:val="37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Přehledy </w:t>
      </w:r>
      <w:r w:rsidR="005C551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studií (studentů)</w:t>
      </w:r>
    </w:p>
    <w:p w14:paraId="460719D4" w14:textId="63D9F9F6" w:rsidR="005C551C" w:rsidRPr="00103CF1" w:rsidRDefault="005C551C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analogicky k Výroční zprávě o činnosti, členění 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po fakultách, katedrách</w:t>
      </w:r>
      <w:r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4940ED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  <w:r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studijních programech, zohlednění stavů jednotlivých studií</w:t>
      </w:r>
      <w:r w:rsidR="006D153C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,</w:t>
      </w:r>
    </w:p>
    <w:p w14:paraId="53CF7D4B" w14:textId="110C2EE5" w:rsidR="00CE772C" w:rsidRPr="00103CF1" w:rsidRDefault="005C551C" w:rsidP="3C2682ED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z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droj: KOS, VEMA</w:t>
      </w:r>
      <w:r w:rsidR="006D153C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.</w:t>
      </w:r>
    </w:p>
    <w:p w14:paraId="73E6ECF7" w14:textId="5AE57BE0" w:rsidR="00E04D6E" w:rsidRPr="00103CF1" w:rsidRDefault="00E04D6E" w:rsidP="3C2682ED">
      <w:pPr>
        <w:pStyle w:val="paragraph"/>
        <w:numPr>
          <w:ilvl w:val="0"/>
          <w:numId w:val="37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Přehledy z 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RUV a RIV s přiřazením </w:t>
      </w: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na konkrétní zaměstnanc</w:t>
      </w:r>
      <w:r w:rsidR="00861596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e/studenty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861596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 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pracoviště</w:t>
      </w:r>
      <w:r w:rsidR="00915E3A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</w:p>
    <w:p w14:paraId="16CB88D4" w14:textId="207B535B" w:rsidR="00E04D6E" w:rsidRPr="00103CF1" w:rsidRDefault="00E04D6E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včetně historických dat (bývalí zaměstnanci</w:t>
      </w:r>
      <w:r w:rsidR="00840783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 studenti</w:t>
      </w: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)</w:t>
      </w:r>
      <w:r w:rsidR="00F57A73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</w:p>
    <w:p w14:paraId="555FCE20" w14:textId="5FFABF33" w:rsidR="00CE772C" w:rsidRPr="00103CF1" w:rsidRDefault="00840783" w:rsidP="3C2682ED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z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droj: RUV, RIV, VEMA</w:t>
      </w:r>
      <w:r w:rsidR="00915E3A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,</w:t>
      </w:r>
      <w:r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KOS</w:t>
      </w:r>
      <w:r w:rsidR="00F57A73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.</w:t>
      </w:r>
    </w:p>
    <w:p w14:paraId="50F34C0B" w14:textId="3965AADA" w:rsidR="00840783" w:rsidRPr="00103CF1" w:rsidRDefault="00CE772C" w:rsidP="3C2682ED">
      <w:pPr>
        <w:pStyle w:val="paragraph"/>
        <w:numPr>
          <w:ilvl w:val="0"/>
          <w:numId w:val="37"/>
        </w:numPr>
        <w:spacing w:before="0" w:beforeAutospacing="0" w:after="120" w:afterAutospacing="0"/>
        <w:ind w:left="357" w:hanging="357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Přehledy úvazků </w:t>
      </w:r>
      <w:r w:rsidR="00C02C47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F57A73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struktur</w:t>
      </w:r>
      <w:r w:rsidR="00C02C47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y</w:t>
      </w:r>
      <w:r w:rsidR="00F57A73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zdrojů</w:t>
      </w:r>
      <w:r w:rsidR="00C02C47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v čase</w:t>
      </w:r>
    </w:p>
    <w:p w14:paraId="7328453E" w14:textId="692C7BBF" w:rsidR="00840783" w:rsidRPr="00103CF1" w:rsidRDefault="00F57A73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sz w:val="22"/>
          <w:szCs w:val="22"/>
        </w:rPr>
        <w:t>vývoj výše úvazku a procentní skladby zdrojů v čase u konkrétního pracovního vztahu</w:t>
      </w:r>
      <w:r w:rsidR="009A19DE" w:rsidRPr="3C2682ED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3C2682ED">
        <w:rPr>
          <w:rStyle w:val="normaltextrun"/>
          <w:rFonts w:ascii="Arial" w:hAnsi="Arial" w:cs="Arial"/>
          <w:sz w:val="22"/>
          <w:szCs w:val="22"/>
        </w:rPr>
        <w:t>zaměstnance</w:t>
      </w:r>
      <w:r w:rsidR="009A19DE" w:rsidRPr="3C2682ED">
        <w:rPr>
          <w:rStyle w:val="normaltextrun"/>
          <w:rFonts w:ascii="Arial" w:hAnsi="Arial" w:cs="Arial"/>
          <w:sz w:val="22"/>
          <w:szCs w:val="22"/>
        </w:rPr>
        <w:t xml:space="preserve"> a úhrny po pracovištích a kmenových pracovištích</w:t>
      </w:r>
      <w:r w:rsidR="00DB7F5A" w:rsidRPr="3C2682ED">
        <w:rPr>
          <w:rStyle w:val="normaltextrun"/>
          <w:rFonts w:ascii="Arial" w:hAnsi="Arial" w:cs="Arial"/>
          <w:sz w:val="22"/>
          <w:szCs w:val="22"/>
        </w:rPr>
        <w:t>,</w:t>
      </w:r>
    </w:p>
    <w:p w14:paraId="1F183D16" w14:textId="0E0F519A" w:rsidR="00915E3A" w:rsidRPr="00103CF1" w:rsidRDefault="00840783" w:rsidP="3C2682ED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z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droj: VEMA</w:t>
      </w:r>
      <w:r w:rsidR="00F57A73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</w:p>
    <w:p w14:paraId="6B32AEB9" w14:textId="32164817" w:rsidR="00DB7F5A" w:rsidRPr="00103CF1" w:rsidRDefault="00915E3A" w:rsidP="3C2682ED">
      <w:pPr>
        <w:pStyle w:val="paragraph"/>
        <w:numPr>
          <w:ilvl w:val="0"/>
          <w:numId w:val="37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Přehledy DPP/DPČ</w:t>
      </w:r>
      <w:r w:rsidR="00AF0B67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(OON)</w:t>
      </w:r>
    </w:p>
    <w:p w14:paraId="2EB766ED" w14:textId="77777777" w:rsidR="00AF0B67" w:rsidRPr="00103CF1" w:rsidRDefault="009B3FE4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sz w:val="22"/>
          <w:szCs w:val="22"/>
        </w:rPr>
        <w:t>aktuální nastavení dohod ve mzdovém systému VEMA pro účely zpracování platebních příkazů</w:t>
      </w:r>
    </w:p>
    <w:p w14:paraId="4CE48FC7" w14:textId="6A1E7D3C" w:rsidR="00DB7F5A" w:rsidRPr="00103CF1" w:rsidRDefault="009B3FE4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sz w:val="22"/>
          <w:szCs w:val="22"/>
        </w:rPr>
        <w:t>odhad</w:t>
      </w:r>
      <w:r w:rsidR="00AF0B67" w:rsidRPr="3C2682ED">
        <w:rPr>
          <w:rStyle w:val="normaltextrun"/>
          <w:rFonts w:ascii="Arial" w:hAnsi="Arial" w:cs="Arial"/>
          <w:sz w:val="22"/>
          <w:szCs w:val="22"/>
        </w:rPr>
        <w:t xml:space="preserve">y čerpání a </w:t>
      </w:r>
      <w:r w:rsidRPr="3C2682ED">
        <w:rPr>
          <w:rStyle w:val="normaltextrun"/>
          <w:rFonts w:ascii="Arial" w:hAnsi="Arial" w:cs="Arial"/>
          <w:sz w:val="22"/>
          <w:szCs w:val="22"/>
        </w:rPr>
        <w:t>zůstatků</w:t>
      </w:r>
      <w:r w:rsidR="005E5029" w:rsidRPr="3C2682ED">
        <w:rPr>
          <w:rStyle w:val="normaltextrun"/>
          <w:rFonts w:ascii="Arial" w:hAnsi="Arial" w:cs="Arial"/>
          <w:sz w:val="22"/>
          <w:szCs w:val="22"/>
        </w:rPr>
        <w:t xml:space="preserve"> rozpočtů</w:t>
      </w:r>
      <w:r w:rsidRPr="3C2682E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F0B67" w:rsidRPr="3C2682ED">
        <w:rPr>
          <w:rStyle w:val="normaltextrun"/>
          <w:rFonts w:ascii="Arial" w:hAnsi="Arial" w:cs="Arial"/>
          <w:sz w:val="22"/>
          <w:szCs w:val="22"/>
        </w:rPr>
        <w:t xml:space="preserve">OON </w:t>
      </w:r>
      <w:r w:rsidRPr="3C2682ED">
        <w:rPr>
          <w:rStyle w:val="normaltextrun"/>
          <w:rFonts w:ascii="Arial" w:hAnsi="Arial" w:cs="Arial"/>
          <w:sz w:val="22"/>
          <w:szCs w:val="22"/>
        </w:rPr>
        <w:t>na zdrojových akcích</w:t>
      </w:r>
      <w:r w:rsidR="00AF0B67" w:rsidRPr="3C2682ED">
        <w:rPr>
          <w:rStyle w:val="normaltextrun"/>
          <w:rFonts w:ascii="Arial" w:hAnsi="Arial" w:cs="Arial"/>
          <w:sz w:val="22"/>
          <w:szCs w:val="22"/>
        </w:rPr>
        <w:t xml:space="preserve"> dohod</w:t>
      </w:r>
      <w:r w:rsidR="001C43C3" w:rsidRPr="3C2682ED">
        <w:rPr>
          <w:rStyle w:val="normaltextrun"/>
          <w:rFonts w:ascii="Arial" w:hAnsi="Arial" w:cs="Arial"/>
          <w:sz w:val="22"/>
          <w:szCs w:val="22"/>
        </w:rPr>
        <w:t>,</w:t>
      </w:r>
    </w:p>
    <w:p w14:paraId="7998B07B" w14:textId="7D446EE1" w:rsidR="001C43C3" w:rsidRPr="00103CF1" w:rsidRDefault="00454870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sz w:val="22"/>
          <w:szCs w:val="22"/>
        </w:rPr>
        <w:t>historické čerpání jednotlivých dohod</w:t>
      </w:r>
      <w:r w:rsidR="005E5029" w:rsidRPr="3C2682ED">
        <w:rPr>
          <w:rStyle w:val="normaltextrun"/>
          <w:rFonts w:ascii="Arial" w:hAnsi="Arial" w:cs="Arial"/>
          <w:sz w:val="22"/>
          <w:szCs w:val="22"/>
        </w:rPr>
        <w:t xml:space="preserve"> po měsících s reálně použitými sazbami a zdroji,</w:t>
      </w:r>
    </w:p>
    <w:p w14:paraId="60CF1F3C" w14:textId="57881085" w:rsidR="009A19DE" w:rsidRPr="00103CF1" w:rsidRDefault="00DB7F5A" w:rsidP="3C2682ED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z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droj: VEMA</w:t>
      </w:r>
      <w:r w:rsidR="009B3FE4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9B3FE4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iFIS</w:t>
      </w:r>
      <w:proofErr w:type="spellEnd"/>
      <w:r w:rsidR="009B3FE4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.</w:t>
      </w:r>
    </w:p>
    <w:p w14:paraId="145D7F4F" w14:textId="2CE45872" w:rsidR="007C00A5" w:rsidRPr="00103CF1" w:rsidRDefault="00CE772C" w:rsidP="3C2682ED">
      <w:pPr>
        <w:pStyle w:val="paragraph"/>
        <w:numPr>
          <w:ilvl w:val="0"/>
          <w:numId w:val="37"/>
        </w:numPr>
        <w:spacing w:before="0" w:beforeAutospacing="0" w:after="120" w:afterAutospacing="0"/>
        <w:ind w:left="357" w:hanging="357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Přehled konců složek mezd</w:t>
      </w:r>
      <w:r w:rsidR="00F9518F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, jmenování do funkcí, školení BOZP PO a školení řidičů referentů</w:t>
      </w:r>
    </w:p>
    <w:p w14:paraId="663C4C8E" w14:textId="78BF3588" w:rsidR="007C00A5" w:rsidRPr="00103CF1" w:rsidRDefault="007C00A5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sz w:val="22"/>
          <w:szCs w:val="22"/>
        </w:rPr>
        <w:t>výpis a vizualizace termínů ukončení</w:t>
      </w:r>
      <w:r w:rsidR="00F9518F" w:rsidRPr="3C2682ED">
        <w:rPr>
          <w:rStyle w:val="normaltextrun"/>
          <w:rFonts w:ascii="Arial" w:hAnsi="Arial" w:cs="Arial"/>
          <w:sz w:val="22"/>
          <w:szCs w:val="22"/>
        </w:rPr>
        <w:t xml:space="preserve"> po zaměstnancích a pracovištích</w:t>
      </w:r>
      <w:r w:rsidR="004002E1" w:rsidRPr="3C2682ED">
        <w:rPr>
          <w:rStyle w:val="normaltextrun"/>
          <w:rFonts w:ascii="Arial" w:hAnsi="Arial" w:cs="Arial"/>
          <w:sz w:val="22"/>
          <w:szCs w:val="22"/>
        </w:rPr>
        <w:t>,</w:t>
      </w:r>
    </w:p>
    <w:p w14:paraId="16A86A2E" w14:textId="74D16B44" w:rsidR="004002E1" w:rsidRPr="00103CF1" w:rsidRDefault="00B15404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sz w:val="22"/>
          <w:szCs w:val="22"/>
        </w:rPr>
        <w:t>automatizovaná rozesílka na vedoucí součástí</w:t>
      </w:r>
      <w:r w:rsidR="0077640D" w:rsidRPr="3C2682ED">
        <w:rPr>
          <w:rStyle w:val="normaltextrun"/>
          <w:rFonts w:ascii="Arial" w:hAnsi="Arial" w:cs="Arial"/>
          <w:sz w:val="22"/>
          <w:szCs w:val="22"/>
        </w:rPr>
        <w:t xml:space="preserve"> a ZO,</w:t>
      </w:r>
    </w:p>
    <w:p w14:paraId="30FBC587" w14:textId="23E5C5B7" w:rsidR="00CE772C" w:rsidRPr="00103CF1" w:rsidRDefault="007C00A5" w:rsidP="3C2682ED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z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droj: VEMA</w:t>
      </w:r>
      <w:r w:rsidR="00B15404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.</w:t>
      </w:r>
      <w:r w:rsidR="00CE772C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91D86D7" w14:textId="534A1820" w:rsidR="00C13F2B" w:rsidRPr="00C13F2B" w:rsidRDefault="00C13F2B" w:rsidP="3C2682ED">
      <w:pPr>
        <w:pStyle w:val="paragraph"/>
        <w:numPr>
          <w:ilvl w:val="0"/>
          <w:numId w:val="37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Vizualizace </w:t>
      </w:r>
      <w:r w:rsidR="00FA5763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 přehled </w:t>
      </w: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čerpání rozpočtů pro orgány AMU</w:t>
      </w:r>
    </w:p>
    <w:p w14:paraId="6C12DEFF" w14:textId="77777777" w:rsidR="00BB605E" w:rsidRDefault="00C76ECB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sz w:val="22"/>
          <w:szCs w:val="22"/>
        </w:rPr>
        <w:t xml:space="preserve">grafické podklady ke komentáři k čerpání rozpočtu za uplynulý rok, </w:t>
      </w:r>
    </w:p>
    <w:p w14:paraId="4A5963B7" w14:textId="444A8EBF" w:rsidR="00C13F2B" w:rsidRPr="00C13F2B" w:rsidRDefault="00C76ECB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sz w:val="22"/>
          <w:szCs w:val="22"/>
        </w:rPr>
        <w:t xml:space="preserve">agregace </w:t>
      </w:r>
      <w:r w:rsidR="00BB605E" w:rsidRPr="3C2682ED">
        <w:rPr>
          <w:rStyle w:val="normaltextrun"/>
          <w:rFonts w:ascii="Arial" w:hAnsi="Arial" w:cs="Arial"/>
          <w:sz w:val="22"/>
          <w:szCs w:val="22"/>
        </w:rPr>
        <w:t xml:space="preserve">čerpání v rozpočtových kategoriích </w:t>
      </w:r>
      <w:r w:rsidRPr="3C2682ED">
        <w:rPr>
          <w:rStyle w:val="normaltextrun"/>
          <w:rFonts w:ascii="Arial" w:hAnsi="Arial" w:cs="Arial"/>
          <w:sz w:val="22"/>
          <w:szCs w:val="22"/>
        </w:rPr>
        <w:t>po součástech a za celou AMU</w:t>
      </w:r>
      <w:r w:rsidR="00FA5763" w:rsidRPr="3C2682ED">
        <w:rPr>
          <w:rStyle w:val="normaltextrun"/>
          <w:rFonts w:ascii="Arial" w:hAnsi="Arial" w:cs="Arial"/>
          <w:sz w:val="22"/>
          <w:szCs w:val="22"/>
        </w:rPr>
        <w:t>,</w:t>
      </w:r>
    </w:p>
    <w:p w14:paraId="1FFEF9FD" w14:textId="104536F1" w:rsidR="00CE772C" w:rsidRPr="00103CF1" w:rsidRDefault="00C13F2B" w:rsidP="3C2682ED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z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droj: </w:t>
      </w:r>
      <w:proofErr w:type="spellStart"/>
      <w:r w:rsidR="00CE772C" w:rsidRPr="3C2682ED">
        <w:rPr>
          <w:rStyle w:val="spellingerror"/>
          <w:rFonts w:ascii="Arial" w:hAnsi="Arial" w:cs="Arial"/>
          <w:color w:val="000000" w:themeColor="text1"/>
          <w:sz w:val="22"/>
          <w:szCs w:val="22"/>
        </w:rPr>
        <w:t>iFIS</w:t>
      </w:r>
      <w:proofErr w:type="spellEnd"/>
      <w:r w:rsidRPr="3C2682ED">
        <w:rPr>
          <w:rStyle w:val="spellingerror"/>
          <w:rFonts w:ascii="Arial" w:hAnsi="Arial" w:cs="Arial"/>
          <w:color w:val="000000" w:themeColor="text1"/>
          <w:sz w:val="22"/>
          <w:szCs w:val="22"/>
        </w:rPr>
        <w:t>.</w:t>
      </w:r>
    </w:p>
    <w:p w14:paraId="6480D7B8" w14:textId="77777777" w:rsidR="007B4613" w:rsidRPr="007B4613" w:rsidRDefault="007B4613" w:rsidP="3C2682ED">
      <w:pPr>
        <w:pStyle w:val="paragraph"/>
        <w:numPr>
          <w:ilvl w:val="0"/>
          <w:numId w:val="37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Č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erpání </w:t>
      </w: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projektů</w:t>
      </w:r>
    </w:p>
    <w:p w14:paraId="3F98BFCC" w14:textId="1869ED22" w:rsidR="00055504" w:rsidRPr="000337C1" w:rsidRDefault="007B4613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čerpání po </w:t>
      </w:r>
      <w:r w:rsidR="000337C1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„projektech“ vymezených volně nastavitelnou kombinací akcí v </w:t>
      </w:r>
      <w:proofErr w:type="spellStart"/>
      <w:r w:rsidR="000337C1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iFiS</w:t>
      </w:r>
      <w:proofErr w:type="spellEnd"/>
      <w:r w:rsidR="000337C1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,</w:t>
      </w:r>
      <w:r w:rsidR="001A2EE3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propojení na čerpání mezd (dohody),</w:t>
      </w:r>
    </w:p>
    <w:p w14:paraId="36DA4B40" w14:textId="23099D9E" w:rsidR="000337C1" w:rsidRPr="00055504" w:rsidRDefault="000337C1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2682ED">
        <w:rPr>
          <w:rStyle w:val="eop"/>
          <w:rFonts w:ascii="Arial" w:hAnsi="Arial" w:cs="Arial"/>
          <w:sz w:val="22"/>
          <w:szCs w:val="22"/>
        </w:rPr>
        <w:t>procesní nastavení potřebného číselníku „projektů“,</w:t>
      </w:r>
      <w:r w:rsidR="00CD4656" w:rsidRPr="3C2682ED">
        <w:rPr>
          <w:rStyle w:val="eop"/>
          <w:rFonts w:ascii="Arial" w:hAnsi="Arial" w:cs="Arial"/>
          <w:sz w:val="22"/>
          <w:szCs w:val="22"/>
        </w:rPr>
        <w:t xml:space="preserve"> </w:t>
      </w:r>
      <w:r w:rsidR="00757E9E" w:rsidRPr="3C2682ED">
        <w:rPr>
          <w:rStyle w:val="eop"/>
          <w:rFonts w:ascii="Arial" w:hAnsi="Arial" w:cs="Arial"/>
          <w:sz w:val="22"/>
          <w:szCs w:val="22"/>
        </w:rPr>
        <w:t>analýza souladu s nastavením práv,</w:t>
      </w:r>
    </w:p>
    <w:p w14:paraId="2814A0A0" w14:textId="22B8F25B" w:rsidR="00CE772C" w:rsidRPr="00103CF1" w:rsidRDefault="00055504" w:rsidP="3C2682ED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z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droj: </w:t>
      </w:r>
      <w:proofErr w:type="spellStart"/>
      <w:r w:rsidR="00CE772C" w:rsidRPr="3C2682ED">
        <w:rPr>
          <w:rStyle w:val="spellingerror"/>
          <w:rFonts w:ascii="Arial" w:hAnsi="Arial" w:cs="Arial"/>
          <w:color w:val="000000" w:themeColor="text1"/>
          <w:sz w:val="22"/>
          <w:szCs w:val="22"/>
        </w:rPr>
        <w:t>iFIS</w:t>
      </w:r>
      <w:proofErr w:type="spellEnd"/>
      <w:r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.</w:t>
      </w:r>
    </w:p>
    <w:p w14:paraId="7A480B60" w14:textId="2C96C7D7" w:rsidR="005CEDE1" w:rsidRDefault="005CEDE1" w:rsidP="3C2682ED">
      <w:pPr>
        <w:pStyle w:val="paragraph"/>
        <w:spacing w:before="0" w:beforeAutospacing="0" w:after="120" w:afterAutospacing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3C2682ED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i) Exporty dat z </w:t>
      </w:r>
      <w:proofErr w:type="spellStart"/>
      <w:r w:rsidRPr="3C2682ED">
        <w:rPr>
          <w:rStyle w:val="normaltextrun"/>
          <w:rFonts w:ascii="Arial" w:hAnsi="Arial" w:cs="Arial"/>
          <w:color w:val="000000" w:themeColor="text1"/>
          <w:sz w:val="20"/>
          <w:szCs w:val="20"/>
        </w:rPr>
        <w:t>PowerBI</w:t>
      </w:r>
      <w:proofErr w:type="spellEnd"/>
      <w:r w:rsidRPr="3C2682ED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v podobě</w:t>
      </w:r>
      <w:r w:rsidR="53EA97F5" w:rsidRPr="3C2682ED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editovatelného dokumentu</w:t>
      </w:r>
    </w:p>
    <w:p w14:paraId="2BBA2341" w14:textId="12103179" w:rsidR="005CEDE1" w:rsidRDefault="005CEDE1" w:rsidP="3C2682ED">
      <w:pPr>
        <w:pStyle w:val="paragraph"/>
        <w:numPr>
          <w:ilvl w:val="0"/>
          <w:numId w:val="1"/>
        </w:numPr>
        <w:spacing w:before="0" w:beforeAutospacing="0" w:after="120" w:afterAutospacing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3C2682ED">
        <w:rPr>
          <w:rStyle w:val="normaltextrun"/>
          <w:rFonts w:ascii="Arial" w:hAnsi="Arial" w:cs="Arial"/>
          <w:color w:val="000000" w:themeColor="text1"/>
          <w:sz w:val="20"/>
          <w:szCs w:val="20"/>
        </w:rPr>
        <w:t>analýza možností pro připravování dokumentů pro interní procesy přímo z reportingového rozhraní (např. CV garanta pro akreditační spis</w:t>
      </w:r>
      <w:r w:rsidR="715DBD9D" w:rsidRPr="3C2682ED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zasílaný na NAÚ</w:t>
      </w:r>
      <w:r w:rsidRPr="3C2682ED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, formulář přeúčtování </w:t>
      </w:r>
      <w:r w:rsidR="4D840191" w:rsidRPr="3C2682ED">
        <w:rPr>
          <w:rStyle w:val="normaltextrun"/>
          <w:rFonts w:ascii="Arial" w:hAnsi="Arial" w:cs="Arial"/>
          <w:color w:val="000000" w:themeColor="text1"/>
          <w:sz w:val="20"/>
          <w:szCs w:val="20"/>
        </w:rPr>
        <w:t>položky účetního deníku, formulář převodu zůstatku akce do výnosů příštích období či fondu, …)</w:t>
      </w:r>
    </w:p>
    <w:p w14:paraId="5C3E1745" w14:textId="5D7A6FEA" w:rsidR="3C2682ED" w:rsidRDefault="3C2682ED" w:rsidP="3C2682ED">
      <w:pPr>
        <w:pStyle w:val="paragraph"/>
        <w:spacing w:before="0" w:beforeAutospacing="0" w:after="120" w:afterAutospacing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</w:p>
    <w:p w14:paraId="1FC39945" w14:textId="62675D63" w:rsidR="004E507B" w:rsidRPr="00476DD0" w:rsidRDefault="00D41549" w:rsidP="3C2682ED">
      <w:pPr>
        <w:pStyle w:val="paragraph"/>
        <w:spacing w:before="0" w:beforeAutospacing="0" w:after="120" w:afterAutospacing="0"/>
        <w:textAlignment w:val="baseline"/>
        <w:rPr>
          <w:lang w:eastAsia="en-US"/>
        </w:rPr>
      </w:pPr>
      <w:r w:rsidRPr="3C2682ED">
        <w:rPr>
          <w:lang w:eastAsia="en-US"/>
        </w:rPr>
        <w:br w:type="page"/>
      </w:r>
    </w:p>
    <w:p w14:paraId="00A2AB0B" w14:textId="77777777" w:rsidR="004E507B" w:rsidRPr="00476DD0" w:rsidRDefault="004E507B" w:rsidP="004E507B">
      <w:pPr>
        <w:pStyle w:val="Nadpis1"/>
        <w:numPr>
          <w:ilvl w:val="0"/>
          <w:numId w:val="13"/>
        </w:numPr>
      </w:pPr>
      <w:r w:rsidRPr="00476DD0">
        <w:t xml:space="preserve">Parametry </w:t>
      </w:r>
      <w:r w:rsidR="00476DD0" w:rsidRPr="00476DD0">
        <w:t xml:space="preserve">a rozsah </w:t>
      </w:r>
      <w:r w:rsidRPr="00476DD0">
        <w:t>poskytovaných služeb</w:t>
      </w:r>
    </w:p>
    <w:p w14:paraId="30E62C24" w14:textId="77777777" w:rsidR="004E507B" w:rsidRPr="00476DD0" w:rsidRDefault="004E507B" w:rsidP="00476DD0">
      <w:pPr>
        <w:pStyle w:val="Nadpis2"/>
      </w:pPr>
      <w:r w:rsidRPr="00476DD0">
        <w:t>Služba obsahuje následující činnosti:</w:t>
      </w:r>
    </w:p>
    <w:p w14:paraId="5DBF2EF4" w14:textId="72A5810B" w:rsidR="004E507B" w:rsidRPr="00476DD0" w:rsidRDefault="004E507B" w:rsidP="004E507B">
      <w:pPr>
        <w:pStyle w:val="Odstavecseseznamem"/>
        <w:numPr>
          <w:ilvl w:val="0"/>
          <w:numId w:val="16"/>
        </w:numPr>
        <w:jc w:val="left"/>
        <w:rPr>
          <w:rFonts w:cs="Arial"/>
        </w:rPr>
      </w:pPr>
      <w:r w:rsidRPr="322F26A4">
        <w:rPr>
          <w:rFonts w:cs="Arial"/>
        </w:rPr>
        <w:t xml:space="preserve">Vývoj </w:t>
      </w:r>
      <w:r w:rsidR="00476DD0" w:rsidRPr="322F26A4">
        <w:rPr>
          <w:rFonts w:cs="Arial"/>
        </w:rPr>
        <w:t xml:space="preserve">a rozvoj stávající </w:t>
      </w:r>
      <w:r w:rsidRPr="322F26A4">
        <w:rPr>
          <w:rFonts w:cs="Arial"/>
        </w:rPr>
        <w:t>aplikac</w:t>
      </w:r>
      <w:r w:rsidR="00476DD0" w:rsidRPr="322F26A4">
        <w:rPr>
          <w:rFonts w:cs="Arial"/>
        </w:rPr>
        <w:t xml:space="preserve">e </w:t>
      </w:r>
      <w:r w:rsidR="00CE772C">
        <w:rPr>
          <w:rFonts w:cs="Arial"/>
        </w:rPr>
        <w:t>PBI AMU a DS AMU</w:t>
      </w:r>
      <w:r w:rsidR="00CE772C" w:rsidRPr="322F26A4">
        <w:rPr>
          <w:rFonts w:cs="Arial"/>
        </w:rPr>
        <w:t xml:space="preserve"> </w:t>
      </w:r>
      <w:r w:rsidR="0083202E" w:rsidRPr="322F26A4">
        <w:rPr>
          <w:rFonts w:cs="Arial"/>
        </w:rPr>
        <w:t xml:space="preserve">a vývoj dalších služeb v rámci aplikace </w:t>
      </w:r>
      <w:r w:rsidR="00CE772C">
        <w:rPr>
          <w:rFonts w:cs="Arial"/>
        </w:rPr>
        <w:t xml:space="preserve">PBI AMU a DS AMU </w:t>
      </w:r>
      <w:r w:rsidRPr="322F26A4">
        <w:rPr>
          <w:rFonts w:cs="Arial"/>
        </w:rPr>
        <w:t>na zakázku</w:t>
      </w:r>
      <w:r w:rsidR="00476DD0" w:rsidRPr="322F26A4">
        <w:rPr>
          <w:rFonts w:cs="Arial"/>
        </w:rPr>
        <w:t xml:space="preserve"> včetně návazností na ICT prostředí AMU</w:t>
      </w:r>
    </w:p>
    <w:p w14:paraId="59E1AE96" w14:textId="77777777" w:rsidR="004E507B" w:rsidRPr="00476DD0" w:rsidRDefault="004E507B" w:rsidP="004E507B">
      <w:pPr>
        <w:pStyle w:val="Odstavecseseznamem"/>
        <w:numPr>
          <w:ilvl w:val="0"/>
          <w:numId w:val="16"/>
        </w:numPr>
        <w:jc w:val="left"/>
        <w:rPr>
          <w:rFonts w:cs="Arial"/>
        </w:rPr>
      </w:pPr>
      <w:r w:rsidRPr="00476DD0">
        <w:rPr>
          <w:rFonts w:cs="Arial"/>
        </w:rPr>
        <w:t>Infrastruktura a její návrh či optimalizace</w:t>
      </w:r>
    </w:p>
    <w:p w14:paraId="485BEC73" w14:textId="77777777" w:rsidR="004E507B" w:rsidRPr="00476DD0" w:rsidRDefault="004E507B" w:rsidP="004E507B">
      <w:pPr>
        <w:pStyle w:val="Odstavecseseznamem"/>
        <w:numPr>
          <w:ilvl w:val="0"/>
          <w:numId w:val="16"/>
        </w:numPr>
        <w:jc w:val="left"/>
        <w:rPr>
          <w:rFonts w:cs="Arial"/>
        </w:rPr>
      </w:pPr>
      <w:r w:rsidRPr="00476DD0">
        <w:rPr>
          <w:rFonts w:cs="Arial"/>
        </w:rPr>
        <w:t>Systémová a datová integrace prostředí AMU</w:t>
      </w:r>
    </w:p>
    <w:p w14:paraId="574BAF12" w14:textId="77777777" w:rsidR="004E507B" w:rsidRPr="00476DD0" w:rsidRDefault="004E507B" w:rsidP="004E507B">
      <w:pPr>
        <w:pStyle w:val="Odstavecseseznamem"/>
        <w:numPr>
          <w:ilvl w:val="0"/>
          <w:numId w:val="16"/>
        </w:numPr>
        <w:jc w:val="left"/>
        <w:rPr>
          <w:rFonts w:cs="Arial"/>
        </w:rPr>
      </w:pPr>
      <w:r w:rsidRPr="00476DD0">
        <w:rPr>
          <w:rFonts w:cs="Arial"/>
        </w:rPr>
        <w:t>Testování a metodiky</w:t>
      </w:r>
    </w:p>
    <w:p w14:paraId="66452C05" w14:textId="77777777" w:rsidR="004E507B" w:rsidRPr="00476DD0" w:rsidRDefault="004E507B" w:rsidP="004E507B">
      <w:pPr>
        <w:pStyle w:val="Odstavecseseznamem"/>
        <w:numPr>
          <w:ilvl w:val="0"/>
          <w:numId w:val="16"/>
        </w:numPr>
        <w:jc w:val="left"/>
        <w:rPr>
          <w:rFonts w:cs="Arial"/>
        </w:rPr>
      </w:pPr>
      <w:r w:rsidRPr="00476DD0">
        <w:rPr>
          <w:rFonts w:cs="Arial"/>
        </w:rPr>
        <w:t>Project management</w:t>
      </w:r>
    </w:p>
    <w:p w14:paraId="78FAF753" w14:textId="77777777" w:rsidR="004E507B" w:rsidRPr="00476DD0" w:rsidRDefault="004E507B" w:rsidP="004E507B">
      <w:pPr>
        <w:pStyle w:val="Odstavecseseznamem"/>
        <w:numPr>
          <w:ilvl w:val="0"/>
          <w:numId w:val="16"/>
        </w:numPr>
        <w:jc w:val="left"/>
        <w:rPr>
          <w:rFonts w:cs="Arial"/>
        </w:rPr>
      </w:pPr>
      <w:r w:rsidRPr="00476DD0">
        <w:rPr>
          <w:rFonts w:cs="Arial"/>
        </w:rPr>
        <w:t>Monitoring</w:t>
      </w:r>
    </w:p>
    <w:p w14:paraId="0562CB0E" w14:textId="77777777" w:rsidR="004E507B" w:rsidRPr="00476DD0" w:rsidRDefault="004E507B" w:rsidP="004E507B">
      <w:pPr>
        <w:rPr>
          <w:rFonts w:cs="Arial"/>
        </w:rPr>
      </w:pPr>
    </w:p>
    <w:p w14:paraId="34CE0A41" w14:textId="77777777" w:rsidR="004E507B" w:rsidRPr="00476DD0" w:rsidRDefault="004E507B" w:rsidP="004E507B">
      <w:pPr>
        <w:rPr>
          <w:rFonts w:cs="Arial"/>
          <w:sz w:val="16"/>
          <w:szCs w:val="16"/>
        </w:rPr>
      </w:pPr>
    </w:p>
    <w:p w14:paraId="071DD15D" w14:textId="2313BA19" w:rsidR="004E507B" w:rsidRDefault="00476DD0" w:rsidP="004E507B">
      <w:pPr>
        <w:rPr>
          <w:rFonts w:cs="Arial"/>
        </w:rPr>
      </w:pPr>
      <w:r w:rsidRPr="3C2682ED">
        <w:rPr>
          <w:rFonts w:cs="Arial"/>
        </w:rPr>
        <w:t xml:space="preserve">Rozsah služeb je limitován termínem ukončení </w:t>
      </w:r>
      <w:r w:rsidR="00A4157B" w:rsidRPr="3C2682ED">
        <w:rPr>
          <w:rFonts w:cs="Arial"/>
        </w:rPr>
        <w:t xml:space="preserve">Smlouvy </w:t>
      </w:r>
      <w:r w:rsidRPr="3C2682ED">
        <w:rPr>
          <w:rFonts w:cs="Arial"/>
        </w:rPr>
        <w:t xml:space="preserve">a </w:t>
      </w:r>
      <w:r w:rsidR="000D49E0" w:rsidRPr="3C2682ED">
        <w:rPr>
          <w:rFonts w:cs="Arial"/>
        </w:rPr>
        <w:t xml:space="preserve">závazně </w:t>
      </w:r>
      <w:r w:rsidR="00E876DD" w:rsidRPr="3C2682ED">
        <w:rPr>
          <w:rFonts w:cs="Arial"/>
        </w:rPr>
        <w:t xml:space="preserve">sjednanou </w:t>
      </w:r>
      <w:r w:rsidR="000D49E0" w:rsidRPr="3C2682ED">
        <w:rPr>
          <w:rFonts w:cs="Arial"/>
        </w:rPr>
        <w:t xml:space="preserve">pracovní </w:t>
      </w:r>
      <w:r w:rsidR="18103E3E" w:rsidRPr="3C2682ED">
        <w:rPr>
          <w:rFonts w:cs="Arial"/>
        </w:rPr>
        <w:t>kapacitou 110</w:t>
      </w:r>
      <w:r w:rsidR="00C529C8" w:rsidRPr="3C2682ED">
        <w:rPr>
          <w:rFonts w:cs="Arial"/>
        </w:rPr>
        <w:t xml:space="preserve"> </w:t>
      </w:r>
      <w:proofErr w:type="spellStart"/>
      <w:r w:rsidR="00C529C8" w:rsidRPr="3C2682ED">
        <w:rPr>
          <w:rFonts w:cs="Arial"/>
        </w:rPr>
        <w:t>mandays</w:t>
      </w:r>
      <w:proofErr w:type="spellEnd"/>
      <w:r w:rsidR="00C529C8" w:rsidRPr="3C2682ED">
        <w:rPr>
          <w:rFonts w:cs="Arial"/>
        </w:rPr>
        <w:t xml:space="preserve"> (</w:t>
      </w:r>
      <w:r w:rsidR="00C9434F" w:rsidRPr="3C2682ED">
        <w:rPr>
          <w:rFonts w:cs="Arial"/>
        </w:rPr>
        <w:t xml:space="preserve">MD, </w:t>
      </w:r>
      <w:r w:rsidR="00C529C8" w:rsidRPr="3C2682ED">
        <w:rPr>
          <w:rFonts w:cs="Arial"/>
        </w:rPr>
        <w:t>pracovních dnů</w:t>
      </w:r>
      <w:r w:rsidR="003C2543" w:rsidRPr="3C2682ED">
        <w:rPr>
          <w:rFonts w:cs="Arial"/>
        </w:rPr>
        <w:t>)</w:t>
      </w:r>
      <w:r w:rsidR="00C529C8" w:rsidRPr="3C2682ED">
        <w:rPr>
          <w:rFonts w:cs="Arial"/>
        </w:rPr>
        <w:t>,</w:t>
      </w:r>
      <w:r w:rsidR="00C9434F" w:rsidRPr="3C2682ED">
        <w:rPr>
          <w:rFonts w:cs="Arial"/>
        </w:rPr>
        <w:t xml:space="preserve"> ekvivalentů 8 hodin prací </w:t>
      </w:r>
      <w:r w:rsidR="00A4157B" w:rsidRPr="3C2682ED">
        <w:rPr>
          <w:rFonts w:cs="Arial"/>
        </w:rPr>
        <w:t xml:space="preserve">bez ohledu na kategorii podle přílohy č. 2 této smlouvy </w:t>
      </w:r>
      <w:r w:rsidRPr="3C2682ED">
        <w:rPr>
          <w:rFonts w:cs="Arial"/>
        </w:rPr>
        <w:t>v průběhu jejího trvání.</w:t>
      </w:r>
    </w:p>
    <w:p w14:paraId="62EBF3C5" w14:textId="77777777" w:rsidR="004E507B" w:rsidRDefault="004E507B" w:rsidP="004E507B">
      <w:r>
        <w:br w:type="page"/>
      </w:r>
    </w:p>
    <w:p w14:paraId="71BB6AC3" w14:textId="77777777" w:rsidR="004E507B" w:rsidRPr="00F828BD" w:rsidRDefault="004E507B" w:rsidP="322F26A4">
      <w:pPr>
        <w:rPr>
          <w:rFonts w:cs="Arial"/>
          <w:b/>
          <w:bCs/>
          <w:sz w:val="36"/>
          <w:szCs w:val="36"/>
        </w:rPr>
      </w:pPr>
      <w:r w:rsidRPr="322F26A4">
        <w:rPr>
          <w:rFonts w:cs="Arial"/>
          <w:b/>
          <w:bCs/>
          <w:sz w:val="36"/>
          <w:szCs w:val="36"/>
        </w:rPr>
        <w:t>Příloha č. 2</w:t>
      </w:r>
    </w:p>
    <w:p w14:paraId="4D4372AC" w14:textId="77777777" w:rsidR="004E507B" w:rsidRPr="00C572F9" w:rsidRDefault="004E507B" w:rsidP="322F26A4">
      <w:pPr>
        <w:pStyle w:val="Nadpis2"/>
        <w:spacing w:before="0"/>
      </w:pPr>
      <w:r w:rsidRPr="322F26A4">
        <w:t xml:space="preserve">Cena </w:t>
      </w:r>
      <w:r w:rsidR="00A9783E" w:rsidRPr="322F26A4">
        <w:t>konzultačních služeb a vývojových prací</w:t>
      </w:r>
    </w:p>
    <w:p w14:paraId="6D98A12B" w14:textId="77777777" w:rsidR="00A9783E" w:rsidRPr="00A9783E" w:rsidRDefault="00A9783E" w:rsidP="00A9783E">
      <w:pPr>
        <w:rPr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2"/>
        <w:gridCol w:w="3520"/>
      </w:tblGrid>
      <w:tr w:rsidR="00A9783E" w:rsidRPr="003B27AF" w14:paraId="7427EB8B" w14:textId="77777777" w:rsidTr="3C2682ED">
        <w:trPr>
          <w:trHeight w:val="300"/>
        </w:trPr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vAlign w:val="bottom"/>
          </w:tcPr>
          <w:p w14:paraId="6D138E29" w14:textId="77777777" w:rsidR="00A9783E" w:rsidRPr="00A9783E" w:rsidRDefault="00A9783E" w:rsidP="00390409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9783E">
              <w:rPr>
                <w:rFonts w:cs="Arial"/>
                <w:b/>
                <w:bCs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19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vAlign w:val="bottom"/>
          </w:tcPr>
          <w:p w14:paraId="0F365421" w14:textId="7BBA59AA" w:rsidR="00A9783E" w:rsidRPr="00A9783E" w:rsidRDefault="00A9783E" w:rsidP="00390409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9783E">
              <w:rPr>
                <w:rFonts w:cs="Arial"/>
                <w:b/>
                <w:bCs/>
                <w:color w:val="000000"/>
                <w:sz w:val="22"/>
                <w:szCs w:val="22"/>
              </w:rPr>
              <w:t>Částka bez DPH</w:t>
            </w:r>
            <w:r w:rsidR="00C9434F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za hodinu</w:t>
            </w:r>
          </w:p>
        </w:tc>
      </w:tr>
      <w:tr w:rsidR="00A9783E" w:rsidRPr="003B27AF" w14:paraId="116D4EE2" w14:textId="77777777" w:rsidTr="3C2682ED">
        <w:trPr>
          <w:trHeight w:val="300"/>
        </w:trPr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A7ACC1" w14:textId="5359D274" w:rsidR="00A9783E" w:rsidRPr="00A9783E" w:rsidRDefault="00A9783E" w:rsidP="00390409">
            <w:pPr>
              <w:rPr>
                <w:rFonts w:cs="Arial"/>
                <w:color w:val="000000"/>
                <w:sz w:val="22"/>
                <w:szCs w:val="22"/>
              </w:rPr>
            </w:pPr>
            <w:r w:rsidRPr="00A9783E">
              <w:rPr>
                <w:rFonts w:cs="Arial"/>
                <w:color w:val="000000"/>
                <w:sz w:val="22"/>
                <w:szCs w:val="22"/>
              </w:rPr>
              <w:t>Developer</w:t>
            </w:r>
          </w:p>
        </w:tc>
        <w:tc>
          <w:tcPr>
            <w:tcW w:w="19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EC15F1" w14:textId="44053BEF" w:rsidR="00A9783E" w:rsidRPr="00A9783E" w:rsidRDefault="47D27B87" w:rsidP="0039040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bookmarkStart w:id="2" w:name="_GoBack"/>
            <w:r w:rsidRPr="3C2682ED">
              <w:rPr>
                <w:rFonts w:cs="Arial"/>
                <w:color w:val="000000" w:themeColor="text1"/>
                <w:sz w:val="22"/>
                <w:szCs w:val="22"/>
              </w:rPr>
              <w:t>502</w:t>
            </w:r>
            <w:bookmarkEnd w:id="2"/>
            <w:r w:rsidR="00A9783E" w:rsidRPr="3C2682ED">
              <w:rPr>
                <w:rFonts w:cs="Arial"/>
                <w:color w:val="000000" w:themeColor="text1"/>
                <w:sz w:val="22"/>
                <w:szCs w:val="22"/>
              </w:rPr>
              <w:t>,00 Kč</w:t>
            </w:r>
          </w:p>
        </w:tc>
      </w:tr>
      <w:tr w:rsidR="00A9783E" w:rsidRPr="003B27AF" w14:paraId="30AF06C3" w14:textId="77777777" w:rsidTr="3C2682ED">
        <w:trPr>
          <w:trHeight w:val="300"/>
        </w:trPr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A36C19" w14:textId="7C76C222" w:rsidR="00A9783E" w:rsidRPr="00A9783E" w:rsidRDefault="00A9783E" w:rsidP="00390409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A9783E">
              <w:rPr>
                <w:rFonts w:cs="Arial"/>
                <w:color w:val="000000"/>
                <w:sz w:val="22"/>
                <w:szCs w:val="22"/>
              </w:rPr>
              <w:t>Consultant</w:t>
            </w:r>
            <w:proofErr w:type="spellEnd"/>
          </w:p>
        </w:tc>
        <w:tc>
          <w:tcPr>
            <w:tcW w:w="19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0BA236" w14:textId="62953DA9" w:rsidR="00A9783E" w:rsidRPr="00A9783E" w:rsidRDefault="00D0785B" w:rsidP="0039040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502</w:t>
            </w:r>
            <w:r w:rsidR="00A9783E" w:rsidRPr="322F26A4">
              <w:rPr>
                <w:rFonts w:cs="Arial"/>
                <w:color w:val="000000" w:themeColor="text1"/>
                <w:sz w:val="22"/>
                <w:szCs w:val="22"/>
              </w:rPr>
              <w:t>,00 Kč</w:t>
            </w:r>
          </w:p>
        </w:tc>
      </w:tr>
    </w:tbl>
    <w:p w14:paraId="2946DB82" w14:textId="77777777" w:rsidR="004E507B" w:rsidRPr="003B27AF" w:rsidRDefault="004E507B" w:rsidP="004E507B">
      <w:pPr>
        <w:rPr>
          <w:rFonts w:cs="Arial"/>
          <w:sz w:val="18"/>
          <w:highlight w:val="yellow"/>
        </w:rPr>
      </w:pPr>
    </w:p>
    <w:p w14:paraId="5997CC1D" w14:textId="77777777" w:rsidR="004E507B" w:rsidRPr="003B27AF" w:rsidRDefault="004E507B" w:rsidP="004E507B">
      <w:pPr>
        <w:rPr>
          <w:rFonts w:cs="Arial"/>
          <w:highlight w:val="yellow"/>
        </w:rPr>
      </w:pPr>
    </w:p>
    <w:p w14:paraId="58E84DB4" w14:textId="58373C60" w:rsidR="004E507B" w:rsidRDefault="004E507B" w:rsidP="004E507B">
      <w:pPr>
        <w:rPr>
          <w:rFonts w:cs="Arial"/>
          <w:lang w:val="pl-PL"/>
        </w:rPr>
      </w:pPr>
      <w:r w:rsidRPr="322F26A4">
        <w:rPr>
          <w:rFonts w:cs="Arial"/>
        </w:rPr>
        <w:t xml:space="preserve">V případě </w:t>
      </w:r>
      <w:r w:rsidR="00476DD0" w:rsidRPr="322F26A4">
        <w:rPr>
          <w:rFonts w:cs="Arial"/>
        </w:rPr>
        <w:t xml:space="preserve">vyžádané </w:t>
      </w:r>
      <w:r w:rsidRPr="322F26A4">
        <w:rPr>
          <w:rFonts w:cs="Arial"/>
        </w:rPr>
        <w:t>práce od 16:30 do 8:30 je hodinová sazba navýšena o 30</w:t>
      </w:r>
      <w:r w:rsidR="00B81D2B" w:rsidRPr="322F26A4">
        <w:rPr>
          <w:rFonts w:cs="Arial"/>
        </w:rPr>
        <w:t> </w:t>
      </w:r>
      <w:r w:rsidRPr="322F26A4">
        <w:rPr>
          <w:rFonts w:cs="Arial"/>
        </w:rPr>
        <w:t>% a</w:t>
      </w:r>
      <w:r w:rsidR="00BD5C7B" w:rsidRPr="322F26A4">
        <w:rPr>
          <w:rFonts w:cs="Arial"/>
        </w:rPr>
        <w:t> </w:t>
      </w:r>
      <w:r w:rsidRPr="322F26A4">
        <w:rPr>
          <w:rFonts w:cs="Arial"/>
        </w:rPr>
        <w:t>v případě prací mimo pracovní dny je hodinová sazba navýšena o 50</w:t>
      </w:r>
      <w:r w:rsidR="00B81D2B" w:rsidRPr="322F26A4">
        <w:rPr>
          <w:rFonts w:cs="Arial"/>
        </w:rPr>
        <w:t> </w:t>
      </w:r>
      <w:r w:rsidRPr="322F26A4">
        <w:rPr>
          <w:rFonts w:cs="Arial"/>
          <w:lang w:val="pl-PL"/>
        </w:rPr>
        <w:t xml:space="preserve">%. Tyto případy budou řešeny na základě samostaných </w:t>
      </w:r>
      <w:r w:rsidR="00476DD0" w:rsidRPr="322F26A4">
        <w:rPr>
          <w:rFonts w:cs="Arial"/>
          <w:lang w:val="pl-PL"/>
        </w:rPr>
        <w:t xml:space="preserve">písemných </w:t>
      </w:r>
      <w:r w:rsidRPr="322F26A4">
        <w:rPr>
          <w:rFonts w:cs="Arial"/>
          <w:lang w:val="pl-PL"/>
        </w:rPr>
        <w:t>objednávek.</w:t>
      </w:r>
    </w:p>
    <w:p w14:paraId="110FFD37" w14:textId="77777777" w:rsidR="00A9783E" w:rsidRDefault="00A9783E" w:rsidP="004E507B">
      <w:pPr>
        <w:rPr>
          <w:lang w:val="pl-PL"/>
        </w:rPr>
      </w:pPr>
    </w:p>
    <w:p w14:paraId="6B699379" w14:textId="77777777" w:rsidR="00A9783E" w:rsidRDefault="00A9783E" w:rsidP="004E507B">
      <w:pPr>
        <w:rPr>
          <w:lang w:val="pl-PL"/>
        </w:rPr>
      </w:pPr>
    </w:p>
    <w:p w14:paraId="3FE9F23F" w14:textId="77777777" w:rsidR="00A9783E" w:rsidRDefault="00A9783E" w:rsidP="004E507B">
      <w:pPr>
        <w:rPr>
          <w:lang w:val="pl-PL"/>
        </w:rPr>
      </w:pPr>
    </w:p>
    <w:p w14:paraId="1F72F646" w14:textId="77777777" w:rsidR="00A9783E" w:rsidRDefault="00A9783E">
      <w:pPr>
        <w:spacing w:after="100" w:line="276" w:lineRule="auto"/>
        <w:ind w:left="454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br w:type="page"/>
      </w:r>
    </w:p>
    <w:p w14:paraId="5F507BCB" w14:textId="77777777" w:rsidR="004E507B" w:rsidRPr="00554CAB" w:rsidRDefault="004E507B" w:rsidP="004E507B">
      <w:pPr>
        <w:rPr>
          <w:rFonts w:cs="Arial"/>
          <w:sz w:val="36"/>
          <w:szCs w:val="36"/>
        </w:rPr>
      </w:pPr>
      <w:r w:rsidRPr="00554CAB">
        <w:rPr>
          <w:rFonts w:cs="Arial"/>
          <w:sz w:val="36"/>
          <w:szCs w:val="36"/>
        </w:rPr>
        <w:t>Příloha č. 3</w:t>
      </w:r>
    </w:p>
    <w:p w14:paraId="37DA6E08" w14:textId="77777777" w:rsidR="004E507B" w:rsidRPr="00554CAB" w:rsidRDefault="004E507B" w:rsidP="004E507B">
      <w:pPr>
        <w:rPr>
          <w:rFonts w:cs="Arial"/>
        </w:rPr>
      </w:pPr>
      <w:r w:rsidRPr="00554CAB">
        <w:rPr>
          <w:rFonts w:cs="Arial"/>
        </w:rPr>
        <w:t xml:space="preserve">Kontaktní osoby pro jednání </w:t>
      </w:r>
    </w:p>
    <w:p w14:paraId="08CE6F91" w14:textId="77777777" w:rsidR="004E507B" w:rsidRPr="00554CAB" w:rsidRDefault="004E507B" w:rsidP="004E507B">
      <w:pPr>
        <w:rPr>
          <w:rFonts w:cs="Arial"/>
        </w:rPr>
      </w:pPr>
    </w:p>
    <w:p w14:paraId="51D4339D" w14:textId="77777777" w:rsidR="006A00B6" w:rsidRPr="00285A53" w:rsidRDefault="006A00B6" w:rsidP="322F26A4">
      <w:pPr>
        <w:rPr>
          <w:rFonts w:cs="Arial"/>
          <w:b/>
          <w:bCs/>
          <w:sz w:val="22"/>
          <w:szCs w:val="22"/>
        </w:rPr>
      </w:pPr>
      <w:r w:rsidRPr="7246F2BC">
        <w:rPr>
          <w:rFonts w:cs="Arial"/>
          <w:b/>
          <w:bCs/>
          <w:sz w:val="22"/>
          <w:szCs w:val="22"/>
        </w:rPr>
        <w:t xml:space="preserve">1. </w:t>
      </w:r>
      <w:r w:rsidRPr="7246F2BC">
        <w:rPr>
          <w:rFonts w:cs="Arial"/>
          <w:b/>
          <w:bCs/>
          <w:sz w:val="22"/>
          <w:szCs w:val="22"/>
          <w:u w:val="single"/>
        </w:rPr>
        <w:t>Kontaktní osoby Poskytovatele</w:t>
      </w:r>
    </w:p>
    <w:p w14:paraId="61CDCEAD" w14:textId="77777777" w:rsidR="006A00B6" w:rsidRDefault="006A00B6" w:rsidP="322F26A4">
      <w:pPr>
        <w:rPr>
          <w:rFonts w:cs="Arial"/>
          <w:sz w:val="22"/>
          <w:szCs w:val="22"/>
        </w:rPr>
      </w:pPr>
    </w:p>
    <w:p w14:paraId="33B4B3BC" w14:textId="74514A9D" w:rsidR="00E07E5A" w:rsidRPr="00E07E5A" w:rsidRDefault="006E1EB7" w:rsidP="00E07E5A">
      <w:pPr>
        <w:rPr>
          <w:sz w:val="22"/>
        </w:rPr>
      </w:pPr>
      <w:r w:rsidRPr="00E07E5A">
        <w:rPr>
          <w:sz w:val="22"/>
        </w:rPr>
        <w:t>Mgr. Tereza Kliment</w:t>
      </w:r>
    </w:p>
    <w:p w14:paraId="52E56223" w14:textId="77777777" w:rsidR="006A00B6" w:rsidRPr="00285A53" w:rsidRDefault="006A00B6" w:rsidP="322F26A4">
      <w:pPr>
        <w:rPr>
          <w:rFonts w:cs="Arial"/>
          <w:sz w:val="22"/>
          <w:szCs w:val="22"/>
        </w:rPr>
      </w:pPr>
    </w:p>
    <w:p w14:paraId="07547A01" w14:textId="77777777" w:rsidR="006A00B6" w:rsidRPr="00285A53" w:rsidRDefault="006A00B6" w:rsidP="322F26A4">
      <w:pPr>
        <w:rPr>
          <w:rFonts w:cs="Arial"/>
          <w:sz w:val="22"/>
          <w:szCs w:val="22"/>
        </w:rPr>
      </w:pPr>
    </w:p>
    <w:p w14:paraId="78AFC79C" w14:textId="77777777" w:rsidR="006A00B6" w:rsidRPr="00285A53" w:rsidRDefault="006A00B6" w:rsidP="322F26A4">
      <w:pPr>
        <w:rPr>
          <w:rFonts w:cs="Arial"/>
          <w:b/>
          <w:bCs/>
          <w:sz w:val="22"/>
          <w:szCs w:val="22"/>
        </w:rPr>
      </w:pPr>
      <w:r w:rsidRPr="322F26A4">
        <w:rPr>
          <w:rFonts w:cs="Arial"/>
          <w:b/>
          <w:bCs/>
          <w:sz w:val="22"/>
          <w:szCs w:val="22"/>
        </w:rPr>
        <w:t xml:space="preserve">2. </w:t>
      </w:r>
      <w:r w:rsidRPr="322F26A4">
        <w:rPr>
          <w:rFonts w:cs="Arial"/>
          <w:b/>
          <w:bCs/>
          <w:sz w:val="22"/>
          <w:szCs w:val="22"/>
          <w:u w:val="single"/>
        </w:rPr>
        <w:t>Kontaktní osoby Objednatele</w:t>
      </w:r>
    </w:p>
    <w:p w14:paraId="1AC7ED23" w14:textId="77777777" w:rsidR="00E07E5A" w:rsidRDefault="00E07E5A" w:rsidP="322F26A4">
      <w:pPr>
        <w:rPr>
          <w:sz w:val="22"/>
          <w:szCs w:val="22"/>
        </w:rPr>
      </w:pPr>
    </w:p>
    <w:p w14:paraId="4CBA4B1C" w14:textId="769B4B90" w:rsidR="00E07E5A" w:rsidRDefault="00E07E5A" w:rsidP="322F26A4">
      <w:pPr>
        <w:rPr>
          <w:sz w:val="22"/>
          <w:szCs w:val="22"/>
        </w:rPr>
      </w:pPr>
      <w:r>
        <w:rPr>
          <w:sz w:val="22"/>
          <w:szCs w:val="22"/>
        </w:rPr>
        <w:t>Ing. Tomáš Langer, Ph.D.</w:t>
      </w:r>
    </w:p>
    <w:p w14:paraId="2958D520" w14:textId="5421A8FF" w:rsidR="006A00B6" w:rsidRPr="00285A53" w:rsidRDefault="006A00B6" w:rsidP="322F26A4">
      <w:pPr>
        <w:rPr>
          <w:sz w:val="22"/>
          <w:szCs w:val="22"/>
        </w:rPr>
      </w:pPr>
      <w:r w:rsidRPr="322F26A4">
        <w:rPr>
          <w:sz w:val="22"/>
          <w:szCs w:val="22"/>
        </w:rPr>
        <w:t>Bc. Jakub Ivanov</w:t>
      </w:r>
    </w:p>
    <w:p w14:paraId="18D43B89" w14:textId="4D79A5C3" w:rsidR="006A00B6" w:rsidRPr="00285A53" w:rsidRDefault="006A00B6" w:rsidP="322F26A4">
      <w:pPr>
        <w:rPr>
          <w:sz w:val="22"/>
          <w:szCs w:val="22"/>
        </w:rPr>
      </w:pPr>
      <w:r w:rsidRPr="322F26A4">
        <w:rPr>
          <w:sz w:val="22"/>
          <w:szCs w:val="22"/>
        </w:rPr>
        <w:t xml:space="preserve">Ing. Václav </w:t>
      </w:r>
      <w:proofErr w:type="spellStart"/>
      <w:r w:rsidRPr="322F26A4">
        <w:rPr>
          <w:sz w:val="22"/>
          <w:szCs w:val="22"/>
        </w:rPr>
        <w:t>Obadálek</w:t>
      </w:r>
      <w:proofErr w:type="spellEnd"/>
    </w:p>
    <w:p w14:paraId="144A5D23" w14:textId="6A2B0B93" w:rsidR="004E507B" w:rsidRPr="00554CAB" w:rsidRDefault="004E507B" w:rsidP="322F26A4">
      <w:pPr>
        <w:rPr>
          <w:rFonts w:cs="Arial"/>
          <w:b/>
          <w:bCs/>
          <w:u w:val="single"/>
        </w:rPr>
      </w:pPr>
    </w:p>
    <w:p w14:paraId="738610EB" w14:textId="77777777" w:rsidR="004E507B" w:rsidRPr="00554CAB" w:rsidRDefault="004E507B" w:rsidP="004E507B">
      <w:pPr>
        <w:rPr>
          <w:rFonts w:cs="Arial"/>
          <w:b/>
          <w:sz w:val="28"/>
          <w:szCs w:val="22"/>
        </w:rPr>
      </w:pPr>
    </w:p>
    <w:p w14:paraId="637805D2" w14:textId="77777777" w:rsidR="001B488E" w:rsidRPr="004E507B" w:rsidRDefault="001B488E" w:rsidP="004E507B">
      <w:pPr>
        <w:rPr>
          <w:rFonts w:cs="Arial"/>
          <w:lang w:val="pl-PL"/>
        </w:rPr>
      </w:pPr>
    </w:p>
    <w:sectPr w:rsidR="001B488E" w:rsidRPr="004E507B" w:rsidSect="00E2509E">
      <w:headerReference w:type="default" r:id="rId8"/>
      <w:footerReference w:type="default" r:id="rId9"/>
      <w:pgSz w:w="11906" w:h="16838"/>
      <w:pgMar w:top="2269" w:right="1417" w:bottom="1417" w:left="1417" w:header="426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2B5413" w16cex:dateUtc="2022-10-22T15:22:04.212Z"/>
  <w16cex:commentExtensible w16cex:durableId="2768FE32" w16cex:dateUtc="2022-10-22T15:22:31.923Z"/>
  <w16cex:commentExtensible w16cex:durableId="7F7D6563" w16cex:dateUtc="2022-12-15T09:55:54.578Z"/>
  <w16cex:commentExtensible w16cex:durableId="01EAF120" w16cex:dateUtc="2022-12-15T10:08:46.819Z"/>
  <w16cex:commentExtensible w16cex:durableId="70A5518A" w16cex:dateUtc="2022-12-15T10:12:17.222Z"/>
  <w16cex:commentExtensible w16cex:durableId="34ADA4DF" w16cex:dateUtc="2022-12-15T10:14:29.051Z"/>
  <w16cex:commentExtensible w16cex:durableId="366F4AFC" w16cex:dateUtc="2022-12-16T09:37:20.89Z"/>
  <w16cex:commentExtensible w16cex:durableId="306E609A" w16cex:dateUtc="2022-12-16T09:38:51.453Z"/>
  <w16cex:commentExtensible w16cex:durableId="43B031D2" w16cex:dateUtc="2022-12-16T09:44:40.72Z"/>
  <w16cex:commentExtensible w16cex:durableId="566944AD" w16cex:dateUtc="2022-12-16T09:51:30.68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E5393" w14:textId="77777777" w:rsidR="00325FFB" w:rsidRDefault="00325FFB" w:rsidP="00E2509E">
      <w:r>
        <w:separator/>
      </w:r>
    </w:p>
  </w:endnote>
  <w:endnote w:type="continuationSeparator" w:id="0">
    <w:p w14:paraId="668736E4" w14:textId="77777777" w:rsidR="00325FFB" w:rsidRDefault="00325FFB" w:rsidP="00E2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61E9" w14:textId="46DE9FEE" w:rsidR="009B20A9" w:rsidRDefault="009B20A9">
    <w:pPr>
      <w:pStyle w:val="Zpat"/>
      <w:jc w:val="right"/>
    </w:pPr>
    <w:r>
      <w:t xml:space="preserve"> Stránka </w:t>
    </w:r>
    <w:sdt>
      <w:sdtPr>
        <w:id w:val="-11637521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r w:rsidR="006309D6">
          <w:fldChar w:fldCharType="begin"/>
        </w:r>
        <w:r w:rsidR="006309D6">
          <w:instrText>SECTIONPAGES   \* MERGEFORMAT</w:instrText>
        </w:r>
        <w:r w:rsidR="006309D6">
          <w:fldChar w:fldCharType="separate"/>
        </w:r>
        <w:r w:rsidR="006309D6">
          <w:rPr>
            <w:noProof/>
          </w:rPr>
          <w:t>13</w:t>
        </w:r>
        <w:r w:rsidR="006309D6">
          <w:rPr>
            <w:noProof/>
          </w:rPr>
          <w:fldChar w:fldCharType="end"/>
        </w:r>
      </w:sdtContent>
    </w:sdt>
  </w:p>
  <w:p w14:paraId="0BFF18D5" w14:textId="77777777" w:rsidR="009B20A9" w:rsidRDefault="009B20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CF78C" w14:textId="77777777" w:rsidR="00325FFB" w:rsidRDefault="00325FFB" w:rsidP="00E2509E">
      <w:r>
        <w:separator/>
      </w:r>
    </w:p>
  </w:footnote>
  <w:footnote w:type="continuationSeparator" w:id="0">
    <w:p w14:paraId="0EBFF826" w14:textId="77777777" w:rsidR="00325FFB" w:rsidRDefault="00325FFB" w:rsidP="00E25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567B5" w14:textId="3E0D0C13" w:rsidR="009B20A9" w:rsidRDefault="009B20A9">
    <w:pPr>
      <w:pStyle w:val="Zhlav"/>
    </w:pPr>
    <w:r>
      <w:rPr>
        <w:rFonts w:cs="Arial"/>
        <w:b/>
        <w:noProof/>
      </w:rPr>
      <w:drawing>
        <wp:inline distT="0" distB="0" distL="0" distR="0" wp14:anchorId="7D698D1A" wp14:editId="159508C0">
          <wp:extent cx="1176338" cy="899190"/>
          <wp:effectExtent l="0" t="0" r="508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83" cy="929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1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3E1BAB"/>
    <w:multiLevelType w:val="hybridMultilevel"/>
    <w:tmpl w:val="424E1C5E"/>
    <w:lvl w:ilvl="0" w:tplc="4094CCB4">
      <w:numFmt w:val="bullet"/>
      <w:lvlText w:val="‒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27DDE"/>
    <w:multiLevelType w:val="hybridMultilevel"/>
    <w:tmpl w:val="29529870"/>
    <w:lvl w:ilvl="0" w:tplc="A6D4B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B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66E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83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CC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CA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02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6B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3E8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07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5D2AF4"/>
    <w:multiLevelType w:val="multilevel"/>
    <w:tmpl w:val="4E28B5D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884F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B772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A4E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6B0265"/>
    <w:multiLevelType w:val="multilevel"/>
    <w:tmpl w:val="F21E0A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187E28"/>
    <w:multiLevelType w:val="multilevel"/>
    <w:tmpl w:val="0B9A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D971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8B20BF"/>
    <w:multiLevelType w:val="multilevel"/>
    <w:tmpl w:val="0B9A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5072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2423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2E7F80"/>
    <w:multiLevelType w:val="multilevel"/>
    <w:tmpl w:val="63180E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31845"/>
    <w:multiLevelType w:val="hybridMultilevel"/>
    <w:tmpl w:val="9E38752E"/>
    <w:lvl w:ilvl="0" w:tplc="4094CCB4">
      <w:numFmt w:val="bullet"/>
      <w:lvlText w:val="‒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B4A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C96C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AA3F5E"/>
    <w:multiLevelType w:val="multilevel"/>
    <w:tmpl w:val="96BC5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1E4E1D"/>
    <w:multiLevelType w:val="multilevel"/>
    <w:tmpl w:val="0B9A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CB184A"/>
    <w:multiLevelType w:val="multilevel"/>
    <w:tmpl w:val="2B469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8470FE"/>
    <w:multiLevelType w:val="multilevel"/>
    <w:tmpl w:val="15F8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BE2C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097EF1"/>
    <w:multiLevelType w:val="multilevel"/>
    <w:tmpl w:val="8418187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BCB4773"/>
    <w:multiLevelType w:val="hybridMultilevel"/>
    <w:tmpl w:val="B00AFFBC"/>
    <w:lvl w:ilvl="0" w:tplc="4094CCB4">
      <w:numFmt w:val="bullet"/>
      <w:lvlText w:val="‒"/>
      <w:lvlJc w:val="left"/>
      <w:pPr>
        <w:ind w:left="1571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C7F30C5"/>
    <w:multiLevelType w:val="multilevel"/>
    <w:tmpl w:val="E996E82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C65118"/>
    <w:multiLevelType w:val="multilevel"/>
    <w:tmpl w:val="989C0B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CA109F"/>
    <w:multiLevelType w:val="multilevel"/>
    <w:tmpl w:val="A0C661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94BCF"/>
    <w:multiLevelType w:val="multilevel"/>
    <w:tmpl w:val="32B23F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D5043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C9675F9"/>
    <w:multiLevelType w:val="multilevel"/>
    <w:tmpl w:val="989C3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FA564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EB273A"/>
    <w:multiLevelType w:val="hybridMultilevel"/>
    <w:tmpl w:val="3F38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E6C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AB29EE"/>
    <w:multiLevelType w:val="multilevel"/>
    <w:tmpl w:val="7D163A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BB09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69A4E24"/>
    <w:multiLevelType w:val="multilevel"/>
    <w:tmpl w:val="C456B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CB874FA"/>
    <w:multiLevelType w:val="hybridMultilevel"/>
    <w:tmpl w:val="CE1485D8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3"/>
  </w:num>
  <w:num w:numId="5">
    <w:abstractNumId w:val="0"/>
  </w:num>
  <w:num w:numId="6">
    <w:abstractNumId w:val="35"/>
  </w:num>
  <w:num w:numId="7">
    <w:abstractNumId w:val="13"/>
  </w:num>
  <w:num w:numId="8">
    <w:abstractNumId w:val="5"/>
  </w:num>
  <w:num w:numId="9">
    <w:abstractNumId w:val="30"/>
  </w:num>
  <w:num w:numId="10">
    <w:abstractNumId w:val="3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3"/>
  </w:num>
  <w:num w:numId="15">
    <w:abstractNumId w:val="32"/>
  </w:num>
  <w:num w:numId="16">
    <w:abstractNumId w:val="15"/>
  </w:num>
  <w:num w:numId="17">
    <w:abstractNumId w:val="3"/>
  </w:num>
  <w:num w:numId="18">
    <w:abstractNumId w:val="10"/>
  </w:num>
  <w:num w:numId="19">
    <w:abstractNumId w:val="7"/>
  </w:num>
  <w:num w:numId="20">
    <w:abstractNumId w:val="22"/>
  </w:num>
  <w:num w:numId="21">
    <w:abstractNumId w:val="29"/>
  </w:num>
  <w:num w:numId="22">
    <w:abstractNumId w:val="24"/>
  </w:num>
  <w:num w:numId="23">
    <w:abstractNumId w:val="16"/>
  </w:num>
  <w:num w:numId="24">
    <w:abstractNumId w:val="17"/>
  </w:num>
  <w:num w:numId="25">
    <w:abstractNumId w:val="37"/>
  </w:num>
  <w:num w:numId="26">
    <w:abstractNumId w:val="12"/>
  </w:num>
  <w:num w:numId="27">
    <w:abstractNumId w:val="31"/>
  </w:num>
  <w:num w:numId="28">
    <w:abstractNumId w:val="21"/>
  </w:num>
  <w:num w:numId="29">
    <w:abstractNumId w:val="20"/>
  </w:num>
  <w:num w:numId="30">
    <w:abstractNumId w:val="28"/>
  </w:num>
  <w:num w:numId="31">
    <w:abstractNumId w:val="18"/>
  </w:num>
  <w:num w:numId="32">
    <w:abstractNumId w:val="14"/>
  </w:num>
  <w:num w:numId="33">
    <w:abstractNumId w:val="26"/>
  </w:num>
  <w:num w:numId="34">
    <w:abstractNumId w:val="34"/>
  </w:num>
  <w:num w:numId="35">
    <w:abstractNumId w:val="8"/>
  </w:num>
  <w:num w:numId="36">
    <w:abstractNumId w:val="27"/>
  </w:num>
  <w:num w:numId="37">
    <w:abstractNumId w:val="11"/>
  </w:num>
  <w:num w:numId="38">
    <w:abstractNumId w:val="1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9E"/>
    <w:rsid w:val="00010B39"/>
    <w:rsid w:val="000206D6"/>
    <w:rsid w:val="00030860"/>
    <w:rsid w:val="000337C1"/>
    <w:rsid w:val="00034BD1"/>
    <w:rsid w:val="00040D08"/>
    <w:rsid w:val="000476BC"/>
    <w:rsid w:val="00055504"/>
    <w:rsid w:val="00072B8E"/>
    <w:rsid w:val="000821A2"/>
    <w:rsid w:val="000A592D"/>
    <w:rsid w:val="000A5FEA"/>
    <w:rsid w:val="000B74B8"/>
    <w:rsid w:val="000C2D1B"/>
    <w:rsid w:val="000D49E0"/>
    <w:rsid w:val="00103CF1"/>
    <w:rsid w:val="001119F0"/>
    <w:rsid w:val="00115702"/>
    <w:rsid w:val="001409D6"/>
    <w:rsid w:val="00145773"/>
    <w:rsid w:val="00156B29"/>
    <w:rsid w:val="001861EC"/>
    <w:rsid w:val="001A2EE3"/>
    <w:rsid w:val="001A4B96"/>
    <w:rsid w:val="001B1A97"/>
    <w:rsid w:val="001B488E"/>
    <w:rsid w:val="001C16EB"/>
    <w:rsid w:val="001C43C3"/>
    <w:rsid w:val="001D038A"/>
    <w:rsid w:val="001D08CF"/>
    <w:rsid w:val="001D730B"/>
    <w:rsid w:val="002066A4"/>
    <w:rsid w:val="002248C5"/>
    <w:rsid w:val="002A1E56"/>
    <w:rsid w:val="002B41D8"/>
    <w:rsid w:val="002C529B"/>
    <w:rsid w:val="00314A4A"/>
    <w:rsid w:val="00324FD7"/>
    <w:rsid w:val="00325FFB"/>
    <w:rsid w:val="003337EF"/>
    <w:rsid w:val="00390409"/>
    <w:rsid w:val="003926C1"/>
    <w:rsid w:val="00395063"/>
    <w:rsid w:val="003A281E"/>
    <w:rsid w:val="003A3240"/>
    <w:rsid w:val="003B0CB9"/>
    <w:rsid w:val="003C2543"/>
    <w:rsid w:val="003C593C"/>
    <w:rsid w:val="003C7411"/>
    <w:rsid w:val="003D0037"/>
    <w:rsid w:val="003D34D4"/>
    <w:rsid w:val="003E65EA"/>
    <w:rsid w:val="003F16D6"/>
    <w:rsid w:val="004002E1"/>
    <w:rsid w:val="004007A0"/>
    <w:rsid w:val="004207EE"/>
    <w:rsid w:val="004408AF"/>
    <w:rsid w:val="004416FB"/>
    <w:rsid w:val="00454870"/>
    <w:rsid w:val="00476DD0"/>
    <w:rsid w:val="004940ED"/>
    <w:rsid w:val="004C5925"/>
    <w:rsid w:val="004E507B"/>
    <w:rsid w:val="004E6BAF"/>
    <w:rsid w:val="004F301B"/>
    <w:rsid w:val="004F4C5D"/>
    <w:rsid w:val="0052382C"/>
    <w:rsid w:val="00532D1F"/>
    <w:rsid w:val="0054047C"/>
    <w:rsid w:val="005621D0"/>
    <w:rsid w:val="00571854"/>
    <w:rsid w:val="00584C7E"/>
    <w:rsid w:val="005A25C2"/>
    <w:rsid w:val="005B455A"/>
    <w:rsid w:val="005C551C"/>
    <w:rsid w:val="005CEDE1"/>
    <w:rsid w:val="005D0E4E"/>
    <w:rsid w:val="005D4308"/>
    <w:rsid w:val="005E5029"/>
    <w:rsid w:val="005E7A23"/>
    <w:rsid w:val="005F62E2"/>
    <w:rsid w:val="006118CA"/>
    <w:rsid w:val="006309D6"/>
    <w:rsid w:val="00633E2E"/>
    <w:rsid w:val="00672AF4"/>
    <w:rsid w:val="006A00B6"/>
    <w:rsid w:val="006D153C"/>
    <w:rsid w:val="006D2B5A"/>
    <w:rsid w:val="006E1D1D"/>
    <w:rsid w:val="006E1EB7"/>
    <w:rsid w:val="007055F3"/>
    <w:rsid w:val="00714F1C"/>
    <w:rsid w:val="0072094E"/>
    <w:rsid w:val="007303F3"/>
    <w:rsid w:val="00744EA9"/>
    <w:rsid w:val="00753D9E"/>
    <w:rsid w:val="007556BA"/>
    <w:rsid w:val="00755D46"/>
    <w:rsid w:val="00757E9E"/>
    <w:rsid w:val="00773432"/>
    <w:rsid w:val="0077640D"/>
    <w:rsid w:val="0079428C"/>
    <w:rsid w:val="007B4613"/>
    <w:rsid w:val="007C00A5"/>
    <w:rsid w:val="007C73DB"/>
    <w:rsid w:val="007F2BF3"/>
    <w:rsid w:val="0081543A"/>
    <w:rsid w:val="0083202E"/>
    <w:rsid w:val="00840783"/>
    <w:rsid w:val="008468B0"/>
    <w:rsid w:val="00850EDA"/>
    <w:rsid w:val="00861596"/>
    <w:rsid w:val="008660DF"/>
    <w:rsid w:val="00875A97"/>
    <w:rsid w:val="00876D63"/>
    <w:rsid w:val="008A1335"/>
    <w:rsid w:val="008B4C56"/>
    <w:rsid w:val="008E4ED5"/>
    <w:rsid w:val="00903270"/>
    <w:rsid w:val="00915E3A"/>
    <w:rsid w:val="00924E48"/>
    <w:rsid w:val="00927523"/>
    <w:rsid w:val="00931DC0"/>
    <w:rsid w:val="009369DF"/>
    <w:rsid w:val="009423CD"/>
    <w:rsid w:val="00947EA3"/>
    <w:rsid w:val="00950513"/>
    <w:rsid w:val="00960B9C"/>
    <w:rsid w:val="00964C8B"/>
    <w:rsid w:val="009871B5"/>
    <w:rsid w:val="009A19DE"/>
    <w:rsid w:val="009B20A9"/>
    <w:rsid w:val="009B3FE4"/>
    <w:rsid w:val="009B4316"/>
    <w:rsid w:val="009C3C7C"/>
    <w:rsid w:val="009D2712"/>
    <w:rsid w:val="009E461E"/>
    <w:rsid w:val="00A2205C"/>
    <w:rsid w:val="00A34FEB"/>
    <w:rsid w:val="00A4157B"/>
    <w:rsid w:val="00A466F4"/>
    <w:rsid w:val="00A83800"/>
    <w:rsid w:val="00A85433"/>
    <w:rsid w:val="00A8661B"/>
    <w:rsid w:val="00A92905"/>
    <w:rsid w:val="00A9783E"/>
    <w:rsid w:val="00AA4C8B"/>
    <w:rsid w:val="00AB01F7"/>
    <w:rsid w:val="00AD3D13"/>
    <w:rsid w:val="00AF0B67"/>
    <w:rsid w:val="00B15404"/>
    <w:rsid w:val="00B20D21"/>
    <w:rsid w:val="00B23236"/>
    <w:rsid w:val="00B25F51"/>
    <w:rsid w:val="00B43BB1"/>
    <w:rsid w:val="00B509F5"/>
    <w:rsid w:val="00B64CC2"/>
    <w:rsid w:val="00B80967"/>
    <w:rsid w:val="00B81D2B"/>
    <w:rsid w:val="00BB605E"/>
    <w:rsid w:val="00BD5C7B"/>
    <w:rsid w:val="00BF31C3"/>
    <w:rsid w:val="00C02C47"/>
    <w:rsid w:val="00C0768C"/>
    <w:rsid w:val="00C10599"/>
    <w:rsid w:val="00C11DED"/>
    <w:rsid w:val="00C13F2B"/>
    <w:rsid w:val="00C2578A"/>
    <w:rsid w:val="00C529C8"/>
    <w:rsid w:val="00C572F9"/>
    <w:rsid w:val="00C76ECB"/>
    <w:rsid w:val="00C84299"/>
    <w:rsid w:val="00C9434F"/>
    <w:rsid w:val="00CA33FA"/>
    <w:rsid w:val="00CA4BBE"/>
    <w:rsid w:val="00CD2479"/>
    <w:rsid w:val="00CD4656"/>
    <w:rsid w:val="00CE6C76"/>
    <w:rsid w:val="00CE772C"/>
    <w:rsid w:val="00D000F6"/>
    <w:rsid w:val="00D0785B"/>
    <w:rsid w:val="00D17729"/>
    <w:rsid w:val="00D22233"/>
    <w:rsid w:val="00D32B94"/>
    <w:rsid w:val="00D357FC"/>
    <w:rsid w:val="00D41549"/>
    <w:rsid w:val="00D71B47"/>
    <w:rsid w:val="00DA7103"/>
    <w:rsid w:val="00DB7F5A"/>
    <w:rsid w:val="00DC1815"/>
    <w:rsid w:val="00E04D6E"/>
    <w:rsid w:val="00E07E5A"/>
    <w:rsid w:val="00E116CA"/>
    <w:rsid w:val="00E2509E"/>
    <w:rsid w:val="00E626DA"/>
    <w:rsid w:val="00E876DD"/>
    <w:rsid w:val="00E91B03"/>
    <w:rsid w:val="00EB7C3A"/>
    <w:rsid w:val="00EC10B7"/>
    <w:rsid w:val="00EC46FB"/>
    <w:rsid w:val="00EF5071"/>
    <w:rsid w:val="00F07239"/>
    <w:rsid w:val="00F13625"/>
    <w:rsid w:val="00F36D9D"/>
    <w:rsid w:val="00F57A73"/>
    <w:rsid w:val="00F9518F"/>
    <w:rsid w:val="00F9590B"/>
    <w:rsid w:val="00FA241E"/>
    <w:rsid w:val="00FA5763"/>
    <w:rsid w:val="01348D02"/>
    <w:rsid w:val="046C2DC4"/>
    <w:rsid w:val="0490D5D6"/>
    <w:rsid w:val="05B82D57"/>
    <w:rsid w:val="06EFA14E"/>
    <w:rsid w:val="0A557E18"/>
    <w:rsid w:val="0BAB95BB"/>
    <w:rsid w:val="0CAD18E5"/>
    <w:rsid w:val="0D6B029C"/>
    <w:rsid w:val="0DB26398"/>
    <w:rsid w:val="0E51D87B"/>
    <w:rsid w:val="0EBC2E86"/>
    <w:rsid w:val="118C808D"/>
    <w:rsid w:val="11D6EDED"/>
    <w:rsid w:val="15BFD0CD"/>
    <w:rsid w:val="175BA12E"/>
    <w:rsid w:val="18103E3E"/>
    <w:rsid w:val="1B7B80F0"/>
    <w:rsid w:val="1D175151"/>
    <w:rsid w:val="1E75BFCF"/>
    <w:rsid w:val="1FFF245A"/>
    <w:rsid w:val="208D6D18"/>
    <w:rsid w:val="2175DA80"/>
    <w:rsid w:val="23101232"/>
    <w:rsid w:val="233CE121"/>
    <w:rsid w:val="241607FE"/>
    <w:rsid w:val="24C602F2"/>
    <w:rsid w:val="27B813E9"/>
    <w:rsid w:val="2BEA3EF8"/>
    <w:rsid w:val="2C648158"/>
    <w:rsid w:val="2D5AA64C"/>
    <w:rsid w:val="2DA215CC"/>
    <w:rsid w:val="2EC0A693"/>
    <w:rsid w:val="2F9C221A"/>
    <w:rsid w:val="30616980"/>
    <w:rsid w:val="30717288"/>
    <w:rsid w:val="30730BA4"/>
    <w:rsid w:val="30BDB01B"/>
    <w:rsid w:val="30CDDD95"/>
    <w:rsid w:val="30FDBC04"/>
    <w:rsid w:val="320EDC05"/>
    <w:rsid w:val="32184176"/>
    <w:rsid w:val="322F26A4"/>
    <w:rsid w:val="3281D2CD"/>
    <w:rsid w:val="32B8CC00"/>
    <w:rsid w:val="32CFD5A3"/>
    <w:rsid w:val="32E31FEE"/>
    <w:rsid w:val="3341C4D0"/>
    <w:rsid w:val="3419F8EF"/>
    <w:rsid w:val="3502485A"/>
    <w:rsid w:val="35386157"/>
    <w:rsid w:val="369CDCB1"/>
    <w:rsid w:val="38E975B0"/>
    <w:rsid w:val="3980E68C"/>
    <w:rsid w:val="3AFB1DB5"/>
    <w:rsid w:val="3B032CD5"/>
    <w:rsid w:val="3C2682ED"/>
    <w:rsid w:val="3DD100D6"/>
    <w:rsid w:val="3DE8EF03"/>
    <w:rsid w:val="3E70D629"/>
    <w:rsid w:val="40924B40"/>
    <w:rsid w:val="40BAAB88"/>
    <w:rsid w:val="42115324"/>
    <w:rsid w:val="42567BE9"/>
    <w:rsid w:val="42F3603C"/>
    <w:rsid w:val="45ED8BD5"/>
    <w:rsid w:val="461CDE46"/>
    <w:rsid w:val="467CE010"/>
    <w:rsid w:val="47D27B87"/>
    <w:rsid w:val="48940526"/>
    <w:rsid w:val="48C0798B"/>
    <w:rsid w:val="4932979D"/>
    <w:rsid w:val="4A153CBA"/>
    <w:rsid w:val="4A2062AD"/>
    <w:rsid w:val="4A2FD587"/>
    <w:rsid w:val="4C484353"/>
    <w:rsid w:val="4D840191"/>
    <w:rsid w:val="4ECBB9F4"/>
    <w:rsid w:val="4F04A630"/>
    <w:rsid w:val="4FA5F400"/>
    <w:rsid w:val="5042A56E"/>
    <w:rsid w:val="515B6FA9"/>
    <w:rsid w:val="53EA97F5"/>
    <w:rsid w:val="55249B65"/>
    <w:rsid w:val="55C0A7C0"/>
    <w:rsid w:val="563717C4"/>
    <w:rsid w:val="5B0568B4"/>
    <w:rsid w:val="5BEDA471"/>
    <w:rsid w:val="5EAB0F00"/>
    <w:rsid w:val="606D58E5"/>
    <w:rsid w:val="6172FD0E"/>
    <w:rsid w:val="61DFF0A2"/>
    <w:rsid w:val="67163ECA"/>
    <w:rsid w:val="675252A2"/>
    <w:rsid w:val="6AF22FF8"/>
    <w:rsid w:val="6C6593FC"/>
    <w:rsid w:val="6D7EEB9E"/>
    <w:rsid w:val="6ECCA652"/>
    <w:rsid w:val="6FBCE343"/>
    <w:rsid w:val="6FDB6F41"/>
    <w:rsid w:val="70C5CEF9"/>
    <w:rsid w:val="7158B3A4"/>
    <w:rsid w:val="715DBD9D"/>
    <w:rsid w:val="7246F2BC"/>
    <w:rsid w:val="731A072D"/>
    <w:rsid w:val="748CE4E4"/>
    <w:rsid w:val="77C485A6"/>
    <w:rsid w:val="77F91E29"/>
    <w:rsid w:val="7A7B34C6"/>
    <w:rsid w:val="7AA89E1F"/>
    <w:rsid w:val="7ADE73DA"/>
    <w:rsid w:val="7B0E9183"/>
    <w:rsid w:val="7E9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BC2389"/>
  <w15:chartTrackingRefBased/>
  <w15:docId w15:val="{0AC30582-E497-47D3-B17E-1B0A01A1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line="276" w:lineRule="auto"/>
        <w:ind w:left="45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509E"/>
    <w:pPr>
      <w:spacing w:after="0" w:line="240" w:lineRule="auto"/>
      <w:ind w:left="0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2509E"/>
    <w:pPr>
      <w:keepNext/>
      <w:keepLines/>
      <w:spacing w:before="480" w:after="360" w:line="276" w:lineRule="auto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509E"/>
    <w:pPr>
      <w:keepNext/>
      <w:keepLines/>
      <w:spacing w:before="480" w:after="240" w:line="276" w:lineRule="auto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324FD7"/>
    <w:pPr>
      <w:keepNext/>
      <w:keepLines/>
      <w:spacing w:before="240"/>
      <w:outlineLvl w:val="2"/>
    </w:pPr>
    <w:rPr>
      <w:rFonts w:eastAsiaTheme="majorEastAsia" w:cstheme="majorBidi"/>
      <w:b/>
      <w:color w:val="1F3763" w:themeColor="accent1" w:themeShade="7F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509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2509E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24FD7"/>
    <w:rPr>
      <w:rFonts w:ascii="Arial" w:eastAsiaTheme="majorEastAsia" w:hAnsi="Arial" w:cstheme="majorBidi"/>
      <w:b/>
      <w:color w:val="1F3763" w:themeColor="accent1" w:themeShade="7F"/>
      <w:sz w:val="28"/>
      <w:szCs w:val="24"/>
    </w:rPr>
  </w:style>
  <w:style w:type="paragraph" w:styleId="Zhlav">
    <w:name w:val="header"/>
    <w:basedOn w:val="Normln"/>
    <w:link w:val="ZhlavChar"/>
    <w:uiPriority w:val="99"/>
    <w:unhideWhenUsed/>
    <w:rsid w:val="00E250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09E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E250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09E"/>
    <w:rPr>
      <w:rFonts w:ascii="Arial" w:hAnsi="Arial"/>
    </w:rPr>
  </w:style>
  <w:style w:type="paragraph" w:styleId="Odstavecseseznamem">
    <w:name w:val="List Paragraph"/>
    <w:aliases w:val="List Paragraph (Czech Tourism),Odstavec cíl se seznamem,Odstavec se seznamem1,Odrážky 1,seznam písmena,Odstavec_muj,A-Odrážky1,Nad,_Odstavec se seznamem,Odstavec_muj1,Odstavec_muj2,Odstavec_muj3,Nad1,Odstavec_muj4"/>
    <w:basedOn w:val="Normln"/>
    <w:link w:val="OdstavecseseznamemChar"/>
    <w:uiPriority w:val="34"/>
    <w:qFormat/>
    <w:rsid w:val="00E2509E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 se seznamem1 Char,Odrážky 1 Char,seznam písmena Char,Odstavec_muj Char,A-Odrážky1 Char,Nad Char,_Odstavec se seznamem Char,Odstavec_muj1 Char,Nad1 Char"/>
    <w:link w:val="Odstavecseseznamem"/>
    <w:uiPriority w:val="34"/>
    <w:qFormat/>
    <w:locked/>
    <w:rsid w:val="004E507B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D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D1B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00B6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1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1F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paragraph">
    <w:name w:val="paragraph"/>
    <w:basedOn w:val="Normln"/>
    <w:rsid w:val="00CE772C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normaltextrun">
    <w:name w:val="normaltextrun"/>
    <w:basedOn w:val="Standardnpsmoodstavce"/>
    <w:rsid w:val="00CE772C"/>
  </w:style>
  <w:style w:type="character" w:customStyle="1" w:styleId="eop">
    <w:name w:val="eop"/>
    <w:basedOn w:val="Standardnpsmoodstavce"/>
    <w:rsid w:val="00CE772C"/>
  </w:style>
  <w:style w:type="character" w:customStyle="1" w:styleId="spellingerror">
    <w:name w:val="spellingerror"/>
    <w:basedOn w:val="Standardnpsmoodstavce"/>
    <w:rsid w:val="00CE772C"/>
  </w:style>
  <w:style w:type="character" w:styleId="Nevyeenzmnka">
    <w:name w:val="Unresolved Mention"/>
    <w:basedOn w:val="Standardnpsmoodstavce"/>
    <w:uiPriority w:val="99"/>
    <w:semiHidden/>
    <w:unhideWhenUsed/>
    <w:rsid w:val="004F4C5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D0E4E"/>
    <w:pPr>
      <w:spacing w:after="0" w:line="240" w:lineRule="auto"/>
      <w:ind w:left="0"/>
      <w:jc w:val="left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994cc56af5704e55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E49CA-8065-4F4A-B150-D06F034F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2900</Words>
  <Characters>17115</Characters>
  <Application>Microsoft Office Word</Application>
  <DocSecurity>0</DocSecurity>
  <Lines>142</Lines>
  <Paragraphs>39</Paragraphs>
  <ScaleCrop>false</ScaleCrop>
  <Company/>
  <LinksUpToDate>false</LinksUpToDate>
  <CharactersWithSpaces>19976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Kalika, Marek</dc:creator>
  <cp:keywords/>
  <dc:description/>
  <cp:lastModifiedBy>Martina HLAVÁČKOVÁ</cp:lastModifiedBy>
  <cp:revision>138</cp:revision>
  <dcterms:created xsi:type="dcterms:W3CDTF">2022-12-06T06:33:00Z</dcterms:created>
  <dcterms:modified xsi:type="dcterms:W3CDTF">2022-12-30T10:28:00Z</dcterms:modified>
</cp:coreProperties>
</file>