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4D4D" w14:textId="098DECC0" w:rsidR="00B057A2" w:rsidRPr="001A49D7" w:rsidRDefault="00B057A2" w:rsidP="00B057A2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caps/>
          <w:lang w:eastAsia="cs-CZ"/>
        </w:rPr>
      </w:pPr>
      <w:bookmarkStart w:id="0" w:name="_GoBack"/>
      <w:bookmarkEnd w:id="0"/>
      <w:r w:rsidRPr="001A49D7">
        <w:rPr>
          <w:rFonts w:ascii="Times New Roman" w:eastAsia="Times New Roman" w:hAnsi="Times New Roman" w:cs="Times New Roman"/>
          <w:b/>
          <w:caps/>
          <w:lang w:eastAsia="cs-CZ"/>
        </w:rPr>
        <w:t>Příloha č.</w:t>
      </w:r>
      <w:r>
        <w:rPr>
          <w:rFonts w:ascii="Times New Roman" w:eastAsia="Times New Roman" w:hAnsi="Times New Roman" w:cs="Times New Roman"/>
          <w:b/>
          <w:caps/>
          <w:lang w:eastAsia="cs-CZ"/>
        </w:rPr>
        <w:t xml:space="preserve"> 1 smlouvy O </w:t>
      </w:r>
      <w:r w:rsidR="00DD2BDC">
        <w:rPr>
          <w:rFonts w:ascii="Times New Roman" w:eastAsia="Times New Roman" w:hAnsi="Times New Roman" w:cs="Times New Roman"/>
          <w:b/>
          <w:caps/>
          <w:lang w:eastAsia="cs-CZ"/>
        </w:rPr>
        <w:t>SPOLUPRÁCI</w:t>
      </w:r>
      <w:r>
        <w:rPr>
          <w:rFonts w:ascii="Times New Roman" w:eastAsia="Times New Roman" w:hAnsi="Times New Roman" w:cs="Times New Roman"/>
          <w:b/>
          <w:caps/>
          <w:lang w:eastAsia="cs-CZ"/>
        </w:rPr>
        <w:br/>
      </w:r>
      <w:r w:rsidRPr="001A49D7">
        <w:rPr>
          <w:rFonts w:ascii="Times New Roman" w:eastAsia="Times New Roman" w:hAnsi="Times New Roman" w:cs="Times New Roman"/>
          <w:b/>
          <w:caps/>
          <w:lang w:eastAsia="cs-CZ"/>
        </w:rPr>
        <w:t>PŘI VYDÁVÁNÍ KARET LÍTAČKA</w:t>
      </w:r>
    </w:p>
    <w:p w14:paraId="420644C0" w14:textId="77777777" w:rsidR="00B057A2" w:rsidRDefault="00B057A2" w:rsidP="001A49D7">
      <w:pPr>
        <w:spacing w:before="120"/>
        <w:jc w:val="both"/>
      </w:pPr>
    </w:p>
    <w:p w14:paraId="78A66A78" w14:textId="5FFD7D51" w:rsidR="008C4FC6" w:rsidRPr="001A49D7" w:rsidRDefault="008C4FC6" w:rsidP="001A49D7">
      <w:pPr>
        <w:pStyle w:val="Nadpis1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>Lokace Kontaktních míst</w:t>
      </w:r>
    </w:p>
    <w:p w14:paraId="234F7B67" w14:textId="7404B071" w:rsidR="008C4FC6" w:rsidRPr="001A49D7" w:rsidRDefault="008C4FC6" w:rsidP="001A49D7">
      <w:pPr>
        <w:pStyle w:val="Nadpis2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 xml:space="preserve">Služby Kontaktního místa budou klientům </w:t>
      </w:r>
      <w:r w:rsidR="00DD2BDC">
        <w:rPr>
          <w:szCs w:val="22"/>
          <w:lang w:val="cs-CZ"/>
        </w:rPr>
        <w:t>OICT ze strany MKP</w:t>
      </w:r>
      <w:r w:rsidRPr="001A49D7">
        <w:rPr>
          <w:szCs w:val="22"/>
          <w:lang w:val="cs-CZ"/>
        </w:rPr>
        <w:t xml:space="preserve"> poskytovány v prostorách Ústřední knihovny </w:t>
      </w:r>
      <w:r w:rsidR="00DD2BDC">
        <w:rPr>
          <w:szCs w:val="22"/>
          <w:lang w:val="cs-CZ"/>
        </w:rPr>
        <w:t>MKP</w:t>
      </w:r>
      <w:r w:rsidR="00DD2BDC" w:rsidRPr="001A49D7">
        <w:rPr>
          <w:szCs w:val="22"/>
          <w:lang w:val="cs-CZ"/>
        </w:rPr>
        <w:t xml:space="preserve"> </w:t>
      </w:r>
      <w:r w:rsidRPr="001A49D7">
        <w:rPr>
          <w:szCs w:val="22"/>
          <w:lang w:val="cs-CZ"/>
        </w:rPr>
        <w:t>na adrese Mariánské nám. 1, Praha</w:t>
      </w:r>
      <w:r w:rsidR="007A536A" w:rsidRPr="001A49D7">
        <w:rPr>
          <w:szCs w:val="22"/>
          <w:lang w:val="cs-CZ"/>
        </w:rPr>
        <w:t xml:space="preserve"> v budově č. p. 98, která je součástí pozemku p. č. 37, v katastrálním území Staré Město</w:t>
      </w:r>
      <w:r w:rsidRPr="001A49D7">
        <w:rPr>
          <w:szCs w:val="22"/>
          <w:lang w:val="cs-CZ"/>
        </w:rPr>
        <w:t xml:space="preserve"> (dále jen „</w:t>
      </w:r>
      <w:r w:rsidRPr="001A49D7">
        <w:rPr>
          <w:b/>
          <w:i/>
          <w:szCs w:val="22"/>
          <w:lang w:val="cs-CZ"/>
        </w:rPr>
        <w:t>Ústřední knihovna</w:t>
      </w:r>
      <w:r w:rsidRPr="001A49D7">
        <w:rPr>
          <w:szCs w:val="22"/>
          <w:lang w:val="cs-CZ"/>
        </w:rPr>
        <w:t>“).</w:t>
      </w:r>
    </w:p>
    <w:p w14:paraId="3B3DD0FF" w14:textId="517C4A82" w:rsidR="008C4FC6" w:rsidRPr="001A49D7" w:rsidRDefault="008C4FC6" w:rsidP="001A49D7">
      <w:pPr>
        <w:pStyle w:val="Nadpis2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 xml:space="preserve">Služby Kontaktního místa budou klientům </w:t>
      </w:r>
      <w:r w:rsidR="00DD2BDC">
        <w:rPr>
          <w:szCs w:val="22"/>
          <w:lang w:val="cs-CZ"/>
        </w:rPr>
        <w:t xml:space="preserve">OICT ze strany MKP </w:t>
      </w:r>
      <w:r w:rsidRPr="001A49D7">
        <w:rPr>
          <w:szCs w:val="22"/>
          <w:lang w:val="cs-CZ"/>
        </w:rPr>
        <w:t xml:space="preserve">rovněž poskytovány v  následujících pobočkách </w:t>
      </w:r>
      <w:r w:rsidR="00DD2BDC">
        <w:rPr>
          <w:szCs w:val="22"/>
          <w:lang w:val="cs-CZ"/>
        </w:rPr>
        <w:t>MKP</w:t>
      </w:r>
      <w:r w:rsidR="002908AC" w:rsidRPr="001A49D7">
        <w:rPr>
          <w:szCs w:val="22"/>
          <w:lang w:val="cs-CZ"/>
        </w:rPr>
        <w:t>:</w:t>
      </w:r>
    </w:p>
    <w:p w14:paraId="4D87916A" w14:textId="77777777" w:rsidR="008C4FC6" w:rsidRPr="001A49D7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>v pobočce Bohnice nacházející se na adrese Těšínská 4, Praha 8</w:t>
      </w:r>
      <w:r w:rsidR="00391ECB" w:rsidRPr="001A49D7">
        <w:rPr>
          <w:szCs w:val="22"/>
          <w:lang w:val="cs-CZ"/>
        </w:rPr>
        <w:t>, v budově č. p. 600, která je součástí pozemku p. č. 1307/4, v katastrálním území Troja;</w:t>
      </w:r>
    </w:p>
    <w:p w14:paraId="64E273FC" w14:textId="39F7E305" w:rsidR="00391ECB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Břevnov nacházející se na adrese Bělohorská 56, Praha 6</w:t>
      </w:r>
      <w:r w:rsidR="00391ECB" w:rsidRPr="00695302">
        <w:rPr>
          <w:szCs w:val="22"/>
          <w:lang w:val="cs-CZ"/>
        </w:rPr>
        <w:t>, v jednotce č. 1667/403, vymezené v budově č. p. 1665, 1666 1667, stojící na pozemcích p. č. 913, 914, 915, v katastrálním území Břevnov;</w:t>
      </w:r>
    </w:p>
    <w:p w14:paraId="5E887AA3" w14:textId="77777777" w:rsidR="008C4FC6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Dejvice nacházející se na adrese</w:t>
      </w:r>
      <w:r w:rsidRPr="00695302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695302">
        <w:rPr>
          <w:szCs w:val="22"/>
          <w:lang w:val="cs-CZ"/>
        </w:rPr>
        <w:t>Technická 6, Praha 6</w:t>
      </w:r>
      <w:r w:rsidR="00391ECB" w:rsidRPr="00695302">
        <w:rPr>
          <w:szCs w:val="22"/>
          <w:lang w:val="cs-CZ"/>
        </w:rPr>
        <w:t>, v budově č. p. 2710, která je součástí pozemku p. č. 591/9, v katastrálním území Dejvice;</w:t>
      </w:r>
    </w:p>
    <w:p w14:paraId="34D5B53A" w14:textId="77777777" w:rsidR="008C4FC6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Korunní nacházející se na adrese</w:t>
      </w:r>
      <w:r w:rsidRPr="00695302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695302">
        <w:rPr>
          <w:szCs w:val="22"/>
          <w:lang w:val="cs-CZ"/>
        </w:rPr>
        <w:t>Korunní 68, Praha 10</w:t>
      </w:r>
      <w:r w:rsidR="00391ECB" w:rsidRPr="00695302">
        <w:rPr>
          <w:szCs w:val="22"/>
          <w:lang w:val="cs-CZ"/>
        </w:rPr>
        <w:t>, v budově č. p. 2160, která je součástí pozemku p. č. 2809, v katastrálním území Vinohrady;</w:t>
      </w:r>
    </w:p>
    <w:p w14:paraId="05964F23" w14:textId="5EAE2885" w:rsidR="008C4FC6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Ládví nacházející se na adrese</w:t>
      </w:r>
      <w:r w:rsidRPr="00695302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695302">
        <w:rPr>
          <w:szCs w:val="22"/>
          <w:lang w:val="cs-CZ"/>
        </w:rPr>
        <w:t>Burešova 2, Praha 8</w:t>
      </w:r>
      <w:r w:rsidR="00391ECB" w:rsidRPr="00695302">
        <w:rPr>
          <w:szCs w:val="22"/>
          <w:lang w:val="cs-CZ"/>
        </w:rPr>
        <w:t xml:space="preserve">, v budově č. p. </w:t>
      </w:r>
      <w:r w:rsidR="007A536A" w:rsidRPr="00695302">
        <w:rPr>
          <w:szCs w:val="22"/>
          <w:lang w:val="cs-CZ"/>
        </w:rPr>
        <w:t>1661</w:t>
      </w:r>
      <w:r w:rsidR="00391ECB" w:rsidRPr="00695302">
        <w:rPr>
          <w:szCs w:val="22"/>
          <w:lang w:val="cs-CZ"/>
        </w:rPr>
        <w:t xml:space="preserve">, která je součástí pozemku p. č. </w:t>
      </w:r>
      <w:r w:rsidR="007A536A" w:rsidRPr="00695302">
        <w:rPr>
          <w:szCs w:val="22"/>
          <w:lang w:val="cs-CZ"/>
        </w:rPr>
        <w:t>2364/200</w:t>
      </w:r>
      <w:r w:rsidR="00391ECB" w:rsidRPr="00695302">
        <w:rPr>
          <w:szCs w:val="22"/>
          <w:lang w:val="cs-CZ"/>
        </w:rPr>
        <w:t xml:space="preserve">, v katastrálním území </w:t>
      </w:r>
      <w:r w:rsidR="00670CDE" w:rsidRPr="00695302">
        <w:rPr>
          <w:szCs w:val="22"/>
          <w:lang w:val="cs-CZ"/>
        </w:rPr>
        <w:t>Kobylisy</w:t>
      </w:r>
      <w:r w:rsidR="00391ECB" w:rsidRPr="00695302">
        <w:rPr>
          <w:szCs w:val="22"/>
          <w:lang w:val="cs-CZ"/>
        </w:rPr>
        <w:t>;</w:t>
      </w:r>
    </w:p>
    <w:p w14:paraId="726695C1" w14:textId="55E55BA2" w:rsidR="008C4FC6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Novodvorská nacházející se na adrese</w:t>
      </w:r>
      <w:r w:rsidRPr="00695302">
        <w:rPr>
          <w:rFonts w:asciiTheme="minorHAnsi" w:eastAsia="Calibri" w:hAnsiTheme="minorHAnsi" w:cs="Calibri"/>
          <w:color w:val="000000"/>
          <w:szCs w:val="22"/>
          <w:lang w:val="cs-CZ"/>
        </w:rPr>
        <w:t xml:space="preserve"> </w:t>
      </w:r>
      <w:r w:rsidRPr="00695302">
        <w:rPr>
          <w:szCs w:val="22"/>
          <w:lang w:val="cs-CZ"/>
        </w:rPr>
        <w:t>Novodvorská 151/1013</w:t>
      </w:r>
      <w:r w:rsidR="00391ECB" w:rsidRPr="00695302">
        <w:rPr>
          <w:szCs w:val="22"/>
          <w:lang w:val="cs-CZ"/>
        </w:rPr>
        <w:t xml:space="preserve">, v budově č. p. </w:t>
      </w:r>
      <w:r w:rsidR="00281E36">
        <w:rPr>
          <w:szCs w:val="22"/>
          <w:lang w:val="cs-CZ"/>
        </w:rPr>
        <w:t>1013</w:t>
      </w:r>
      <w:r w:rsidR="00391ECB" w:rsidRPr="00695302">
        <w:rPr>
          <w:szCs w:val="22"/>
          <w:lang w:val="cs-CZ"/>
        </w:rPr>
        <w:t xml:space="preserve">, která je součástí pozemku p. č. </w:t>
      </w:r>
      <w:r w:rsidR="00695302" w:rsidRPr="00695302">
        <w:rPr>
          <w:szCs w:val="22"/>
          <w:lang w:val="cs-CZ"/>
        </w:rPr>
        <w:t>140/55</w:t>
      </w:r>
      <w:r w:rsidR="00391ECB" w:rsidRPr="00695302">
        <w:rPr>
          <w:szCs w:val="22"/>
          <w:lang w:val="cs-CZ"/>
        </w:rPr>
        <w:t xml:space="preserve">, v katastrálním území </w:t>
      </w:r>
      <w:r w:rsidR="00670CDE" w:rsidRPr="00695302">
        <w:rPr>
          <w:szCs w:val="22"/>
          <w:lang w:val="cs-CZ"/>
        </w:rPr>
        <w:t>Lhotka</w:t>
      </w:r>
      <w:r w:rsidR="00391ECB" w:rsidRPr="00695302">
        <w:rPr>
          <w:szCs w:val="22"/>
          <w:lang w:val="cs-CZ"/>
        </w:rPr>
        <w:t>;</w:t>
      </w:r>
    </w:p>
    <w:p w14:paraId="648BF51D" w14:textId="77777777" w:rsidR="008C4FC6" w:rsidRPr="00CB5A86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Opatov nacházející se na adrese</w:t>
      </w:r>
      <w:r w:rsidRPr="00CB5A86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CB5A86">
        <w:rPr>
          <w:szCs w:val="22"/>
          <w:lang w:val="cs-CZ"/>
        </w:rPr>
        <w:t>Opatovská 14, Praha 11</w:t>
      </w:r>
      <w:r w:rsidR="00391ECB" w:rsidRPr="00CB5A86">
        <w:rPr>
          <w:szCs w:val="22"/>
          <w:lang w:val="cs-CZ"/>
        </w:rPr>
        <w:t xml:space="preserve">, v budově č. p. </w:t>
      </w:r>
      <w:r w:rsidR="007A536A" w:rsidRPr="00CB5A86">
        <w:rPr>
          <w:szCs w:val="22"/>
          <w:lang w:val="cs-CZ"/>
        </w:rPr>
        <w:t>1754</w:t>
      </w:r>
      <w:r w:rsidR="00391ECB" w:rsidRPr="00CB5A86">
        <w:rPr>
          <w:szCs w:val="22"/>
          <w:lang w:val="cs-CZ"/>
        </w:rPr>
        <w:t xml:space="preserve">, která je součástí pozemku p. č. </w:t>
      </w:r>
      <w:r w:rsidR="007A536A" w:rsidRPr="00CB5A86">
        <w:rPr>
          <w:szCs w:val="22"/>
          <w:lang w:val="cs-CZ"/>
        </w:rPr>
        <w:t>2014/88</w:t>
      </w:r>
      <w:r w:rsidR="00391ECB" w:rsidRPr="00CB5A86">
        <w:rPr>
          <w:szCs w:val="22"/>
          <w:lang w:val="cs-CZ"/>
        </w:rPr>
        <w:t xml:space="preserve">, v katastrálním území </w:t>
      </w:r>
      <w:r w:rsidR="007A536A" w:rsidRPr="00CB5A86">
        <w:rPr>
          <w:szCs w:val="22"/>
          <w:lang w:val="cs-CZ"/>
        </w:rPr>
        <w:t>Chodov</w:t>
      </w:r>
      <w:r w:rsidR="00391ECB" w:rsidRPr="00CB5A86">
        <w:rPr>
          <w:szCs w:val="22"/>
          <w:lang w:val="cs-CZ"/>
        </w:rPr>
        <w:t>;</w:t>
      </w:r>
    </w:p>
    <w:p w14:paraId="684737DE" w14:textId="77777777" w:rsidR="008C4FC6" w:rsidRPr="00CB5A86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CB5A86">
        <w:rPr>
          <w:szCs w:val="22"/>
          <w:lang w:val="cs-CZ"/>
        </w:rPr>
        <w:t>v pobočce Prosek nacházející se na adrese Měšická 3/806, Praha 9</w:t>
      </w:r>
      <w:r w:rsidR="00391ECB" w:rsidRPr="00CB5A86">
        <w:rPr>
          <w:szCs w:val="22"/>
          <w:lang w:val="cs-CZ"/>
        </w:rPr>
        <w:t xml:space="preserve">, v budově č. p. </w:t>
      </w:r>
      <w:r w:rsidR="007A536A" w:rsidRPr="00CB5A86">
        <w:rPr>
          <w:szCs w:val="22"/>
          <w:lang w:val="cs-CZ"/>
        </w:rPr>
        <w:t>806</w:t>
      </w:r>
      <w:r w:rsidR="00391ECB" w:rsidRPr="00CB5A86">
        <w:rPr>
          <w:szCs w:val="22"/>
          <w:lang w:val="cs-CZ"/>
        </w:rPr>
        <w:t xml:space="preserve">, která je součástí pozemku p. č. </w:t>
      </w:r>
      <w:r w:rsidR="007A536A" w:rsidRPr="00CB5A86">
        <w:rPr>
          <w:szCs w:val="22"/>
          <w:lang w:val="cs-CZ"/>
        </w:rPr>
        <w:t>1223/2</w:t>
      </w:r>
      <w:r w:rsidR="00391ECB" w:rsidRPr="00CB5A86">
        <w:rPr>
          <w:szCs w:val="22"/>
          <w:lang w:val="cs-CZ"/>
        </w:rPr>
        <w:t xml:space="preserve">, v katastrálním území </w:t>
      </w:r>
      <w:r w:rsidR="007A536A" w:rsidRPr="00CB5A86">
        <w:rPr>
          <w:szCs w:val="22"/>
          <w:lang w:val="cs-CZ"/>
        </w:rPr>
        <w:t>Prosek</w:t>
      </w:r>
      <w:r w:rsidR="00391ECB" w:rsidRPr="00CB5A86">
        <w:rPr>
          <w:szCs w:val="22"/>
          <w:lang w:val="cs-CZ"/>
        </w:rPr>
        <w:t>;</w:t>
      </w:r>
    </w:p>
    <w:p w14:paraId="0F3733CA" w14:textId="30F99EBA" w:rsidR="008C4FC6" w:rsidRPr="00695302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695302">
        <w:rPr>
          <w:szCs w:val="22"/>
          <w:lang w:val="cs-CZ"/>
        </w:rPr>
        <w:t>v pobočce Sedmička nacházející se na adrese</w:t>
      </w:r>
      <w:r w:rsidRPr="00695302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695302">
        <w:rPr>
          <w:szCs w:val="22"/>
          <w:lang w:val="cs-CZ"/>
        </w:rPr>
        <w:t>Tusarova 429/35, Praha 7</w:t>
      </w:r>
      <w:r w:rsidR="00391ECB" w:rsidRPr="00695302">
        <w:rPr>
          <w:szCs w:val="22"/>
          <w:lang w:val="cs-CZ"/>
        </w:rPr>
        <w:t xml:space="preserve">, </w:t>
      </w:r>
      <w:r w:rsidR="007A536A" w:rsidRPr="00695302">
        <w:rPr>
          <w:szCs w:val="22"/>
          <w:lang w:val="cs-CZ"/>
        </w:rPr>
        <w:t>v jednotce č. 429/101, vymezené v budově č. p. 429, stojící na pozemku p. č. 1027, v katastrálním území Holešovice</w:t>
      </w:r>
      <w:r w:rsidR="00391ECB" w:rsidRPr="00695302">
        <w:rPr>
          <w:szCs w:val="22"/>
          <w:lang w:val="cs-CZ"/>
        </w:rPr>
        <w:t>; a</w:t>
      </w:r>
    </w:p>
    <w:p w14:paraId="53CA94B0" w14:textId="77777777" w:rsidR="007A536A" w:rsidRPr="001A49D7" w:rsidRDefault="008C4FC6" w:rsidP="001A49D7">
      <w:pPr>
        <w:pStyle w:val="Nadpis3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>v pobočce Smíchov nacházející se na adrese</w:t>
      </w:r>
      <w:r w:rsidRPr="001A49D7">
        <w:rPr>
          <w:rFonts w:asciiTheme="minorHAnsi" w:eastAsia="Arial" w:hAnsiTheme="minorHAnsi" w:cs="Arial"/>
          <w:color w:val="000000"/>
          <w:szCs w:val="22"/>
          <w:lang w:val="cs-CZ"/>
        </w:rPr>
        <w:t xml:space="preserve"> </w:t>
      </w:r>
      <w:r w:rsidRPr="001A49D7">
        <w:rPr>
          <w:szCs w:val="22"/>
          <w:lang w:val="cs-CZ"/>
        </w:rPr>
        <w:t>Nám. 14. října 15, Praha 5</w:t>
      </w:r>
      <w:r w:rsidR="007A536A" w:rsidRPr="001A49D7">
        <w:rPr>
          <w:szCs w:val="22"/>
          <w:lang w:val="cs-CZ"/>
        </w:rPr>
        <w:t>, v budově č. p. 83, která je součástí pozemku p. č. 22, v katastrálním území Smíchov</w:t>
      </w:r>
    </w:p>
    <w:p w14:paraId="1DB708A5" w14:textId="77777777" w:rsidR="008C4FC6" w:rsidRPr="001A49D7" w:rsidRDefault="008C4FC6" w:rsidP="00171169">
      <w:pPr>
        <w:pStyle w:val="Nadpis3"/>
        <w:numPr>
          <w:ilvl w:val="0"/>
          <w:numId w:val="0"/>
        </w:numPr>
        <w:spacing w:before="120"/>
        <w:ind w:left="720" w:hanging="12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>(dále jen „</w:t>
      </w:r>
      <w:r w:rsidRPr="001A49D7">
        <w:rPr>
          <w:b/>
          <w:i/>
          <w:szCs w:val="22"/>
          <w:lang w:val="cs-CZ"/>
        </w:rPr>
        <w:t>Pobočky</w:t>
      </w:r>
      <w:r w:rsidRPr="001A49D7">
        <w:rPr>
          <w:szCs w:val="22"/>
          <w:lang w:val="cs-CZ"/>
        </w:rPr>
        <w:t>“)</w:t>
      </w:r>
      <w:r w:rsidR="002908AC" w:rsidRPr="001A49D7">
        <w:rPr>
          <w:szCs w:val="22"/>
          <w:lang w:val="cs-CZ"/>
        </w:rPr>
        <w:t>.</w:t>
      </w:r>
    </w:p>
    <w:p w14:paraId="11D35A37" w14:textId="4AC592D7" w:rsidR="008C4FC6" w:rsidRPr="001A49D7" w:rsidRDefault="008C4FC6" w:rsidP="001A49D7">
      <w:pPr>
        <w:pStyle w:val="Nadpis1"/>
        <w:spacing w:before="120"/>
        <w:jc w:val="both"/>
        <w:rPr>
          <w:szCs w:val="22"/>
          <w:lang w:val="cs-CZ"/>
        </w:rPr>
      </w:pPr>
      <w:r w:rsidRPr="001A49D7">
        <w:rPr>
          <w:szCs w:val="22"/>
          <w:lang w:val="cs-CZ"/>
        </w:rPr>
        <w:t>Otevírací doba Kontaktních míst</w:t>
      </w:r>
    </w:p>
    <w:p w14:paraId="34226195" w14:textId="28E03A59" w:rsidR="000A7C5D" w:rsidRDefault="000A7C5D" w:rsidP="000A7C5D">
      <w:pPr>
        <w:pStyle w:val="Nadpis2"/>
        <w:numPr>
          <w:ilvl w:val="0"/>
          <w:numId w:val="0"/>
        </w:numPr>
        <w:spacing w:before="120"/>
        <w:ind w:left="57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Otevírací doba Kontaktních míst se shoduje s otevírací dobou </w:t>
      </w:r>
      <w:r w:rsidR="00A90C95">
        <w:rPr>
          <w:szCs w:val="22"/>
          <w:lang w:val="cs-CZ"/>
        </w:rPr>
        <w:t xml:space="preserve">Ústřední knihovny a Poboček </w:t>
      </w:r>
      <w:r>
        <w:rPr>
          <w:szCs w:val="22"/>
          <w:lang w:val="cs-CZ"/>
        </w:rPr>
        <w:t xml:space="preserve">a je sdělována veřejnosti mimo jiné na internetových stránkách </w:t>
      </w:r>
      <w:r w:rsidR="00DD2BDC">
        <w:rPr>
          <w:szCs w:val="22"/>
          <w:lang w:val="cs-CZ"/>
        </w:rPr>
        <w:t>MKP</w:t>
      </w:r>
      <w:r>
        <w:rPr>
          <w:szCs w:val="22"/>
          <w:lang w:val="cs-CZ"/>
        </w:rPr>
        <w:t xml:space="preserve">: </w:t>
      </w:r>
      <w:hyperlink r:id="rId8" w:history="1">
        <w:r w:rsidRPr="001F15F1">
          <w:rPr>
            <w:rStyle w:val="Hypertextovodkaz"/>
            <w:szCs w:val="22"/>
            <w:lang w:val="cs-CZ"/>
          </w:rPr>
          <w:t>https://www.mlp.cz/cz/kontakty/pobocky/</w:t>
        </w:r>
      </w:hyperlink>
    </w:p>
    <w:p w14:paraId="7B5BA03C" w14:textId="3D463E4C" w:rsidR="000A7C5D" w:rsidRDefault="000A7C5D" w:rsidP="000A7C5D">
      <w:pPr>
        <w:pStyle w:val="Nadpis2"/>
        <w:numPr>
          <w:ilvl w:val="0"/>
          <w:numId w:val="0"/>
        </w:numPr>
        <w:spacing w:before="120"/>
        <w:ind w:left="57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Pokud </w:t>
      </w:r>
      <w:r w:rsidR="004904A2">
        <w:rPr>
          <w:szCs w:val="22"/>
          <w:lang w:val="cs-CZ"/>
        </w:rPr>
        <w:t xml:space="preserve">dojde k mimořádnému uzavření pobočky MKP (Kontaktního místa) </w:t>
      </w:r>
      <w:r w:rsidR="00DD2BDC">
        <w:rPr>
          <w:szCs w:val="22"/>
          <w:lang w:val="cs-CZ"/>
        </w:rPr>
        <w:t xml:space="preserve">MKP </w:t>
      </w:r>
      <w:r w:rsidR="004904A2">
        <w:rPr>
          <w:szCs w:val="22"/>
          <w:lang w:val="cs-CZ"/>
        </w:rPr>
        <w:t xml:space="preserve">o tom neprodleně informuje </w:t>
      </w:r>
      <w:r w:rsidR="00DD2BDC">
        <w:rPr>
          <w:szCs w:val="22"/>
          <w:lang w:val="cs-CZ"/>
        </w:rPr>
        <w:t>OICT</w:t>
      </w:r>
      <w:r w:rsidR="004904A2">
        <w:rPr>
          <w:szCs w:val="22"/>
          <w:lang w:val="cs-CZ"/>
        </w:rPr>
        <w:t>.</w:t>
      </w:r>
    </w:p>
    <w:p w14:paraId="7B2D23E7" w14:textId="77777777" w:rsidR="000A7C5D" w:rsidRDefault="000A7C5D" w:rsidP="005D3619">
      <w:pPr>
        <w:pStyle w:val="Nadpis2"/>
        <w:numPr>
          <w:ilvl w:val="0"/>
          <w:numId w:val="0"/>
        </w:numPr>
        <w:spacing w:before="120"/>
        <w:ind w:left="576" w:hanging="576"/>
        <w:jc w:val="both"/>
        <w:rPr>
          <w:szCs w:val="22"/>
          <w:lang w:val="cs-CZ"/>
        </w:rPr>
      </w:pPr>
    </w:p>
    <w:p w14:paraId="5FD7F70A" w14:textId="77777777" w:rsidR="000A7C5D" w:rsidRDefault="000A7C5D" w:rsidP="00B057A2">
      <w:pPr>
        <w:pStyle w:val="Nadpis2"/>
        <w:numPr>
          <w:ilvl w:val="0"/>
          <w:numId w:val="0"/>
        </w:numPr>
        <w:spacing w:before="120"/>
        <w:ind w:left="576"/>
        <w:jc w:val="right"/>
        <w:rPr>
          <w:szCs w:val="22"/>
          <w:lang w:val="cs-CZ"/>
        </w:rPr>
      </w:pPr>
    </w:p>
    <w:p w14:paraId="312CDBF2" w14:textId="77777777" w:rsidR="00F57A0D" w:rsidRPr="00695302" w:rsidRDefault="00F57A0D" w:rsidP="00F57A0D">
      <w:pPr>
        <w:pStyle w:val="Nadpis3"/>
        <w:numPr>
          <w:ilvl w:val="0"/>
          <w:numId w:val="0"/>
        </w:numPr>
        <w:spacing w:before="120"/>
        <w:ind w:left="720"/>
        <w:rPr>
          <w:lang w:val="cs-CZ"/>
        </w:rPr>
      </w:pPr>
    </w:p>
    <w:sectPr w:rsidR="00F57A0D" w:rsidRPr="006953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E9900" w14:textId="77777777" w:rsidR="009C3EA8" w:rsidRDefault="009C3EA8" w:rsidP="001A49D7">
      <w:pPr>
        <w:spacing w:after="0" w:line="240" w:lineRule="auto"/>
      </w:pPr>
      <w:r>
        <w:separator/>
      </w:r>
    </w:p>
  </w:endnote>
  <w:endnote w:type="continuationSeparator" w:id="0">
    <w:p w14:paraId="70E6C1A4" w14:textId="77777777" w:rsidR="009C3EA8" w:rsidRDefault="009C3EA8" w:rsidP="001A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F137" w14:textId="77777777" w:rsidR="008C0823" w:rsidRPr="008C0823" w:rsidRDefault="008C0823" w:rsidP="008C082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Helvetica"/>
        <w:sz w:val="24"/>
        <w:szCs w:val="20"/>
        <w:lang w:eastAsia="cs-CZ"/>
      </w:rPr>
    </w:pPr>
    <w:r w:rsidRPr="008C0823">
      <w:rPr>
        <w:rFonts w:ascii="Times New Roman" w:eastAsia="Times New Roman" w:hAnsi="Times New Roman" w:cs="Helvetica"/>
        <w:szCs w:val="20"/>
        <w:lang w:eastAsia="cs-CZ"/>
      </w:rPr>
      <w:t xml:space="preserve">Stránka </w: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begin"/>
    </w:r>
    <w:r w:rsidRPr="008C0823">
      <w:rPr>
        <w:rFonts w:ascii="Times New Roman" w:eastAsia="Times New Roman" w:hAnsi="Times New Roman" w:cs="Helvetica"/>
        <w:szCs w:val="20"/>
        <w:lang w:eastAsia="cs-CZ"/>
      </w:rPr>
      <w:instrText xml:space="preserve"> PAGE </w:instrTex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separate"/>
    </w:r>
    <w:r w:rsidR="00415DBE">
      <w:rPr>
        <w:rFonts w:ascii="Times New Roman" w:eastAsia="Times New Roman" w:hAnsi="Times New Roman" w:cs="Helvetica"/>
        <w:noProof/>
        <w:szCs w:val="20"/>
        <w:lang w:eastAsia="cs-CZ"/>
      </w:rPr>
      <w:t>1</w: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end"/>
    </w:r>
    <w:r w:rsidRPr="008C0823">
      <w:rPr>
        <w:rFonts w:ascii="Times New Roman" w:eastAsia="Times New Roman" w:hAnsi="Times New Roman" w:cs="Helvetica"/>
        <w:szCs w:val="20"/>
        <w:lang w:eastAsia="cs-CZ"/>
      </w:rPr>
      <w:t xml:space="preserve"> z </w: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begin"/>
    </w:r>
    <w:r w:rsidRPr="008C0823">
      <w:rPr>
        <w:rFonts w:ascii="Times New Roman" w:eastAsia="Times New Roman" w:hAnsi="Times New Roman" w:cs="Helvetica"/>
        <w:szCs w:val="20"/>
        <w:lang w:eastAsia="cs-CZ"/>
      </w:rPr>
      <w:instrText xml:space="preserve"> NUMPAGES \*Arabic </w:instrTex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separate"/>
    </w:r>
    <w:r w:rsidR="00415DBE">
      <w:rPr>
        <w:rFonts w:ascii="Times New Roman" w:eastAsia="Times New Roman" w:hAnsi="Times New Roman" w:cs="Helvetica"/>
        <w:noProof/>
        <w:szCs w:val="20"/>
        <w:lang w:eastAsia="cs-CZ"/>
      </w:rPr>
      <w:t>1</w:t>
    </w:r>
    <w:r w:rsidRPr="008C0823">
      <w:rPr>
        <w:rFonts w:ascii="Times New Roman" w:eastAsia="Times New Roman" w:hAnsi="Times New Roman" w:cs="Helvetica"/>
        <w:szCs w:val="20"/>
        <w:lang w:eastAsia="cs-CZ"/>
      </w:rPr>
      <w:fldChar w:fldCharType="end"/>
    </w:r>
  </w:p>
  <w:p w14:paraId="0D86A070" w14:textId="77777777" w:rsidR="00366F86" w:rsidRDefault="00366F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B5A16" w14:textId="77777777" w:rsidR="009C3EA8" w:rsidRDefault="009C3EA8" w:rsidP="001A49D7">
      <w:pPr>
        <w:spacing w:after="0" w:line="240" w:lineRule="auto"/>
      </w:pPr>
      <w:r>
        <w:separator/>
      </w:r>
    </w:p>
  </w:footnote>
  <w:footnote w:type="continuationSeparator" w:id="0">
    <w:p w14:paraId="0F8FA254" w14:textId="77777777" w:rsidR="009C3EA8" w:rsidRDefault="009C3EA8" w:rsidP="001A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0D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6060C1E"/>
    <w:multiLevelType w:val="multilevel"/>
    <w:tmpl w:val="F778455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63"/>
    <w:rsid w:val="000A7C5D"/>
    <w:rsid w:val="000B2E6B"/>
    <w:rsid w:val="00171169"/>
    <w:rsid w:val="001A49D7"/>
    <w:rsid w:val="00237904"/>
    <w:rsid w:val="00281E36"/>
    <w:rsid w:val="002908AC"/>
    <w:rsid w:val="002912B3"/>
    <w:rsid w:val="0033213A"/>
    <w:rsid w:val="0034533A"/>
    <w:rsid w:val="00366F86"/>
    <w:rsid w:val="00372EB3"/>
    <w:rsid w:val="00391ECB"/>
    <w:rsid w:val="00415DBE"/>
    <w:rsid w:val="004904A2"/>
    <w:rsid w:val="004C3363"/>
    <w:rsid w:val="004D6301"/>
    <w:rsid w:val="00546457"/>
    <w:rsid w:val="0057269E"/>
    <w:rsid w:val="005970D9"/>
    <w:rsid w:val="005D3619"/>
    <w:rsid w:val="00612973"/>
    <w:rsid w:val="00670CDE"/>
    <w:rsid w:val="00695302"/>
    <w:rsid w:val="006C45E8"/>
    <w:rsid w:val="007A536A"/>
    <w:rsid w:val="00855AD5"/>
    <w:rsid w:val="00867E3F"/>
    <w:rsid w:val="008C0823"/>
    <w:rsid w:val="008C4FC6"/>
    <w:rsid w:val="009C3EA8"/>
    <w:rsid w:val="00A90C95"/>
    <w:rsid w:val="00AD7666"/>
    <w:rsid w:val="00B057A2"/>
    <w:rsid w:val="00BD2345"/>
    <w:rsid w:val="00CB5A86"/>
    <w:rsid w:val="00D16D18"/>
    <w:rsid w:val="00D45383"/>
    <w:rsid w:val="00DD2BDC"/>
    <w:rsid w:val="00E77F35"/>
    <w:rsid w:val="00EA1F0E"/>
    <w:rsid w:val="00EE193F"/>
    <w:rsid w:val="00F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CB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Deloitte Heading 1"/>
    <w:basedOn w:val="Normln"/>
    <w:next w:val="Nadpis2"/>
    <w:link w:val="Nadpis1Char"/>
    <w:qFormat/>
    <w:rsid w:val="008C4FC6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8C4FC6"/>
    <w:pPr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8C4FC6"/>
    <w:pPr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8C4FC6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538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8C4FC6"/>
    <w:pPr>
      <w:numPr>
        <w:ilvl w:val="5"/>
        <w:numId w:val="2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8C4FC6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8C4FC6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8C4FC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eloitte Heading 1 Char"/>
    <w:basedOn w:val="Standardnpsmoodstavce"/>
    <w:link w:val="Nadpis1"/>
    <w:rsid w:val="008C4FC6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8C4FC6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8C4FC6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8C4FC6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A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D7"/>
  </w:style>
  <w:style w:type="paragraph" w:styleId="Zpat">
    <w:name w:val="footer"/>
    <w:basedOn w:val="Normln"/>
    <w:link w:val="ZpatChar"/>
    <w:uiPriority w:val="99"/>
    <w:unhideWhenUsed/>
    <w:rsid w:val="001A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D7"/>
  </w:style>
  <w:style w:type="character" w:styleId="Odkaznakoment">
    <w:name w:val="annotation reference"/>
    <w:basedOn w:val="Standardnpsmoodstavce"/>
    <w:uiPriority w:val="99"/>
    <w:semiHidden/>
    <w:unhideWhenUsed/>
    <w:rsid w:val="001A4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9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9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9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9D7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538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0A7C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Deloitte Heading 1"/>
    <w:basedOn w:val="Normln"/>
    <w:next w:val="Nadpis2"/>
    <w:link w:val="Nadpis1Char"/>
    <w:qFormat/>
    <w:rsid w:val="008C4FC6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8C4FC6"/>
    <w:pPr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8C4FC6"/>
    <w:pPr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8C4FC6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538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8C4FC6"/>
    <w:pPr>
      <w:numPr>
        <w:ilvl w:val="5"/>
        <w:numId w:val="2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8C4FC6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8C4FC6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8C4FC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eloitte Heading 1 Char"/>
    <w:basedOn w:val="Standardnpsmoodstavce"/>
    <w:link w:val="Nadpis1"/>
    <w:rsid w:val="008C4FC6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8C4FC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8C4FC6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8C4FC6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8C4FC6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A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D7"/>
  </w:style>
  <w:style w:type="paragraph" w:styleId="Zpat">
    <w:name w:val="footer"/>
    <w:basedOn w:val="Normln"/>
    <w:link w:val="ZpatChar"/>
    <w:uiPriority w:val="99"/>
    <w:unhideWhenUsed/>
    <w:rsid w:val="001A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D7"/>
  </w:style>
  <w:style w:type="character" w:styleId="Odkaznakoment">
    <w:name w:val="annotation reference"/>
    <w:basedOn w:val="Standardnpsmoodstavce"/>
    <w:uiPriority w:val="99"/>
    <w:semiHidden/>
    <w:unhideWhenUsed/>
    <w:rsid w:val="001A4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9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9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9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9D7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538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0A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p.cz/cz/kontakty/pobock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2016-09-05T09:16:00Z</dcterms:created>
  <dcterms:modified xsi:type="dcterms:W3CDTF">2016-09-05T09:16:00Z</dcterms:modified>
</cp:coreProperties>
</file>