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162E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B53D25C" w14:textId="77777777" w:rsidR="00F33A48" w:rsidRPr="00F77E2C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F77E2C"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29B9B943" w14:textId="2768D9E7" w:rsidR="00F33A48" w:rsidRPr="00F77E2C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F77E2C">
        <w:rPr>
          <w:rFonts w:ascii="Arial" w:eastAsia="Arial" w:hAnsi="Arial" w:cs="Arial"/>
          <w:b/>
          <w:sz w:val="20"/>
          <w:szCs w:val="20"/>
        </w:rPr>
        <w:t>č. (</w:t>
      </w:r>
      <w:r w:rsidR="00F77E2C" w:rsidRPr="00F77E2C">
        <w:rPr>
          <w:rFonts w:ascii="Arial" w:hAnsi="Arial" w:cs="Arial"/>
          <w:b/>
          <w:bCs/>
          <w:sz w:val="20"/>
          <w:szCs w:val="20"/>
        </w:rPr>
        <w:t>ABK22359</w:t>
      </w:r>
      <w:r w:rsidRPr="00F77E2C">
        <w:rPr>
          <w:rFonts w:ascii="Arial" w:eastAsia="Arial" w:hAnsi="Arial" w:cs="Arial"/>
          <w:b/>
          <w:sz w:val="20"/>
          <w:szCs w:val="20"/>
        </w:rPr>
        <w:t>)</w:t>
      </w:r>
    </w:p>
    <w:p w14:paraId="55050EC3" w14:textId="77777777" w:rsidR="00F33A48" w:rsidRPr="00F77E2C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00F77E2C"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3E143D5C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Abakus - nadační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>, IČ: 09549731, nadační fond se sídlem Praha 4, Nusle, Pikrtova 1737/1A, PSČ 14000, zapsaný do nadačního rejstříku vedeného u Městského soudu v Praze, v oddílu N, vložce č. 1849, za nějž jednají paní Jarmila Baudišová, předsedkyně správní rady, a paní Libuše Tomolová,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2982C931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196D1D51" w14:textId="643D4B8D" w:rsidR="00F33A48" w:rsidRDefault="00F77E2C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F77E2C">
        <w:rPr>
          <w:rFonts w:ascii="Arial" w:eastAsia="Arial" w:hAnsi="Arial" w:cs="Arial"/>
          <w:b/>
          <w:sz w:val="20"/>
          <w:szCs w:val="20"/>
        </w:rPr>
        <w:t>Domov pro seniory Ďáblice</w:t>
      </w:r>
      <w:r w:rsidR="0051402D" w:rsidRPr="00F77E2C">
        <w:rPr>
          <w:rFonts w:ascii="Arial" w:eastAsia="Arial" w:hAnsi="Arial" w:cs="Arial"/>
          <w:sz w:val="20"/>
          <w:szCs w:val="20"/>
        </w:rPr>
        <w:t>,</w:t>
      </w:r>
      <w:r w:rsidR="0051402D" w:rsidRPr="00F77E2C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 w:rsidRPr="00F77E2C">
        <w:rPr>
          <w:rFonts w:ascii="Arial" w:eastAsia="Arial" w:hAnsi="Arial" w:cs="Arial"/>
          <w:sz w:val="20"/>
          <w:szCs w:val="20"/>
        </w:rPr>
        <w:t xml:space="preserve">IČ: </w:t>
      </w:r>
      <w:r w:rsidRPr="00F77E2C">
        <w:rPr>
          <w:rFonts w:ascii="Arial" w:eastAsia="Arial" w:hAnsi="Arial" w:cs="Arial"/>
          <w:sz w:val="20"/>
          <w:szCs w:val="20"/>
        </w:rPr>
        <w:t>70875839</w:t>
      </w:r>
      <w:r w:rsidR="0051402D" w:rsidRPr="00F77E2C">
        <w:rPr>
          <w:rFonts w:ascii="Arial" w:eastAsia="Arial" w:hAnsi="Arial" w:cs="Arial"/>
          <w:sz w:val="20"/>
          <w:szCs w:val="20"/>
        </w:rPr>
        <w:t xml:space="preserve">, se sídlem </w:t>
      </w:r>
      <w:r w:rsidRPr="00F77E2C">
        <w:rPr>
          <w:rFonts w:ascii="Arial" w:eastAsia="Arial" w:hAnsi="Arial" w:cs="Arial"/>
          <w:sz w:val="20"/>
          <w:szCs w:val="20"/>
        </w:rPr>
        <w:t>Kubíkova 1698/11, Praha 8</w:t>
      </w:r>
      <w:r w:rsidRPr="00F77E2C">
        <w:rPr>
          <w:rFonts w:ascii="Arial" w:eastAsia="Arial" w:hAnsi="Arial" w:cs="Arial"/>
          <w:b/>
          <w:sz w:val="20"/>
          <w:szCs w:val="20"/>
        </w:rPr>
        <w:t>,</w:t>
      </w:r>
      <w:r w:rsidR="0051402D" w:rsidRPr="00F77E2C">
        <w:rPr>
          <w:rFonts w:ascii="Arial" w:eastAsia="Arial" w:hAnsi="Arial" w:cs="Arial"/>
          <w:sz w:val="20"/>
          <w:szCs w:val="20"/>
        </w:rPr>
        <w:t xml:space="preserve"> PSČ </w:t>
      </w:r>
      <w:r w:rsidRPr="00F77E2C">
        <w:rPr>
          <w:rFonts w:ascii="Arial" w:eastAsia="Arial" w:hAnsi="Arial" w:cs="Arial"/>
          <w:sz w:val="20"/>
          <w:szCs w:val="20"/>
        </w:rPr>
        <w:t>182 00</w:t>
      </w:r>
      <w:r w:rsidR="0051402D" w:rsidRPr="00F77E2C">
        <w:rPr>
          <w:rFonts w:ascii="Arial" w:eastAsia="Arial" w:hAnsi="Arial" w:cs="Arial"/>
          <w:sz w:val="20"/>
          <w:szCs w:val="20"/>
        </w:rPr>
        <w:t>, z</w:t>
      </w:r>
      <w:r>
        <w:rPr>
          <w:rFonts w:ascii="Arial" w:eastAsia="Arial" w:hAnsi="Arial" w:cs="Arial"/>
          <w:sz w:val="20"/>
          <w:szCs w:val="20"/>
        </w:rPr>
        <w:t>řízen</w:t>
      </w:r>
      <w:r w:rsidR="008B02B8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EE190D">
        <w:rPr>
          <w:rFonts w:ascii="Arial" w:eastAsia="Arial" w:hAnsi="Arial" w:cs="Arial"/>
          <w:sz w:val="20"/>
          <w:szCs w:val="20"/>
        </w:rPr>
        <w:t xml:space="preserve">dnem 1. 2. 1992 na základě usnesení Zastupitelstva hlavního města Prahy č. 13/5 ze dne 30. 1. 1992. Zřizovací listina byla schválena usnesením Zastupitelstva hlavního města Prahy č. </w:t>
      </w:r>
      <w:r w:rsidR="008B02B8">
        <w:rPr>
          <w:rFonts w:ascii="Arial" w:eastAsia="Arial" w:hAnsi="Arial" w:cs="Arial"/>
          <w:sz w:val="20"/>
          <w:szCs w:val="20"/>
        </w:rPr>
        <w:t>1</w:t>
      </w:r>
      <w:r w:rsidR="00EE190D">
        <w:rPr>
          <w:rFonts w:ascii="Arial" w:eastAsia="Arial" w:hAnsi="Arial" w:cs="Arial"/>
          <w:sz w:val="20"/>
          <w:szCs w:val="20"/>
        </w:rPr>
        <w:t>6/</w:t>
      </w:r>
      <w:r w:rsidR="008B02B8">
        <w:rPr>
          <w:rFonts w:ascii="Arial" w:eastAsia="Arial" w:hAnsi="Arial" w:cs="Arial"/>
          <w:sz w:val="20"/>
          <w:szCs w:val="20"/>
        </w:rPr>
        <w:t>7</w:t>
      </w:r>
      <w:r w:rsidR="00EE190D">
        <w:rPr>
          <w:rFonts w:ascii="Arial" w:eastAsia="Arial" w:hAnsi="Arial" w:cs="Arial"/>
          <w:sz w:val="20"/>
          <w:szCs w:val="20"/>
        </w:rPr>
        <w:t xml:space="preserve"> ze dne 28. 4. 201</w:t>
      </w:r>
      <w:r w:rsidR="008B02B8">
        <w:rPr>
          <w:rFonts w:ascii="Arial" w:eastAsia="Arial" w:hAnsi="Arial" w:cs="Arial"/>
          <w:sz w:val="20"/>
          <w:szCs w:val="20"/>
        </w:rPr>
        <w:t>6</w:t>
      </w:r>
      <w:r w:rsidR="00EE190D">
        <w:rPr>
          <w:rFonts w:ascii="Arial" w:eastAsia="Arial" w:hAnsi="Arial" w:cs="Arial"/>
          <w:sz w:val="20"/>
          <w:szCs w:val="20"/>
        </w:rPr>
        <w:t xml:space="preserve"> a nabyla účinnosti dne 1. 5. 201</w:t>
      </w:r>
      <w:r w:rsidR="008B02B8">
        <w:rPr>
          <w:rFonts w:ascii="Arial" w:eastAsia="Arial" w:hAnsi="Arial" w:cs="Arial"/>
          <w:sz w:val="20"/>
          <w:szCs w:val="20"/>
        </w:rPr>
        <w:t>6</w:t>
      </w:r>
      <w:r w:rsidR="00EE190D">
        <w:rPr>
          <w:rFonts w:ascii="Arial" w:eastAsia="Arial" w:hAnsi="Arial" w:cs="Arial"/>
          <w:sz w:val="20"/>
          <w:szCs w:val="20"/>
        </w:rPr>
        <w:t>.</w:t>
      </w:r>
      <w:r w:rsidR="0051402D">
        <w:rPr>
          <w:rFonts w:ascii="Arial" w:eastAsia="Arial" w:hAnsi="Arial" w:cs="Arial"/>
          <w:sz w:val="20"/>
          <w:szCs w:val="20"/>
        </w:rPr>
        <w:t xml:space="preserve"> za niž jedná na základě </w:t>
      </w:r>
      <w:r w:rsidR="00EE190D">
        <w:rPr>
          <w:rFonts w:ascii="Arial" w:eastAsia="Arial" w:hAnsi="Arial" w:cs="Arial"/>
          <w:sz w:val="20"/>
          <w:szCs w:val="20"/>
        </w:rPr>
        <w:t>jmenování do funkce ředitelky</w:t>
      </w:r>
      <w:r w:rsidR="0051402D">
        <w:rPr>
          <w:rFonts w:ascii="Arial" w:eastAsia="Arial" w:hAnsi="Arial" w:cs="Arial"/>
          <w:sz w:val="20"/>
          <w:szCs w:val="20"/>
        </w:rPr>
        <w:t xml:space="preserve"> </w:t>
      </w:r>
      <w:r w:rsidR="00EE190D">
        <w:rPr>
          <w:rFonts w:ascii="Arial" w:eastAsia="Arial" w:hAnsi="Arial" w:cs="Arial"/>
          <w:b/>
          <w:sz w:val="20"/>
          <w:szCs w:val="20"/>
        </w:rPr>
        <w:t>Mgr. Jana Kuglerová</w:t>
      </w:r>
      <w:r w:rsidR="0051402D">
        <w:rPr>
          <w:rFonts w:ascii="Arial" w:eastAsia="Arial" w:hAnsi="Arial" w:cs="Arial"/>
          <w:sz w:val="20"/>
          <w:szCs w:val="20"/>
        </w:rPr>
        <w:t xml:space="preserve"> 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0A0A6EF7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D4FB898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06698846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99D8BDF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4C0BA475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75B0EA0D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1F0FF4DA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42311A0D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70C129CE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3D6DAFCF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33FE684C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41F40C1E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81B2F0" w14:textId="58AD1449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této smlouvy je poskytnutí nadačního příspěvku ve výši</w:t>
      </w:r>
      <w:r w:rsidR="00EE190D">
        <w:rPr>
          <w:rFonts w:ascii="Arial" w:eastAsia="Arial" w:hAnsi="Arial" w:cs="Arial"/>
          <w:color w:val="000000"/>
          <w:sz w:val="20"/>
          <w:szCs w:val="20"/>
        </w:rPr>
        <w:t xml:space="preserve"> 1.300.000,- Kč</w:t>
      </w:r>
      <w:r w:rsidR="005F4815" w:rsidRPr="00EE190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EE190D">
        <w:rPr>
          <w:rFonts w:ascii="Arial" w:eastAsia="Arial" w:hAnsi="Arial" w:cs="Arial"/>
          <w:color w:val="000000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slovy: </w:t>
      </w:r>
      <w:r w:rsidR="00EE190D" w:rsidRPr="00EE190D">
        <w:rPr>
          <w:rFonts w:ascii="Arial" w:eastAsia="Arial" w:hAnsi="Arial" w:cs="Arial"/>
          <w:color w:val="000000"/>
          <w:sz w:val="20"/>
          <w:szCs w:val="20"/>
        </w:rPr>
        <w:t>jedenmiliontřistatisíc</w:t>
      </w:r>
      <w:r w:rsidRPr="00EE190D">
        <w:rPr>
          <w:rFonts w:ascii="Arial" w:eastAsia="Arial" w:hAnsi="Arial" w:cs="Arial"/>
          <w:color w:val="000000"/>
          <w:sz w:val="20"/>
          <w:szCs w:val="20"/>
        </w:rPr>
        <w:t>korunčeských)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6CBA8B6F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4B8410E4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2488E681" w14:textId="4CD37191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82F66">
        <w:rPr>
          <w:rFonts w:ascii="Arial" w:eastAsia="Arial" w:hAnsi="Arial" w:cs="Arial"/>
          <w:sz w:val="20"/>
          <w:szCs w:val="20"/>
        </w:rPr>
        <w:t>Nadační příspěvek bude poskytnut Příjemci na bankovní účet</w:t>
      </w:r>
      <w:r w:rsidRPr="00182F66">
        <w:rPr>
          <w:rFonts w:ascii="Arial" w:eastAsia="Arial" w:hAnsi="Arial" w:cs="Arial"/>
          <w:b/>
          <w:sz w:val="20"/>
          <w:szCs w:val="20"/>
        </w:rPr>
        <w:t xml:space="preserve"> č.</w:t>
      </w:r>
      <w:r w:rsidR="00182F66" w:rsidRPr="00182F66">
        <w:rPr>
          <w:rFonts w:ascii="Arial" w:eastAsia="Arial" w:hAnsi="Arial" w:cs="Arial"/>
          <w:b/>
          <w:sz w:val="20"/>
          <w:szCs w:val="20"/>
        </w:rPr>
        <w:t xml:space="preserve"> </w:t>
      </w:r>
      <w:r w:rsidR="00075352">
        <w:rPr>
          <w:rFonts w:ascii="Arial" w:hAnsi="Arial" w:cs="Arial"/>
          <w:sz w:val="20"/>
          <w:szCs w:val="20"/>
          <w:shd w:val="clear" w:color="auto" w:fill="FFFFFF"/>
        </w:rPr>
        <w:t>xxxxxx</w:t>
      </w:r>
      <w:r w:rsidR="00182F66" w:rsidRPr="00182F66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182F66">
        <w:rPr>
          <w:rFonts w:ascii="Arial" w:eastAsia="Arial" w:hAnsi="Arial" w:cs="Arial"/>
          <w:sz w:val="20"/>
          <w:szCs w:val="20"/>
        </w:rPr>
        <w:t xml:space="preserve"> a to v termínu </w:t>
      </w:r>
      <w:r>
        <w:rPr>
          <w:rFonts w:ascii="Arial" w:eastAsia="Arial" w:hAnsi="Arial" w:cs="Arial"/>
          <w:color w:val="000000"/>
          <w:sz w:val="20"/>
          <w:szCs w:val="20"/>
        </w:rPr>
        <w:t>nejpozději do deseti (10) pracovních dnů od podpisu této smlouvy.</w:t>
      </w:r>
    </w:p>
    <w:p w14:paraId="32FF9704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1251381E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14:paraId="50E28B33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1E02F520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72829F0B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181C61B5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13DD283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65C4FB9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3E6B373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3231E5A4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3F4381F2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25.000,-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1BDCF1B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0630BF7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172CDEA4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2F6600D6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dodržovat veškeré právní předpisy vztahující se k ochraně soukromí a osobních údajů, které se na Příjemce vztahují;</w:t>
      </w:r>
    </w:p>
    <w:p w14:paraId="773AE19D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28EE3601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559A827A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případě jakéhokoliv prověřování, vyšetřování či sporu týkajícího se zpracování osobních údajů poskytnutých ze strany Příjemce Nadačním Fondem, poskytnout Nadačnímu Fondu veškerou nezbytnou součinnost za účelem ochrany či obrany práv a oprávněných zájmů Nadačního Fondu;</w:t>
      </w:r>
    </w:p>
    <w:p w14:paraId="238C726A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5E0E1C28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5E5B0797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653F1C9F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139E7C3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657D022C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07C94621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4F9401EE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7C1AEC29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2FE2E5E5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2E9A458E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6F6B1760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7A6C9FF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34414B01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47E7267A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09BBEA3E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091610C9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2E8EB4B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33B73462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16616906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3206C15B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4834800C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21212AD9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10757C2F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0629D724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0E2F3F2C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5972C36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387FA6B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9EBCCE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14:paraId="5EA8C90D" w14:textId="77777777" w:rsidTr="00420385">
        <w:trPr>
          <w:trHeight w:val="454"/>
          <w:jc w:val="center"/>
        </w:trPr>
        <w:tc>
          <w:tcPr>
            <w:tcW w:w="4416" w:type="dxa"/>
            <w:vAlign w:val="center"/>
          </w:tcPr>
          <w:p w14:paraId="3EBDEDD2" w14:textId="269F8A3D" w:rsidR="00F33A48" w:rsidRPr="00420385" w:rsidRDefault="0051402D" w:rsidP="00420385">
            <w:pPr>
              <w:tabs>
                <w:tab w:val="center" w:pos="1985"/>
                <w:tab w:val="center" w:pos="7655"/>
              </w:tabs>
              <w:spacing w:before="240" w:after="24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20385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</w:p>
        </w:tc>
        <w:tc>
          <w:tcPr>
            <w:tcW w:w="4822" w:type="dxa"/>
            <w:vAlign w:val="center"/>
          </w:tcPr>
          <w:p w14:paraId="175979F7" w14:textId="41F31CAA" w:rsidR="00F33A48" w:rsidRDefault="00420385" w:rsidP="00420385">
            <w:pPr>
              <w:keepNext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2038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Domov pro seniory Ďáblice</w:t>
            </w:r>
          </w:p>
        </w:tc>
      </w:tr>
      <w:tr w:rsidR="00F33A48" w14:paraId="57759EB3" w14:textId="77777777" w:rsidTr="00420385">
        <w:trPr>
          <w:jc w:val="center"/>
        </w:trPr>
        <w:tc>
          <w:tcPr>
            <w:tcW w:w="4416" w:type="dxa"/>
            <w:vAlign w:val="center"/>
          </w:tcPr>
          <w:p w14:paraId="0C35ED24" w14:textId="77777777" w:rsidR="00F33A48" w:rsidRDefault="0051402D" w:rsidP="00420385">
            <w:pPr>
              <w:keepNext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  <w:vAlign w:val="center"/>
          </w:tcPr>
          <w:p w14:paraId="0BD72365" w14:textId="78148557" w:rsidR="00F33A48" w:rsidRDefault="0051402D" w:rsidP="00420385">
            <w:pPr>
              <w:keepNext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420385">
              <w:rPr>
                <w:rFonts w:ascii="Arial" w:eastAsia="Arial" w:hAnsi="Arial" w:cs="Arial"/>
                <w:sz w:val="20"/>
                <w:szCs w:val="20"/>
              </w:rPr>
              <w:t xml:space="preserve"> Praze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dne </w:t>
            </w:r>
            <w:r w:rsidR="00420385">
              <w:rPr>
                <w:rFonts w:ascii="Arial" w:eastAsia="Arial" w:hAnsi="Arial" w:cs="Arial"/>
                <w:sz w:val="20"/>
                <w:szCs w:val="20"/>
              </w:rPr>
              <w:t>5. 12. 2022</w:t>
            </w:r>
          </w:p>
        </w:tc>
      </w:tr>
      <w:tr w:rsidR="00F33A48" w14:paraId="348E61EC" w14:textId="77777777" w:rsidTr="00420385">
        <w:trPr>
          <w:jc w:val="center"/>
        </w:trPr>
        <w:tc>
          <w:tcPr>
            <w:tcW w:w="4416" w:type="dxa"/>
            <w:vAlign w:val="center"/>
          </w:tcPr>
          <w:p w14:paraId="56561E08" w14:textId="77777777" w:rsidR="00F33A48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40CAED0D" w14:textId="77777777" w:rsidR="00F33A48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43F4E4E3" w14:textId="77777777" w:rsidR="00F33A48" w:rsidRPr="00420385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24FDB826" w14:textId="77777777" w:rsidR="00F33A48" w:rsidRPr="00420385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420385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14:paraId="34515DE9" w14:textId="77777777" w:rsidTr="00420385">
        <w:trPr>
          <w:jc w:val="center"/>
        </w:trPr>
        <w:tc>
          <w:tcPr>
            <w:tcW w:w="4416" w:type="dxa"/>
            <w:vAlign w:val="center"/>
          </w:tcPr>
          <w:p w14:paraId="554F6596" w14:textId="77777777" w:rsidR="00F33A48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Jarmila Baudišová</w:t>
            </w:r>
          </w:p>
          <w:p w14:paraId="61F916F0" w14:textId="77777777" w:rsidR="00F33A48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  <w:vAlign w:val="center"/>
          </w:tcPr>
          <w:p w14:paraId="2BF1E129" w14:textId="34CD9E8D" w:rsidR="00F33A48" w:rsidRPr="00420385" w:rsidRDefault="00420385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420385">
              <w:rPr>
                <w:rFonts w:ascii="Arial" w:eastAsia="Arial" w:hAnsi="Arial" w:cs="Arial"/>
                <w:iCs/>
                <w:sz w:val="20"/>
                <w:szCs w:val="20"/>
              </w:rPr>
              <w:t>Mgr. Jana Kuglerová</w:t>
            </w:r>
          </w:p>
          <w:p w14:paraId="7957B1EA" w14:textId="7AD15536" w:rsidR="00F33A48" w:rsidRDefault="00420385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Cs/>
                <w:sz w:val="20"/>
                <w:szCs w:val="20"/>
              </w:rPr>
              <w:t>ř</w:t>
            </w:r>
            <w:r w:rsidRPr="00420385">
              <w:rPr>
                <w:rFonts w:ascii="Arial" w:eastAsia="Arial" w:hAnsi="Arial" w:cs="Arial"/>
                <w:iCs/>
                <w:sz w:val="20"/>
                <w:szCs w:val="20"/>
              </w:rPr>
              <w:t>editelka Domova pro seniory Ďáblice</w:t>
            </w:r>
          </w:p>
        </w:tc>
      </w:tr>
      <w:tr w:rsidR="00F33A48" w14:paraId="7CF56BBB" w14:textId="77777777" w:rsidTr="00420385">
        <w:trPr>
          <w:jc w:val="center"/>
        </w:trPr>
        <w:tc>
          <w:tcPr>
            <w:tcW w:w="4416" w:type="dxa"/>
            <w:vAlign w:val="center"/>
          </w:tcPr>
          <w:p w14:paraId="308C8FE2" w14:textId="77777777" w:rsidR="00F33A48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  <w:vAlign w:val="center"/>
          </w:tcPr>
          <w:p w14:paraId="1B789B95" w14:textId="77777777" w:rsidR="00F33A48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3A725DE2" w14:textId="77777777" w:rsidTr="00420385">
        <w:trPr>
          <w:jc w:val="center"/>
        </w:trPr>
        <w:tc>
          <w:tcPr>
            <w:tcW w:w="4416" w:type="dxa"/>
            <w:vAlign w:val="center"/>
          </w:tcPr>
          <w:p w14:paraId="6E32E582" w14:textId="77777777" w:rsidR="00F33A48" w:rsidRDefault="0051402D" w:rsidP="00420385">
            <w:pPr>
              <w:tabs>
                <w:tab w:val="center" w:pos="1985"/>
                <w:tab w:val="center" w:pos="7655"/>
              </w:tabs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 fond zakladatelů Avastu</w:t>
            </w:r>
          </w:p>
        </w:tc>
        <w:tc>
          <w:tcPr>
            <w:tcW w:w="4822" w:type="dxa"/>
            <w:vAlign w:val="center"/>
          </w:tcPr>
          <w:p w14:paraId="319BA0BE" w14:textId="77777777" w:rsidR="00F33A48" w:rsidRDefault="00F33A48" w:rsidP="00420385">
            <w:pPr>
              <w:keepNext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F33A48" w14:paraId="50D56924" w14:textId="77777777" w:rsidTr="00420385">
        <w:trPr>
          <w:jc w:val="center"/>
        </w:trPr>
        <w:tc>
          <w:tcPr>
            <w:tcW w:w="4416" w:type="dxa"/>
            <w:vAlign w:val="center"/>
          </w:tcPr>
          <w:p w14:paraId="50887E2B" w14:textId="77777777" w:rsidR="00F33A48" w:rsidRDefault="0051402D" w:rsidP="00420385">
            <w:pPr>
              <w:keepNext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  <w:vAlign w:val="center"/>
          </w:tcPr>
          <w:p w14:paraId="1F5D1403" w14:textId="77777777" w:rsidR="00F33A48" w:rsidRDefault="00F33A48" w:rsidP="00420385">
            <w:pPr>
              <w:keepNext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F33A48" w14:paraId="3120AA11" w14:textId="77777777" w:rsidTr="00420385">
        <w:trPr>
          <w:jc w:val="center"/>
        </w:trPr>
        <w:tc>
          <w:tcPr>
            <w:tcW w:w="4416" w:type="dxa"/>
            <w:vAlign w:val="center"/>
          </w:tcPr>
          <w:p w14:paraId="262F70CF" w14:textId="77777777" w:rsidR="00F33A48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0769CE" w14:textId="77777777" w:rsidR="00F33A48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  <w:vAlign w:val="center"/>
          </w:tcPr>
          <w:p w14:paraId="0872A495" w14:textId="77777777" w:rsidR="00F33A48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22B11376" w14:textId="77777777" w:rsidTr="00420385">
        <w:trPr>
          <w:jc w:val="center"/>
        </w:trPr>
        <w:tc>
          <w:tcPr>
            <w:tcW w:w="4416" w:type="dxa"/>
            <w:vAlign w:val="center"/>
          </w:tcPr>
          <w:p w14:paraId="4D292205" w14:textId="51870FE4" w:rsidR="00F33A48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Libuše Tomolová</w:t>
            </w:r>
          </w:p>
          <w:p w14:paraId="3E0AFD79" w14:textId="77777777" w:rsidR="00F33A48" w:rsidRDefault="0051402D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  <w:vAlign w:val="center"/>
          </w:tcPr>
          <w:p w14:paraId="46AAD4C3" w14:textId="77777777" w:rsidR="00F33A48" w:rsidRDefault="00F33A48" w:rsidP="00420385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E444871" w14:textId="77777777" w:rsidR="00F33A48" w:rsidRDefault="00F33A48" w:rsidP="00420385">
      <w:pPr>
        <w:tabs>
          <w:tab w:val="center" w:pos="1985"/>
          <w:tab w:val="center" w:pos="7655"/>
        </w:tabs>
        <w:rPr>
          <w:rFonts w:ascii="Arial" w:eastAsia="Arial" w:hAnsi="Arial" w:cs="Arial"/>
          <w:sz w:val="20"/>
          <w:szCs w:val="20"/>
        </w:rPr>
      </w:pPr>
    </w:p>
    <w:p w14:paraId="1C9C0832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28F3246E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12C967A1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539952E5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3C0DF90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F165EB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183CC45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vizibility nadačního fondu Abakus.</w:t>
      </w:r>
    </w:p>
    <w:p w14:paraId="6E45DFA6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A1E88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23625B63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F589E5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Vizibilita nadačního fondu Abakus</w:t>
      </w:r>
    </w:p>
    <w:p w14:paraId="55C00E8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43F957F5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4FB03DD3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3740B01A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47B0B73A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6172077B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6E95EA99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0855E586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6252F58F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23A34B6A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4A90DA87" w14:textId="4DF3030D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Komunikační manuál nadačního fondu obsahující logo ve všech potřebných formátech, instrukce k jeho použití a podrobnosti ohledně použití názvu Abakus je ke stažení </w:t>
      </w:r>
      <w:r w:rsidR="00075352">
        <w:rPr>
          <w:rFonts w:ascii="Arial" w:eastAsia="Arial" w:hAnsi="Arial" w:cs="Arial"/>
          <w:sz w:val="20"/>
          <w:szCs w:val="20"/>
        </w:rPr>
        <w:t>na xxxxx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321C4FA6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03286EA5" w14:textId="3465F4C1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r w:rsidR="00075352" w:rsidRPr="00075352">
        <w:rPr>
          <w:rFonts w:ascii="Arial" w:eastAsia="Arial" w:hAnsi="Arial" w:cs="Arial"/>
          <w:color w:val="000000" w:themeColor="text1"/>
          <w:sz w:val="20"/>
          <w:szCs w:val="20"/>
        </w:rPr>
        <w:t>xxxxx</w:t>
      </w:r>
    </w:p>
    <w:p w14:paraId="4129738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E41D5B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6EB1A061" w14:textId="5AA9322A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Případné změny v projektu s námi prosím konzultujte e-mailem. Změnu popište do e-mailu, včetně změn v rozpočtu a zašlete na adresu</w:t>
      </w:r>
      <w:r w:rsidR="00075352">
        <w:t xml:space="preserve"> xxxxx</w:t>
      </w:r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2F6298A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748742C3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4193BF6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571E0F6D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3742B83E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15A2EEBA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26AD24FF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report - partneři s projekty ukončenými k 31. 12. </w:t>
      </w:r>
    </w:p>
    <w:p w14:paraId="5B7112CB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Průběžný report - partneři s projekty realizovanými i v následujícím roce</w:t>
      </w:r>
    </w:p>
    <w:p w14:paraId="1BEACC84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19B4A47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42165221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6D59A137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9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25.000,- Kč (slovy: dvacet pět tisíc korun českých) a vyšším. </w:t>
      </w:r>
    </w:p>
    <w:p w14:paraId="228AA408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3BC393DC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590C274D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0"/>
      <w:footerReference w:type="default" r:id="rId11"/>
      <w:footerReference w:type="first" r:id="rId12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2D054" w14:textId="77777777" w:rsidR="00993D35" w:rsidRDefault="00993D35">
      <w:r>
        <w:separator/>
      </w:r>
    </w:p>
  </w:endnote>
  <w:endnote w:type="continuationSeparator" w:id="0">
    <w:p w14:paraId="38B37F44" w14:textId="77777777" w:rsidR="00993D35" w:rsidRDefault="0099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7337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180D0F4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3B7E5CA4" w14:textId="77777777">
      <w:tc>
        <w:tcPr>
          <w:tcW w:w="3942" w:type="dxa"/>
        </w:tcPr>
        <w:p w14:paraId="75DD27E2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4050040F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58B89022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79B4D5D1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664A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464">
      <w:rPr>
        <w:noProof/>
        <w:color w:val="000000"/>
      </w:rPr>
      <w:t>1</w:t>
    </w:r>
    <w:r>
      <w:rPr>
        <w:color w:val="000000"/>
      </w:rPr>
      <w:fldChar w:fldCharType="end"/>
    </w:r>
  </w:p>
  <w:p w14:paraId="1978C8B4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49B84E1F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7DB05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5DD503E5" w14:textId="77777777">
      <w:tc>
        <w:tcPr>
          <w:tcW w:w="3942" w:type="dxa"/>
        </w:tcPr>
        <w:p w14:paraId="7B3A21AF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002B32BC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14460907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500352CC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CA0A5" w14:textId="77777777" w:rsidR="00993D35" w:rsidRDefault="00993D35">
      <w:r>
        <w:separator/>
      </w:r>
    </w:p>
  </w:footnote>
  <w:footnote w:type="continuationSeparator" w:id="0">
    <w:p w14:paraId="0C06B02B" w14:textId="77777777" w:rsidR="00993D35" w:rsidRDefault="00993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482041457">
    <w:abstractNumId w:val="12"/>
  </w:num>
  <w:num w:numId="2" w16cid:durableId="1612470704">
    <w:abstractNumId w:val="3"/>
  </w:num>
  <w:num w:numId="3" w16cid:durableId="12658491">
    <w:abstractNumId w:val="7"/>
  </w:num>
  <w:num w:numId="4" w16cid:durableId="1880823493">
    <w:abstractNumId w:val="11"/>
  </w:num>
  <w:num w:numId="5" w16cid:durableId="1884831721">
    <w:abstractNumId w:val="10"/>
  </w:num>
  <w:num w:numId="6" w16cid:durableId="394550608">
    <w:abstractNumId w:val="2"/>
  </w:num>
  <w:num w:numId="7" w16cid:durableId="1499619266">
    <w:abstractNumId w:val="1"/>
  </w:num>
  <w:num w:numId="8" w16cid:durableId="769470625">
    <w:abstractNumId w:val="5"/>
  </w:num>
  <w:num w:numId="9" w16cid:durableId="777406982">
    <w:abstractNumId w:val="14"/>
  </w:num>
  <w:num w:numId="10" w16cid:durableId="517162765">
    <w:abstractNumId w:val="6"/>
  </w:num>
  <w:num w:numId="11" w16cid:durableId="1110859309">
    <w:abstractNumId w:val="13"/>
  </w:num>
  <w:num w:numId="12" w16cid:durableId="1073090364">
    <w:abstractNumId w:val="4"/>
  </w:num>
  <w:num w:numId="13" w16cid:durableId="855384748">
    <w:abstractNumId w:val="0"/>
  </w:num>
  <w:num w:numId="14" w16cid:durableId="1921406645">
    <w:abstractNumId w:val="9"/>
  </w:num>
  <w:num w:numId="15" w16cid:durableId="465322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75352"/>
    <w:rsid w:val="000A7EDB"/>
    <w:rsid w:val="00182F66"/>
    <w:rsid w:val="003668DF"/>
    <w:rsid w:val="00420385"/>
    <w:rsid w:val="00430E1C"/>
    <w:rsid w:val="0051402D"/>
    <w:rsid w:val="005F4815"/>
    <w:rsid w:val="007E15FB"/>
    <w:rsid w:val="008B02B8"/>
    <w:rsid w:val="008B664D"/>
    <w:rsid w:val="00967D7B"/>
    <w:rsid w:val="00993D35"/>
    <w:rsid w:val="00A13464"/>
    <w:rsid w:val="00AA1C8A"/>
    <w:rsid w:val="00AE31E3"/>
    <w:rsid w:val="00B469DD"/>
    <w:rsid w:val="00D549E1"/>
    <w:rsid w:val="00EE190D"/>
    <w:rsid w:val="00F33A48"/>
    <w:rsid w:val="00F77E2C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C017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kus.flexigran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vastfoundation.flexigrant.com/tenantfiles/48/documents/NFA_vyuctovani_VZOR_2018.xls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Iva Maryšková</cp:lastModifiedBy>
  <cp:revision>3</cp:revision>
  <dcterms:created xsi:type="dcterms:W3CDTF">2022-12-29T05:41:00Z</dcterms:created>
  <dcterms:modified xsi:type="dcterms:W3CDTF">2022-12-29T06:15:00Z</dcterms:modified>
</cp:coreProperties>
</file>