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2" w:rsidRDefault="00FD459B">
      <w:pPr>
        <w:pStyle w:val="Nadpis10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  <w:r>
        <w:t>NG</w:t>
      </w:r>
      <w:bookmarkEnd w:id="0"/>
      <w:bookmarkEnd w:id="1"/>
    </w:p>
    <w:p w:rsidR="00BA79F2" w:rsidRDefault="00FD459B">
      <w:pPr>
        <w:pStyle w:val="Nadpis10"/>
        <w:keepNext/>
        <w:keepLines/>
        <w:shd w:val="clear" w:color="auto" w:fill="auto"/>
        <w:spacing w:after="460" w:line="180" w:lineRule="auto"/>
      </w:pPr>
      <w:bookmarkStart w:id="2" w:name="bookmark2"/>
      <w:bookmarkStart w:id="3" w:name="bookmark3"/>
      <w:r>
        <w:t>P</w:t>
      </w:r>
      <w:bookmarkEnd w:id="2"/>
      <w:bookmarkEnd w:id="3"/>
    </w:p>
    <w:p w:rsidR="00BA79F2" w:rsidRDefault="00FD459B">
      <w:pPr>
        <w:pStyle w:val="Zkladntext1"/>
        <w:shd w:val="clear" w:color="auto" w:fill="auto"/>
        <w:ind w:right="820"/>
        <w:jc w:val="right"/>
      </w:pPr>
      <w:r>
        <w:t>NG/1514/2022</w:t>
      </w:r>
    </w:p>
    <w:p w:rsidR="00BA79F2" w:rsidRDefault="00FD459B">
      <w:pPr>
        <w:pStyle w:val="Nadpis20"/>
        <w:keepNext/>
        <w:keepLines/>
        <w:shd w:val="clear" w:color="auto" w:fill="auto"/>
        <w:jc w:val="center"/>
      </w:pPr>
      <w:bookmarkStart w:id="4" w:name="bookmark4"/>
      <w:bookmarkStart w:id="5" w:name="bookmark5"/>
      <w:r>
        <w:t>Dodatek č. 1 ke smlouvě o dílo č.NG/775/2022</w:t>
      </w:r>
      <w:bookmarkEnd w:id="4"/>
      <w:bookmarkEnd w:id="5"/>
    </w:p>
    <w:p w:rsidR="00BA79F2" w:rsidRDefault="00FD459B">
      <w:pPr>
        <w:pStyle w:val="Zkladntext1"/>
        <w:shd w:val="clear" w:color="auto" w:fill="auto"/>
        <w:spacing w:line="264" w:lineRule="auto"/>
        <w:jc w:val="center"/>
      </w:pPr>
      <w:r>
        <w:t>uzavřené podle § 2631 a násl. zákona č. 89/2012 Sb., občanský zákoník, ve znění pozdějších předpisů</w:t>
      </w:r>
      <w:r>
        <w:br/>
        <w:t xml:space="preserve">(dále jen </w:t>
      </w:r>
      <w:r>
        <w:rPr>
          <w:b/>
          <w:bCs/>
        </w:rPr>
        <w:t>„občanský zákoník")</w:t>
      </w:r>
    </w:p>
    <w:p w:rsidR="00BA79F2" w:rsidRDefault="00FD459B">
      <w:pPr>
        <w:pStyle w:val="Zkladntext1"/>
        <w:shd w:val="clear" w:color="auto" w:fill="auto"/>
        <w:jc w:val="both"/>
      </w:pPr>
      <w:r>
        <w:t>Smluvní strany</w:t>
      </w:r>
    </w:p>
    <w:p w:rsidR="00BA79F2" w:rsidRDefault="00FD459B">
      <w:pPr>
        <w:pStyle w:val="Nadpis20"/>
        <w:keepNext/>
        <w:keepLines/>
        <w:shd w:val="clear" w:color="auto" w:fill="auto"/>
        <w:spacing w:line="252" w:lineRule="auto"/>
      </w:pPr>
      <w:bookmarkStart w:id="6" w:name="bookmark6"/>
      <w:bookmarkStart w:id="7" w:name="bookmark7"/>
      <w:r>
        <w:t>Národní galerie v Praze</w:t>
      </w:r>
      <w:bookmarkEnd w:id="6"/>
      <w:bookmarkEnd w:id="7"/>
    </w:p>
    <w:p w:rsidR="001B667C" w:rsidRDefault="00FD459B">
      <w:pPr>
        <w:pStyle w:val="Zkladntext1"/>
        <w:shd w:val="clear" w:color="auto" w:fill="auto"/>
        <w:spacing w:after="0"/>
        <w:jc w:val="both"/>
      </w:pPr>
      <w:r>
        <w:t xml:space="preserve">se sídlem Staroměstské nám. 606/12, 110 15 Praha 1 </w:t>
      </w:r>
    </w:p>
    <w:p w:rsidR="00BA79F2" w:rsidRDefault="00FD459B">
      <w:pPr>
        <w:pStyle w:val="Zkladntext1"/>
        <w:shd w:val="clear" w:color="auto" w:fill="auto"/>
        <w:spacing w:after="0"/>
        <w:jc w:val="both"/>
      </w:pPr>
      <w:r>
        <w:t>zastoupená: Lucií Slun</w:t>
      </w:r>
      <w:r w:rsidR="00CB1722">
        <w:t>e</w:t>
      </w:r>
      <w:bookmarkStart w:id="8" w:name="_GoBack"/>
      <w:bookmarkEnd w:id="8"/>
      <w:r>
        <w:t>čkovou, vedoucí výstavního oddělení</w:t>
      </w:r>
    </w:p>
    <w:p w:rsidR="00BA79F2" w:rsidRDefault="00FD459B">
      <w:pPr>
        <w:pStyle w:val="Zkladntext1"/>
        <w:shd w:val="clear" w:color="auto" w:fill="auto"/>
        <w:spacing w:after="0"/>
        <w:jc w:val="both"/>
      </w:pPr>
      <w:r>
        <w:t>IČ: 00023281</w:t>
      </w:r>
    </w:p>
    <w:p w:rsidR="00BA79F2" w:rsidRDefault="00FD459B">
      <w:pPr>
        <w:pStyle w:val="Zkladntext1"/>
        <w:shd w:val="clear" w:color="auto" w:fill="auto"/>
        <w:spacing w:after="0"/>
        <w:jc w:val="both"/>
      </w:pPr>
      <w:r>
        <w:t>DIČ: CZ00023281</w:t>
      </w:r>
    </w:p>
    <w:p w:rsidR="00BA79F2" w:rsidRDefault="00FD459B">
      <w:pPr>
        <w:pStyle w:val="Zkladntext1"/>
        <w:shd w:val="clear" w:color="auto" w:fill="auto"/>
        <w:spacing w:after="0"/>
        <w:jc w:val="both"/>
      </w:pPr>
      <w:r>
        <w:t xml:space="preserve">Bankovní spojení: </w:t>
      </w:r>
      <w:r w:rsidR="00CB1722">
        <w:t>XXXXXXX</w:t>
      </w:r>
    </w:p>
    <w:p w:rsidR="00BA79F2" w:rsidRDefault="00FD459B">
      <w:pPr>
        <w:pStyle w:val="Zkladntext1"/>
        <w:shd w:val="clear" w:color="auto" w:fill="auto"/>
        <w:spacing w:after="0"/>
        <w:jc w:val="both"/>
      </w:pPr>
      <w:r>
        <w:t xml:space="preserve">Číslo účtu </w:t>
      </w:r>
      <w:r w:rsidR="00CB1722">
        <w:t>XXXXXXXXXXXXXXXXX</w:t>
      </w:r>
    </w:p>
    <w:p w:rsidR="00BA79F2" w:rsidRDefault="00FD459B">
      <w:pPr>
        <w:pStyle w:val="Zkladntext1"/>
        <w:shd w:val="clear" w:color="auto" w:fill="auto"/>
        <w:jc w:val="both"/>
      </w:pPr>
      <w:r>
        <w:t xml:space="preserve">(dále jen </w:t>
      </w:r>
      <w:r>
        <w:rPr>
          <w:b/>
          <w:bCs/>
        </w:rPr>
        <w:t xml:space="preserve">„Objednatel“ </w:t>
      </w:r>
      <w:r>
        <w:t xml:space="preserve">nebo </w:t>
      </w:r>
      <w:r>
        <w:rPr>
          <w:b/>
          <w:bCs/>
        </w:rPr>
        <w:t>„NGP“)</w:t>
      </w:r>
    </w:p>
    <w:p w:rsidR="00BA79F2" w:rsidRDefault="00FD459B">
      <w:pPr>
        <w:pStyle w:val="Zkladntext1"/>
        <w:shd w:val="clear" w:color="auto" w:fill="auto"/>
        <w:jc w:val="both"/>
      </w:pPr>
      <w:r>
        <w:rPr>
          <w:b/>
          <w:bCs/>
        </w:rPr>
        <w:t>a</w:t>
      </w:r>
    </w:p>
    <w:p w:rsidR="00BA79F2" w:rsidRDefault="00FD459B">
      <w:pPr>
        <w:pStyle w:val="Nadpis20"/>
        <w:keepNext/>
        <w:keepLines/>
        <w:shd w:val="clear" w:color="auto" w:fill="auto"/>
        <w:spacing w:line="257" w:lineRule="auto"/>
        <w:jc w:val="both"/>
      </w:pPr>
      <w:bookmarkStart w:id="9" w:name="bookmark8"/>
      <w:bookmarkStart w:id="10" w:name="bookmark9"/>
      <w:r>
        <w:t xml:space="preserve">Studio </w:t>
      </w:r>
      <w:proofErr w:type="spellStart"/>
      <w:r>
        <w:t>zamklých</w:t>
      </w:r>
      <w:proofErr w:type="spellEnd"/>
      <w:r>
        <w:t xml:space="preserve"> mužů, s.r.o.</w:t>
      </w:r>
      <w:bookmarkEnd w:id="9"/>
      <w:bookmarkEnd w:id="10"/>
    </w:p>
    <w:p w:rsidR="00BA79F2" w:rsidRDefault="00FD459B">
      <w:pPr>
        <w:pStyle w:val="Zkladntext1"/>
        <w:shd w:val="clear" w:color="auto" w:fill="auto"/>
        <w:spacing w:after="0" w:line="257" w:lineRule="auto"/>
        <w:jc w:val="both"/>
      </w:pPr>
      <w:r>
        <w:t>se sídlem: Lobezská 9, 326 00 Plzeň</w:t>
      </w:r>
    </w:p>
    <w:p w:rsidR="00BA79F2" w:rsidRDefault="00FD459B">
      <w:pPr>
        <w:pStyle w:val="Zkladntext1"/>
        <w:shd w:val="clear" w:color="auto" w:fill="auto"/>
        <w:spacing w:after="0" w:line="257" w:lineRule="auto"/>
        <w:jc w:val="both"/>
      </w:pPr>
      <w:r>
        <w:t>IČ: 07002149</w:t>
      </w:r>
    </w:p>
    <w:p w:rsidR="00BA79F2" w:rsidRDefault="00FD459B">
      <w:pPr>
        <w:pStyle w:val="Zkladntext1"/>
        <w:shd w:val="clear" w:color="auto" w:fill="auto"/>
        <w:spacing w:after="0" w:line="257" w:lineRule="auto"/>
        <w:jc w:val="both"/>
      </w:pPr>
      <w:r>
        <w:t>DIČ: CZ07002149</w:t>
      </w:r>
    </w:p>
    <w:p w:rsidR="001B667C" w:rsidRDefault="00FD459B" w:rsidP="001B667C">
      <w:pPr>
        <w:pStyle w:val="Zkladntext1"/>
        <w:shd w:val="clear" w:color="auto" w:fill="auto"/>
        <w:spacing w:after="0" w:line="257" w:lineRule="auto"/>
        <w:jc w:val="both"/>
      </w:pPr>
      <w:r>
        <w:t xml:space="preserve">zastoupená: </w:t>
      </w:r>
      <w:proofErr w:type="spellStart"/>
      <w:r>
        <w:t>MgA</w:t>
      </w:r>
      <w:proofErr w:type="spellEnd"/>
      <w:r>
        <w:t xml:space="preserve">. Jiřím Kuncem, jednatelem </w:t>
      </w:r>
    </w:p>
    <w:p w:rsidR="001B667C" w:rsidRDefault="00FD459B" w:rsidP="001B667C">
      <w:pPr>
        <w:pStyle w:val="Zkladntext1"/>
        <w:shd w:val="clear" w:color="auto" w:fill="auto"/>
        <w:spacing w:after="0" w:line="257" w:lineRule="auto"/>
        <w:jc w:val="both"/>
      </w:pPr>
      <w:r>
        <w:t xml:space="preserve">zapsaná v obchodním </w:t>
      </w:r>
      <w:proofErr w:type="gramStart"/>
      <w:r>
        <w:t>rejstříkem</w:t>
      </w:r>
      <w:proofErr w:type="gramEnd"/>
      <w:r>
        <w:t xml:space="preserve"> vedeném u KS v Plzni, spisová značka C 36107 </w:t>
      </w:r>
    </w:p>
    <w:p w:rsidR="00BA79F2" w:rsidRDefault="00FD459B">
      <w:pPr>
        <w:pStyle w:val="Zkladntext1"/>
        <w:shd w:val="clear" w:color="auto" w:fill="auto"/>
        <w:spacing w:line="257" w:lineRule="auto"/>
        <w:jc w:val="both"/>
      </w:pPr>
      <w:r>
        <w:t xml:space="preserve">(dále jen </w:t>
      </w:r>
      <w:r>
        <w:rPr>
          <w:b/>
          <w:bCs/>
        </w:rPr>
        <w:t>„Zhotovitel“)</w:t>
      </w:r>
    </w:p>
    <w:p w:rsidR="00BA79F2" w:rsidRDefault="00FD459B">
      <w:pPr>
        <w:pStyle w:val="Zkladntext1"/>
        <w:shd w:val="clear" w:color="auto" w:fill="auto"/>
        <w:spacing w:after="360"/>
        <w:jc w:val="both"/>
      </w:pPr>
      <w:r>
        <w:t xml:space="preserve">(Objednatel a Zhotovitel dále společně též jako </w:t>
      </w:r>
      <w:r>
        <w:rPr>
          <w:b/>
          <w:bCs/>
        </w:rPr>
        <w:t xml:space="preserve">„Smluvní strany“ </w:t>
      </w:r>
      <w:r>
        <w:t xml:space="preserve">a jednotlivě jako </w:t>
      </w:r>
      <w:r>
        <w:rPr>
          <w:b/>
          <w:bCs/>
        </w:rPr>
        <w:t>„Smluvní strana“)</w:t>
      </w:r>
    </w:p>
    <w:p w:rsidR="001B667C" w:rsidRDefault="00FD459B" w:rsidP="001B667C">
      <w:pPr>
        <w:pStyle w:val="Zkladntext1"/>
        <w:shd w:val="clear" w:color="auto" w:fill="auto"/>
        <w:spacing w:after="0" w:line="240" w:lineRule="auto"/>
        <w:rPr>
          <w:b/>
          <w:bCs/>
        </w:rPr>
      </w:pPr>
      <w:r>
        <w:t xml:space="preserve">Smluvní strany uzavřely dne 9. června 2022 smlouvu o dílo č. NG/775/2022 (dále jen jako </w:t>
      </w:r>
      <w:r>
        <w:rPr>
          <w:b/>
          <w:bCs/>
        </w:rPr>
        <w:t xml:space="preserve">„Smlouva“), </w:t>
      </w:r>
    </w:p>
    <w:p w:rsidR="001B667C" w:rsidRDefault="00FD459B" w:rsidP="001B667C">
      <w:pPr>
        <w:pStyle w:val="Zkladntext1"/>
        <w:shd w:val="clear" w:color="auto" w:fill="auto"/>
        <w:spacing w:after="0" w:line="240" w:lineRule="auto"/>
        <w:rPr>
          <w:lang w:val="en-US" w:eastAsia="en-US" w:bidi="en-US"/>
        </w:rPr>
      </w:pPr>
      <w:r>
        <w:t xml:space="preserve">na základě které se Zhotovitel zavázal dodat Objednateli analýzu potřeb pro provoz </w:t>
      </w:r>
      <w:r>
        <w:rPr>
          <w:lang w:val="en-US" w:eastAsia="en-US" w:bidi="en-US"/>
        </w:rPr>
        <w:t xml:space="preserve">audio-video </w:t>
      </w:r>
    </w:p>
    <w:p w:rsidR="00BA79F2" w:rsidRDefault="00FD459B">
      <w:pPr>
        <w:pStyle w:val="Zkladntext1"/>
        <w:shd w:val="clear" w:color="auto" w:fill="auto"/>
        <w:spacing w:line="240" w:lineRule="auto"/>
      </w:pPr>
      <w:r>
        <w:t xml:space="preserve">systémů (dále jen jako </w:t>
      </w:r>
      <w:r>
        <w:rPr>
          <w:b/>
          <w:bCs/>
        </w:rPr>
        <w:t xml:space="preserve">„Dílo“), </w:t>
      </w:r>
      <w:r>
        <w:t>a to v termínech definovaných v čl. 3., odst. 3.2. Smlouvy</w:t>
      </w:r>
    </w:p>
    <w:p w:rsidR="001B667C" w:rsidRDefault="00FD459B" w:rsidP="001B667C">
      <w:pPr>
        <w:pStyle w:val="Zkladntext1"/>
        <w:shd w:val="clear" w:color="auto" w:fill="auto"/>
        <w:spacing w:after="0" w:line="240" w:lineRule="auto"/>
      </w:pPr>
      <w:r>
        <w:t xml:space="preserve">Vzhledem k tomu, že došlo k naplnění podmínek pro prodloužení termínů plnění uvedených v odst. 3.2. </w:t>
      </w:r>
    </w:p>
    <w:p w:rsidR="001B667C" w:rsidRDefault="00FD459B" w:rsidP="001B667C">
      <w:pPr>
        <w:pStyle w:val="Zkladntext1"/>
        <w:shd w:val="clear" w:color="auto" w:fill="auto"/>
        <w:spacing w:after="0" w:line="240" w:lineRule="auto"/>
      </w:pPr>
      <w:r>
        <w:t xml:space="preserve">Smlouvy (viz odst. </w:t>
      </w:r>
      <w:proofErr w:type="gramStart"/>
      <w:r>
        <w:t>1.1. tohoto</w:t>
      </w:r>
      <w:proofErr w:type="gramEnd"/>
      <w:r>
        <w:t xml:space="preserve"> Dodatku), přistoupily Smluvní strany k uzavření tohoto dodatku č. 1 ke </w:t>
      </w:r>
    </w:p>
    <w:p w:rsidR="00BA79F2" w:rsidRDefault="00FD459B">
      <w:pPr>
        <w:pStyle w:val="Zkladntext1"/>
        <w:shd w:val="clear" w:color="auto" w:fill="auto"/>
        <w:spacing w:after="280" w:line="240" w:lineRule="auto"/>
      </w:pPr>
      <w:r>
        <w:t xml:space="preserve">Smlouvě (dále jen </w:t>
      </w:r>
      <w:r>
        <w:rPr>
          <w:b/>
          <w:bCs/>
        </w:rPr>
        <w:t>„Dodatek“).</w:t>
      </w:r>
    </w:p>
    <w:p w:rsidR="00BA79F2" w:rsidRDefault="00FD45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BA79F2" w:rsidRDefault="00FD459B">
      <w:pPr>
        <w:pStyle w:val="Zkladntext1"/>
        <w:shd w:val="clear" w:color="auto" w:fill="auto"/>
        <w:jc w:val="center"/>
      </w:pPr>
      <w:r>
        <w:rPr>
          <w:b/>
          <w:bCs/>
        </w:rPr>
        <w:t>Úvodní ustanovení</w:t>
      </w:r>
    </w:p>
    <w:p w:rsidR="001B667C" w:rsidRDefault="00FD459B" w:rsidP="001B667C">
      <w:pPr>
        <w:pStyle w:val="Zkladntext1"/>
        <w:shd w:val="clear" w:color="auto" w:fill="auto"/>
        <w:spacing w:after="0"/>
        <w:ind w:left="720" w:hanging="720"/>
      </w:pPr>
      <w:r>
        <w:t>1</w:t>
      </w:r>
      <w:r w:rsidR="001B667C">
        <w:t>.</w:t>
      </w:r>
      <w:r>
        <w:t xml:space="preserve">1. </w:t>
      </w:r>
      <w:r w:rsidR="001B667C">
        <w:tab/>
      </w:r>
      <w:r>
        <w:t xml:space="preserve">Smluvní strany tímto prohlašují, že byly splněny podmínky pro prodloužení termínu plnění </w:t>
      </w:r>
    </w:p>
    <w:p w:rsidR="001B667C" w:rsidRDefault="00FD459B" w:rsidP="001B667C">
      <w:pPr>
        <w:pStyle w:val="Zkladntext1"/>
        <w:shd w:val="clear" w:color="auto" w:fill="auto"/>
        <w:spacing w:after="0"/>
        <w:ind w:left="720" w:hanging="12"/>
      </w:pPr>
      <w:r>
        <w:t xml:space="preserve">uvedeného v odst. 3.2. Smlouvy, a to s ohledem na skutečnost, že v průběhu realizace Díla </w:t>
      </w:r>
    </w:p>
    <w:p w:rsidR="001B667C" w:rsidRDefault="00FD459B" w:rsidP="001B667C">
      <w:pPr>
        <w:pStyle w:val="Zkladntext1"/>
        <w:shd w:val="clear" w:color="auto" w:fill="auto"/>
        <w:spacing w:after="0"/>
        <w:ind w:left="720" w:hanging="12"/>
      </w:pPr>
      <w:r>
        <w:t xml:space="preserve">došlo k prodlení s poskytnutím součinnosti na straně Objednatele, které bylo způsobeno </w:t>
      </w:r>
    </w:p>
    <w:p w:rsidR="001B667C" w:rsidRDefault="00FD459B" w:rsidP="001B667C">
      <w:pPr>
        <w:pStyle w:val="Zkladntext1"/>
        <w:shd w:val="clear" w:color="auto" w:fill="auto"/>
        <w:spacing w:after="0"/>
        <w:ind w:left="720" w:hanging="12"/>
      </w:pPr>
      <w:r>
        <w:t xml:space="preserve">dlouhodobou a neočekávanou nepřítomností pracovníků Objednatele podílejících se </w:t>
      </w:r>
      <w:proofErr w:type="gramStart"/>
      <w:r>
        <w:t>na</w:t>
      </w:r>
      <w:proofErr w:type="gramEnd"/>
      <w:r>
        <w:t xml:space="preserve"> </w:t>
      </w:r>
    </w:p>
    <w:p w:rsidR="00BA79F2" w:rsidRDefault="00FD459B" w:rsidP="001B667C">
      <w:pPr>
        <w:pStyle w:val="Zkladntext1"/>
        <w:shd w:val="clear" w:color="auto" w:fill="auto"/>
        <w:ind w:left="720" w:hanging="12"/>
        <w:sectPr w:rsidR="00BA79F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470" w:right="416" w:bottom="1691" w:left="1418" w:header="0" w:footer="3" w:gutter="0"/>
          <w:pgNumType w:start="1"/>
          <w:cols w:space="720"/>
          <w:noEndnote/>
          <w:docGrid w:linePitch="360"/>
        </w:sectPr>
      </w:pPr>
      <w:r>
        <w:t>realizaci Díla, přičemž se jednalo o součinnost písemně vyžádanou Zhotovitelem.</w:t>
      </w:r>
    </w:p>
    <w:p w:rsidR="00BA79F2" w:rsidRDefault="00FD459B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II.</w:t>
      </w:r>
    </w:p>
    <w:p w:rsidR="00BA79F2" w:rsidRDefault="00FD459B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Předmět Dodatku</w:t>
      </w:r>
    </w:p>
    <w:p w:rsidR="00BA79F2" w:rsidRDefault="00FD459B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</w:pPr>
      <w:r>
        <w:t>Předmětem tohoto Dodatku je změna - prodloužení termínu uvedeného v čl. 3. Smlouvy.</w:t>
      </w:r>
    </w:p>
    <w:p w:rsidR="00BA79F2" w:rsidRDefault="00FD459B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</w:pPr>
      <w:r>
        <w:t>Odst. 3.1. Smlouvy se vypouští a nahrazuje následujícím zněním:</w:t>
      </w:r>
    </w:p>
    <w:p w:rsidR="001B667C" w:rsidRDefault="00FD459B" w:rsidP="001B667C">
      <w:pPr>
        <w:pStyle w:val="Zkladntext1"/>
        <w:shd w:val="clear" w:color="auto" w:fill="auto"/>
        <w:spacing w:after="0"/>
        <w:ind w:left="782"/>
        <w:rPr>
          <w:i/>
          <w:iCs/>
        </w:rPr>
      </w:pPr>
      <w:r>
        <w:t xml:space="preserve">„3.1. </w:t>
      </w:r>
      <w:r>
        <w:rPr>
          <w:i/>
          <w:iCs/>
        </w:rPr>
        <w:t xml:space="preserve">Zhotovitel se zavazuje dokončit a předat Dílo nejpozději do </w:t>
      </w:r>
      <w:proofErr w:type="gramStart"/>
      <w:r>
        <w:rPr>
          <w:i/>
          <w:iCs/>
        </w:rPr>
        <w:t>31.12.2022</w:t>
      </w:r>
      <w:proofErr w:type="gramEnd"/>
      <w:r>
        <w:rPr>
          <w:i/>
          <w:iCs/>
        </w:rPr>
        <w:t xml:space="preserve"> Zhotovitel je dále </w:t>
      </w:r>
    </w:p>
    <w:p w:rsidR="001B667C" w:rsidRDefault="00FD459B" w:rsidP="001B667C">
      <w:pPr>
        <w:pStyle w:val="Zkladntext1"/>
        <w:shd w:val="clear" w:color="auto" w:fill="auto"/>
        <w:spacing w:after="0"/>
        <w:ind w:left="782"/>
        <w:rPr>
          <w:i/>
          <w:iCs/>
        </w:rPr>
      </w:pPr>
      <w:r>
        <w:rPr>
          <w:i/>
          <w:iCs/>
        </w:rPr>
        <w:t xml:space="preserve">povinen provádět Dílo v souladu s termíny uvedenými v harmonogramu, který je přílohou č. 2 této </w:t>
      </w:r>
    </w:p>
    <w:p w:rsidR="001B667C" w:rsidRDefault="00FD459B" w:rsidP="001B667C">
      <w:pPr>
        <w:pStyle w:val="Zkladntext1"/>
        <w:shd w:val="clear" w:color="auto" w:fill="auto"/>
        <w:spacing w:after="0"/>
        <w:ind w:left="782"/>
        <w:rPr>
          <w:i/>
          <w:iCs/>
        </w:rPr>
      </w:pPr>
      <w:r>
        <w:rPr>
          <w:i/>
          <w:iCs/>
        </w:rPr>
        <w:t xml:space="preserve">Smlouvy a v souladu s 20 denními harmonogramy činností, které budou odsouhlaseny dle čl. 2.3 </w:t>
      </w:r>
    </w:p>
    <w:p w:rsidR="00BA79F2" w:rsidRDefault="00FD459B">
      <w:pPr>
        <w:pStyle w:val="Zkladntext1"/>
        <w:shd w:val="clear" w:color="auto" w:fill="auto"/>
        <w:ind w:left="780"/>
      </w:pPr>
      <w:r>
        <w:rPr>
          <w:i/>
          <w:iCs/>
        </w:rPr>
        <w:t>a 2.4 této Smlouvy.“</w:t>
      </w:r>
    </w:p>
    <w:p w:rsidR="001B667C" w:rsidRDefault="00FD459B" w:rsidP="001B667C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782" w:hanging="782"/>
      </w:pPr>
      <w:r>
        <w:t xml:space="preserve">Smluvní strany se dále dohodly na změně kontaktních osob Objednatele uvedených v čl. 10., </w:t>
      </w:r>
    </w:p>
    <w:p w:rsidR="00BA79F2" w:rsidRDefault="00FD459B" w:rsidP="001B667C">
      <w:pPr>
        <w:pStyle w:val="Zkladntext1"/>
        <w:shd w:val="clear" w:color="auto" w:fill="auto"/>
        <w:tabs>
          <w:tab w:val="left" w:pos="716"/>
        </w:tabs>
        <w:ind w:left="780"/>
      </w:pPr>
      <w:r>
        <w:t>odst. 10.2. Smlouvy. Ke dni uzavření tohoto Dodatku jsou kontaktními osobami Objednatele:</w:t>
      </w:r>
    </w:p>
    <w:p w:rsidR="00BA79F2" w:rsidRDefault="00CB1722">
      <w:pPr>
        <w:pStyle w:val="Zkladntext1"/>
        <w:shd w:val="clear" w:color="auto" w:fill="auto"/>
        <w:spacing w:after="0" w:line="240" w:lineRule="auto"/>
        <w:ind w:left="1160"/>
      </w:pPr>
      <w:r>
        <w:t>XXXXXXXXXX</w:t>
      </w:r>
      <w:r w:rsidR="00FD459B">
        <w:t xml:space="preserve">, E: </w:t>
      </w:r>
      <w:hyperlink r:id="rId11" w:history="1">
        <w:r>
          <w:rPr>
            <w:color w:val="3A6CB8"/>
            <w:u w:val="single"/>
            <w:lang w:val="en-US" w:eastAsia="en-US" w:bidi="en-US"/>
          </w:rPr>
          <w:t>XXXXXXXXXXXXXXXX</w:t>
        </w:r>
      </w:hyperlink>
    </w:p>
    <w:p w:rsidR="00BA79F2" w:rsidRDefault="00CB1722">
      <w:pPr>
        <w:pStyle w:val="Zkladntext1"/>
        <w:shd w:val="clear" w:color="auto" w:fill="auto"/>
        <w:spacing w:after="460" w:line="240" w:lineRule="auto"/>
        <w:ind w:left="1160"/>
      </w:pPr>
      <w:r>
        <w:t>XXXXXXXXXXXXXXX</w:t>
      </w:r>
      <w:r w:rsidR="00FD459B">
        <w:t xml:space="preserve">, E: </w:t>
      </w:r>
      <w:r>
        <w:rPr>
          <w:color w:val="3A6CB8"/>
          <w:u w:val="single"/>
          <w:lang w:val="en-US" w:eastAsia="en-US" w:bidi="en-US"/>
        </w:rPr>
        <w:t>XXXXXXXXXXXXXXXXXXXX</w:t>
      </w:r>
    </w:p>
    <w:p w:rsidR="00BA79F2" w:rsidRDefault="00FD459B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  <w:lang w:val="en-US" w:eastAsia="en-US" w:bidi="en-US"/>
        </w:rPr>
        <w:t>III.</w:t>
      </w:r>
    </w:p>
    <w:p w:rsidR="00BA79F2" w:rsidRDefault="00FD459B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Závěrečná ustanovení</w:t>
      </w:r>
    </w:p>
    <w:p w:rsidR="00BA79F2" w:rsidRDefault="00FD459B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spacing w:line="240" w:lineRule="auto"/>
      </w:pPr>
      <w:r>
        <w:t>Ostatní ustanovení Smlouvy, tímto Dodatkem nedotčená, zůstávají v platnosti.</w:t>
      </w:r>
    </w:p>
    <w:p w:rsidR="001B667C" w:rsidRDefault="00FD459B" w:rsidP="001B667C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240" w:lineRule="auto"/>
        <w:ind w:left="782" w:hanging="780"/>
      </w:pPr>
      <w:r>
        <w:t xml:space="preserve">Tento dodatek nabývá platnosti dnem podpisu obou smluvních stran, účinnosti nabývá dnem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r>
        <w:t xml:space="preserve">jeho uveřejnění v registru smluv, a to v souladu se zákonem č. 340/2015 Sb., o zvláštních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proofErr w:type="gramStart"/>
      <w:r>
        <w:t>podmínkách</w:t>
      </w:r>
      <w:proofErr w:type="gramEnd"/>
      <w:r>
        <w:t xml:space="preserve"> účinnosti některých smluv, uveřejňování těchto smluv a o registru smluv (zákon o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r>
        <w:t xml:space="preserve">registru smluv). Uveřejnění dodatku provede objednatel. Obě smluvní strany berou na vědomí,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r>
        <w:t xml:space="preserve">že nebudou uveřejněny pouze ty informace, které nelze poskytnout podle předpisů upravujících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r>
        <w:t xml:space="preserve">svobodný přístup k informacím. Považuje-li zhotovitel některé informace uvedené v tomto </w:t>
      </w:r>
    </w:p>
    <w:p w:rsidR="001B667C" w:rsidRDefault="00FD459B" w:rsidP="001B667C">
      <w:pPr>
        <w:pStyle w:val="Zkladntext1"/>
        <w:shd w:val="clear" w:color="auto" w:fill="auto"/>
        <w:tabs>
          <w:tab w:val="left" w:pos="716"/>
        </w:tabs>
        <w:spacing w:after="0" w:line="240" w:lineRule="auto"/>
        <w:ind w:left="782"/>
      </w:pPr>
      <w:r>
        <w:t xml:space="preserve">dodatku za informace, které nemohou být uveřejněny v registru smluv, je povinen na to </w:t>
      </w:r>
    </w:p>
    <w:p w:rsidR="00BA79F2" w:rsidRDefault="00FD459B" w:rsidP="001B667C">
      <w:pPr>
        <w:pStyle w:val="Zkladntext1"/>
        <w:shd w:val="clear" w:color="auto" w:fill="auto"/>
        <w:tabs>
          <w:tab w:val="left" w:pos="716"/>
        </w:tabs>
        <w:spacing w:line="240" w:lineRule="auto"/>
        <w:ind w:left="780"/>
      </w:pPr>
      <w:r>
        <w:t>objednatele současně s uzavřením tohoto dodatku písemně upozornit.</w:t>
      </w:r>
    </w:p>
    <w:p w:rsidR="001B667C" w:rsidRDefault="00FD459B" w:rsidP="001B667C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spacing w:after="0"/>
        <w:ind w:left="782" w:hanging="782"/>
      </w:pPr>
      <w:r>
        <w:t xml:space="preserve">Tento Dodatek je vyhotoven ve dvou vyhotoveních s platností originálu s tím, že každá </w:t>
      </w:r>
      <w:proofErr w:type="gramStart"/>
      <w:r>
        <w:t>ze</w:t>
      </w:r>
      <w:proofErr w:type="gramEnd"/>
      <w:r>
        <w:t xml:space="preserve"> </w:t>
      </w:r>
    </w:p>
    <w:p w:rsidR="00BA79F2" w:rsidRDefault="00FD459B" w:rsidP="001B667C">
      <w:pPr>
        <w:pStyle w:val="Zkladntext1"/>
        <w:shd w:val="clear" w:color="auto" w:fill="auto"/>
        <w:tabs>
          <w:tab w:val="left" w:pos="716"/>
        </w:tabs>
        <w:spacing w:after="380"/>
        <w:ind w:left="780"/>
      </w:pPr>
      <w:r>
        <w:t>smluvních stran obdrží po jednom.</w:t>
      </w:r>
    </w:p>
    <w:p w:rsidR="001B667C" w:rsidRDefault="00FD459B" w:rsidP="001B667C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spacing w:after="0"/>
        <w:ind w:left="782" w:hanging="782"/>
      </w:pPr>
      <w:r>
        <w:t xml:space="preserve">Smluvní strany potvrzují, že si tento dodatek před jeho podpisem přečetly a porozuměly jeho </w:t>
      </w:r>
    </w:p>
    <w:p w:rsidR="00BA79F2" w:rsidRDefault="00FD459B" w:rsidP="001B667C">
      <w:pPr>
        <w:pStyle w:val="Zkladntext1"/>
        <w:shd w:val="clear" w:color="auto" w:fill="auto"/>
        <w:tabs>
          <w:tab w:val="left" w:pos="716"/>
        </w:tabs>
        <w:spacing w:after="380"/>
        <w:ind w:left="780"/>
      </w:pPr>
      <w:r>
        <w:t>obsahu. Na důkaz toho níže připojují své podpisy.</w:t>
      </w:r>
    </w:p>
    <w:p w:rsidR="00BA79F2" w:rsidRDefault="00FD459B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spacing w:line="240" w:lineRule="auto"/>
      </w:pPr>
      <w:r>
        <w:t>Aktualizovaný harmonogram je přílohou č. 1 tohoto Dodatku.</w:t>
      </w:r>
    </w:p>
    <w:p w:rsidR="00BA79F2" w:rsidRDefault="00FD459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89865" distB="1356360" distL="0" distR="0" simplePos="0" relativeHeight="125829378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189865</wp:posOffset>
                </wp:positionV>
                <wp:extent cx="1545590" cy="170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 27. října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0.799999999999997pt;margin-top:14.949999999999999pt;width:121.7pt;height:13.449999999999999pt;z-index:-125829375;mso-wrap-distance-left:0;mso-wrap-distance-top:14.949999999999999pt;mso-wrap-distance-right:0;mso-wrap-distance-bottom:106.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27. října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1250950</wp:posOffset>
                </wp:positionV>
                <wp:extent cx="2719070" cy="1739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9F2" w:rsidRDefault="00FD459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Lucie Slun</w:t>
                            </w:r>
                            <w:r w:rsidR="001B667C">
                              <w:t>e</w:t>
                            </w:r>
                            <w:r>
                              <w:t>čková, Vedoucí výstavního 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7" type="#_x0000_t202" style="position:absolute;margin-left:61.5pt;margin-top:98.5pt;width:214.1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" filled="f" stroked="f">
                <v:textbox inset="0,0,0,0">
                  <w:txbxContent>
                    <w:p w:rsidR="00BA79F2" w:rsidRDefault="00FD459B">
                      <w:pPr>
                        <w:pStyle w:val="Titulekobrzku0"/>
                        <w:shd w:val="clear" w:color="auto" w:fill="auto"/>
                      </w:pPr>
                      <w:r>
                        <w:t>Lucie Slun</w:t>
                      </w:r>
                      <w:r w:rsidR="001B667C">
                        <w:t>e</w:t>
                      </w:r>
                      <w:r>
                        <w:t>čková, Vedoucí výstavního oddělení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0905" distB="533400" distL="0" distR="0" simplePos="0" relativeHeight="125829381" behindDoc="0" locked="0" layoutInCell="1" allowOverlap="1">
                <wp:simplePos x="0" y="0"/>
                <wp:positionH relativeFrom="page">
                  <wp:posOffset>2506345</wp:posOffset>
                </wp:positionH>
                <wp:positionV relativeFrom="paragraph">
                  <wp:posOffset>890905</wp:posOffset>
                </wp:positionV>
                <wp:extent cx="1048385" cy="2927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9F2" w:rsidRDefault="00BA79F2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margin-left:197.35pt;margin-top:70.15pt;width:82.55pt;height:23.05pt;z-index:125829381;visibility:visible;mso-wrap-style:square;mso-wrap-distance-left:0;mso-wrap-distance-top:70.15pt;mso-wrap-distance-right:0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" filled="f" stroked="f">
                <v:textbox inset="0,0,0,0">
                  <w:txbxContent>
                    <w:p w:rsidR="00BA79F2" w:rsidRDefault="00BA79F2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0" distB="0" distL="0" distR="0" simplePos="0" relativeHeight="125829383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1403350</wp:posOffset>
                </wp:positionV>
                <wp:extent cx="1359535" cy="3136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Národní galerie v Praze</w:t>
                            </w:r>
                          </w:p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1.299999999999997pt;margin-top:110.5pt;width:107.05pt;height:24.699999999999999pt;z-index:-125829370;mso-wrap-distance-left:0;mso-wrap-distance-top:110.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galerie v Praze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6335" distB="0" distL="0" distR="0" simplePos="0" relativeHeight="125829386" behindDoc="0" locked="0" layoutInCell="1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1156335</wp:posOffset>
                </wp:positionV>
                <wp:extent cx="1682750" cy="56070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77"/>
                                <w:tab w:val="left" w:leader="dot" w:pos="1339"/>
                                <w:tab w:val="left" w:leader="dot" w:pos="1738"/>
                              </w:tabs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</w:pPr>
                            <w:r>
                              <w:t>Jiří Kunc, jednatel</w:t>
                            </w:r>
                          </w:p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Studio Zamlklých mužů s.r.o.</w:t>
                            </w:r>
                          </w:p>
                          <w:p w:rsidR="00BA79F2" w:rsidRDefault="00FD459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0" type="#_x0000_t202" style="position:absolute;margin-left:350.5pt;margin-top:91.05pt;width:132.5pt;height:44.15pt;z-index:125829386;visibility:visible;mso-wrap-style:square;mso-wrap-distance-left:0;mso-wrap-distance-top:91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uBhQEAAAUDAAAOAAAAZHJzL2Uyb0RvYy54bWysUstOwzAQvCPxD5bvNGlF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" filled="f" stroked="f">
                <v:textbox inset="0,0,0,0">
                  <w:txbxContent>
                    <w:p w:rsidR="00BA79F2" w:rsidRDefault="00FD459B">
                      <w:pPr>
                        <w:pStyle w:val="Zkladntext1"/>
                        <w:shd w:val="clear" w:color="auto" w:fill="auto"/>
                        <w:tabs>
                          <w:tab w:val="left" w:leader="dot" w:pos="1277"/>
                          <w:tab w:val="left" w:leader="dot" w:pos="1339"/>
                          <w:tab w:val="left" w:leader="dot" w:pos="1738"/>
                        </w:tabs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79F2" w:rsidRDefault="00FD459B">
                      <w:pPr>
                        <w:pStyle w:val="Zkladntext1"/>
                        <w:shd w:val="clear" w:color="auto" w:fill="auto"/>
                        <w:spacing w:after="0" w:line="180" w:lineRule="auto"/>
                      </w:pPr>
                      <w:r>
                        <w:t>Jiří Kunc, jednatel</w:t>
                      </w:r>
                    </w:p>
                    <w:p w:rsidR="00BA79F2" w:rsidRDefault="00FD459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Studio Zamlklých mužů s.r.o.</w:t>
                      </w:r>
                    </w:p>
                    <w:p w:rsidR="00BA79F2" w:rsidRDefault="00FD459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79F2" w:rsidRDefault="00FD459B">
      <w:pPr>
        <w:pStyle w:val="Nadpis20"/>
        <w:keepNext/>
        <w:keepLines/>
        <w:shd w:val="clear" w:color="auto" w:fill="auto"/>
      </w:pPr>
      <w:bookmarkStart w:id="11" w:name="bookmark10"/>
      <w:bookmarkStart w:id="12" w:name="bookmark11"/>
      <w:r>
        <w:lastRenderedPageBreak/>
        <w:t>Příloha č. 1</w:t>
      </w:r>
      <w:bookmarkEnd w:id="11"/>
      <w:bookmarkEnd w:id="12"/>
    </w:p>
    <w:p w:rsidR="00BA79F2" w:rsidRDefault="00FD459B">
      <w:pPr>
        <w:pStyle w:val="Zkladntext1"/>
        <w:shd w:val="clear" w:color="auto" w:fill="auto"/>
        <w:spacing w:line="264" w:lineRule="auto"/>
      </w:pPr>
      <w:r>
        <w:t>dodatku č. j. NG/1514/2022</w:t>
      </w:r>
    </w:p>
    <w:p w:rsidR="00BA79F2" w:rsidRDefault="00FD459B">
      <w:pPr>
        <w:pStyle w:val="Nadpis20"/>
        <w:keepNext/>
        <w:keepLines/>
        <w:shd w:val="clear" w:color="auto" w:fill="auto"/>
        <w:spacing w:after="220"/>
      </w:pPr>
      <w:bookmarkStart w:id="13" w:name="bookmark12"/>
      <w:bookmarkStart w:id="14" w:name="bookmark13"/>
      <w:r>
        <w:t>Harmonogram - aktualizace</w:t>
      </w:r>
      <w:bookmarkEnd w:id="13"/>
      <w:bookmarkEnd w:id="14"/>
    </w:p>
    <w:p w:rsidR="00BA79F2" w:rsidRDefault="00FD459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264" w:lineRule="auto"/>
      </w:pPr>
      <w:r>
        <w:t>červen 2022</w:t>
      </w:r>
    </w:p>
    <w:p w:rsidR="00BA79F2" w:rsidRDefault="00FD459B">
      <w:pPr>
        <w:pStyle w:val="Zkladntext1"/>
        <w:shd w:val="clear" w:color="auto" w:fill="auto"/>
        <w:spacing w:line="264" w:lineRule="auto"/>
        <w:ind w:firstLine="360"/>
      </w:pPr>
      <w:r>
        <w:t>Dle organizační struktury NGP vytipovat zasažená oddělení a provozy.</w:t>
      </w:r>
    </w:p>
    <w:p w:rsidR="00BA79F2" w:rsidRDefault="00FD459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264" w:lineRule="auto"/>
      </w:pPr>
      <w:r>
        <w:t>červen 2022</w:t>
      </w:r>
    </w:p>
    <w:p w:rsidR="001B667C" w:rsidRDefault="00FD459B" w:rsidP="001B667C">
      <w:pPr>
        <w:pStyle w:val="Zkladntext1"/>
        <w:shd w:val="clear" w:color="auto" w:fill="auto"/>
        <w:spacing w:after="0" w:line="264" w:lineRule="auto"/>
        <w:ind w:left="357"/>
      </w:pPr>
      <w:r>
        <w:t xml:space="preserve">Krátkým rozhovorem s vedoucím pracovníkem/vedoucími pracovníky definovat rozsah řešení </w:t>
      </w:r>
    </w:p>
    <w:p w:rsidR="00BA79F2" w:rsidRDefault="00FD459B">
      <w:pPr>
        <w:pStyle w:val="Zkladntext1"/>
        <w:shd w:val="clear" w:color="auto" w:fill="auto"/>
        <w:spacing w:line="264" w:lineRule="auto"/>
        <w:ind w:left="360"/>
      </w:pPr>
      <w:r>
        <w:t>problematiky v dané sekci/sbírce/odboru/oddělení.</w:t>
      </w:r>
    </w:p>
    <w:p w:rsidR="00BA79F2" w:rsidRDefault="00FD459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269" w:lineRule="auto"/>
      </w:pPr>
      <w:r>
        <w:t>červenec - listopad 2022</w:t>
      </w:r>
    </w:p>
    <w:p w:rsidR="001B667C" w:rsidRDefault="00FD459B" w:rsidP="001B667C">
      <w:pPr>
        <w:pStyle w:val="Zkladntext1"/>
        <w:shd w:val="clear" w:color="auto" w:fill="auto"/>
        <w:spacing w:after="0" w:line="269" w:lineRule="auto"/>
        <w:ind w:left="357"/>
      </w:pPr>
      <w:r>
        <w:t xml:space="preserve">Prostřednictvím moderovaných a zaznamenaných svolaných setkání </w:t>
      </w:r>
      <w:proofErr w:type="spellStart"/>
      <w:r>
        <w:rPr>
          <w:lang w:val="en-US" w:eastAsia="en-US" w:bidi="en-US"/>
        </w:rPr>
        <w:t>tzv</w:t>
      </w:r>
      <w:proofErr w:type="spellEnd"/>
      <w:r>
        <w:rPr>
          <w:lang w:val="en-US" w:eastAsia="en-US" w:bidi="en-US"/>
        </w:rPr>
        <w:t xml:space="preserve">. focus groups </w:t>
      </w:r>
      <w:r>
        <w:t xml:space="preserve">s možností </w:t>
      </w:r>
    </w:p>
    <w:p w:rsidR="001B667C" w:rsidRDefault="00FD459B" w:rsidP="001B667C">
      <w:pPr>
        <w:pStyle w:val="Zkladntext1"/>
        <w:shd w:val="clear" w:color="auto" w:fill="auto"/>
        <w:spacing w:after="0" w:line="269" w:lineRule="auto"/>
        <w:ind w:left="357"/>
      </w:pPr>
      <w:r>
        <w:t xml:space="preserve">doplnění o individuální rozhovory se zasaženými pracovníky (tzv. </w:t>
      </w:r>
      <w:proofErr w:type="spellStart"/>
      <w:r>
        <w:t>stakeholdery</w:t>
      </w:r>
      <w:proofErr w:type="spellEnd"/>
      <w:r>
        <w:t xml:space="preserve">) definovat potřeby </w:t>
      </w:r>
    </w:p>
    <w:p w:rsidR="00BA79F2" w:rsidRDefault="00FD459B">
      <w:pPr>
        <w:pStyle w:val="Zkladntext1"/>
        <w:shd w:val="clear" w:color="auto" w:fill="auto"/>
        <w:spacing w:line="269" w:lineRule="auto"/>
        <w:ind w:left="360"/>
      </w:pPr>
      <w:r>
        <w:t>organizace.</w:t>
      </w:r>
    </w:p>
    <w:p w:rsidR="00BA79F2" w:rsidRDefault="00FD459B">
      <w:pPr>
        <w:pStyle w:val="Zkladntext1"/>
        <w:shd w:val="clear" w:color="auto" w:fill="auto"/>
        <w:spacing w:after="0" w:line="264" w:lineRule="auto"/>
      </w:pPr>
      <w:r>
        <w:t>4 listopad - prosinec 2022</w:t>
      </w:r>
    </w:p>
    <w:p w:rsidR="001B667C" w:rsidRDefault="00FD459B">
      <w:pPr>
        <w:pStyle w:val="Zkladntext1"/>
        <w:shd w:val="clear" w:color="auto" w:fill="auto"/>
        <w:spacing w:after="0" w:line="264" w:lineRule="auto"/>
        <w:ind w:left="360"/>
      </w:pPr>
      <w:r>
        <w:t xml:space="preserve">Se zohledněním aktuálně dosažitelných technických možností kategorizovat oblasti řešení z </w:t>
      </w:r>
    </w:p>
    <w:p w:rsidR="001B667C" w:rsidRDefault="00FD459B">
      <w:pPr>
        <w:pStyle w:val="Zkladntext1"/>
        <w:shd w:val="clear" w:color="auto" w:fill="auto"/>
        <w:spacing w:after="0" w:line="264" w:lineRule="auto"/>
        <w:ind w:left="360"/>
      </w:pPr>
      <w:r>
        <w:t xml:space="preserve">technického hlediska do několika “standardních situací” a “standardních technických řešení”, </w:t>
      </w:r>
    </w:p>
    <w:p w:rsidR="001B667C" w:rsidRDefault="00FD459B">
      <w:pPr>
        <w:pStyle w:val="Zkladntext1"/>
        <w:shd w:val="clear" w:color="auto" w:fill="auto"/>
        <w:spacing w:after="0" w:line="264" w:lineRule="auto"/>
        <w:ind w:left="360"/>
      </w:pPr>
      <w:r>
        <w:t xml:space="preserve">návazně definovat vlastní možnosti instituce, popsat rozsah služeb řešených interně a </w:t>
      </w:r>
    </w:p>
    <w:p w:rsidR="00BA79F2" w:rsidRDefault="00FD459B">
      <w:pPr>
        <w:pStyle w:val="Zkladntext1"/>
        <w:shd w:val="clear" w:color="auto" w:fill="auto"/>
        <w:spacing w:after="0" w:line="264" w:lineRule="auto"/>
        <w:ind w:left="360"/>
      </w:pPr>
      <w:proofErr w:type="spellStart"/>
      <w:r>
        <w:t>outsourcovaných</w:t>
      </w:r>
      <w:proofErr w:type="spellEnd"/>
      <w:r>
        <w:t>.</w:t>
      </w:r>
    </w:p>
    <w:p w:rsidR="00BA79F2" w:rsidRDefault="00FD459B">
      <w:pPr>
        <w:pStyle w:val="Zkladntext1"/>
        <w:shd w:val="clear" w:color="auto" w:fill="auto"/>
        <w:spacing w:after="0" w:line="264" w:lineRule="auto"/>
        <w:ind w:firstLine="360"/>
      </w:pPr>
      <w:r>
        <w:t>Vybrat konkrétní zejména technická řešení pro dané typizované celky.</w:t>
      </w:r>
    </w:p>
    <w:p w:rsidR="001B667C" w:rsidRDefault="00FD459B">
      <w:pPr>
        <w:pStyle w:val="Zkladntext1"/>
        <w:shd w:val="clear" w:color="auto" w:fill="auto"/>
        <w:spacing w:after="0" w:line="264" w:lineRule="auto"/>
        <w:ind w:left="360"/>
      </w:pPr>
      <w:r>
        <w:t xml:space="preserve">Standardizovat navržená řešení pro maximální úsporu prostředků, vzájemnou kompatibilitu a </w:t>
      </w:r>
    </w:p>
    <w:p w:rsidR="00BA79F2" w:rsidRDefault="00FD459B">
      <w:pPr>
        <w:pStyle w:val="Zkladntext1"/>
        <w:shd w:val="clear" w:color="auto" w:fill="auto"/>
        <w:spacing w:after="0" w:line="264" w:lineRule="auto"/>
        <w:ind w:left="360"/>
      </w:pPr>
      <w:r>
        <w:t>systémovost.</w:t>
      </w:r>
    </w:p>
    <w:p w:rsidR="00BA79F2" w:rsidRDefault="00FD459B">
      <w:pPr>
        <w:pStyle w:val="Zkladntext1"/>
        <w:shd w:val="clear" w:color="auto" w:fill="auto"/>
        <w:spacing w:after="0" w:line="264" w:lineRule="auto"/>
        <w:ind w:firstLine="360"/>
      </w:pPr>
      <w:r>
        <w:t xml:space="preserve">Vytvořit implementační plán, cenové rozvahy řešení, </w:t>
      </w:r>
      <w:proofErr w:type="spellStart"/>
      <w:r>
        <w:t>prioritizovat</w:t>
      </w:r>
      <w:proofErr w:type="spellEnd"/>
      <w:r>
        <w:t>.</w:t>
      </w:r>
    </w:p>
    <w:p w:rsidR="00BA79F2" w:rsidRDefault="00FD459B">
      <w:pPr>
        <w:pStyle w:val="Zkladntext1"/>
        <w:shd w:val="clear" w:color="auto" w:fill="auto"/>
        <w:spacing w:line="264" w:lineRule="auto"/>
        <w:ind w:firstLine="360"/>
      </w:pPr>
      <w:r>
        <w:t>Navrhnout přípravu a podklady pro projektovou fázi respektive realizaci.</w:t>
      </w:r>
    </w:p>
    <w:sectPr w:rsidR="00BA79F2">
      <w:pgSz w:w="11900" w:h="16840"/>
      <w:pgMar w:top="1640" w:right="666" w:bottom="2822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5F" w:rsidRDefault="000F3A5F">
      <w:r>
        <w:separator/>
      </w:r>
    </w:p>
  </w:endnote>
  <w:endnote w:type="continuationSeparator" w:id="0">
    <w:p w:rsidR="000F3A5F" w:rsidRDefault="000F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2" w:rsidRDefault="00FD45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9624060</wp:posOffset>
              </wp:positionV>
              <wp:extent cx="1155065" cy="6489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Národní galerie v Praze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11015 Praha 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00023281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Česká národní banka: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2.950000000000003pt;margin-top:757.79999999999995pt;width:90.950000000000003pt;height:51.1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Národní galerie v Praze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11015 Praha 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IČ: 00023281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Česká národní banka: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2424430</wp:posOffset>
              </wp:positionH>
              <wp:positionV relativeFrom="page">
                <wp:posOffset>9627235</wp:posOffset>
              </wp:positionV>
              <wp:extent cx="1276985" cy="6489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Gallery Prague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11015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Prague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Republic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Company no.: CZ00023281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National Bank: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90.90000000000001pt;margin-top:758.04999999999995pt;width:100.55pt;height:51.1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Gallery Prague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11015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Prague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Republic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Company no.: CZ00023281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National Bank: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4036695</wp:posOffset>
              </wp:positionH>
              <wp:positionV relativeFrom="page">
                <wp:posOffset>9968865</wp:posOffset>
              </wp:positionV>
              <wp:extent cx="749935" cy="3136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+420 224301122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info@ngprague.cz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7.85000000000002pt;margin-top:784.95000000000005pt;width:59.049999999999997pt;height:24.69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+420 224301122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info@ngprague.cz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2" w:rsidRDefault="00FD45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9621520</wp:posOffset>
              </wp:positionV>
              <wp:extent cx="1155065" cy="6521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652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Národní galerie v Praze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11015 Praha 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00023281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Česká národní banka: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5.150000000000006pt;margin-top:757.60000000000002pt;width:90.950000000000003pt;height:51.3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Národní galerie v Praze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11015 Praha 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IČ: 00023281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Česká národní banka: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2706370</wp:posOffset>
              </wp:positionH>
              <wp:positionV relativeFrom="page">
                <wp:posOffset>9621520</wp:posOffset>
              </wp:positionV>
              <wp:extent cx="1280160" cy="6489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Gallery Prague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11015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Prague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Republic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Company no.: CZ00023281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National Bank: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13.09999999999999pt;margin-top:757.60000000000002pt;width:100.8pt;height:51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Gallery Prague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11015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Prague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Republic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Company no.: CZ00023281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National Bank: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4315460</wp:posOffset>
              </wp:positionH>
              <wp:positionV relativeFrom="page">
                <wp:posOffset>9959340</wp:posOffset>
              </wp:positionV>
              <wp:extent cx="753110" cy="3200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+420 224 301122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info@ngprague.cz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39.80000000000001pt;margin-top:784.20000000000005pt;width:59.299999999999997pt;height:25.1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+420 224 301122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info@ngprague.cz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5F" w:rsidRDefault="000F3A5F"/>
  </w:footnote>
  <w:footnote w:type="continuationSeparator" w:id="0">
    <w:p w:rsidR="000F3A5F" w:rsidRDefault="000F3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2" w:rsidRDefault="00FD45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300355</wp:posOffset>
              </wp:positionV>
              <wp:extent cx="3166745" cy="2927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6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tabs>
                              <w:tab w:val="right" w:pos="3523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4.900000000000006pt;margin-top:23.649999999999999pt;width:249.34999999999999pt;height:23.05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2" w:rsidRDefault="00FD45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280670</wp:posOffset>
              </wp:positionV>
              <wp:extent cx="3166745" cy="2984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6745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BA79F2" w:rsidRDefault="00FD459B">
                          <w:pPr>
                            <w:pStyle w:val="Zhlavnebozpat20"/>
                            <w:shd w:val="clear" w:color="auto" w:fill="auto"/>
                            <w:tabs>
                              <w:tab w:val="right" w:pos="3523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6.599999999999994pt;margin-top:22.100000000000001pt;width:249.34999999999999pt;height:23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CA2"/>
    <w:multiLevelType w:val="multilevel"/>
    <w:tmpl w:val="0CD2228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D2B77"/>
    <w:multiLevelType w:val="multilevel"/>
    <w:tmpl w:val="83DAE4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2"/>
    <w:rsid w:val="000F3A5F"/>
    <w:rsid w:val="001B667C"/>
    <w:rsid w:val="00BA79F2"/>
    <w:rsid w:val="00CB1722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7440"/>
  <w15:docId w15:val="{78913620-E9D0-4DDE-89C4-3139A42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0"/>
      <w:szCs w:val="16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 w:line="209" w:lineRule="auto"/>
      <w:ind w:right="820"/>
      <w:jc w:val="right"/>
      <w:outlineLvl w:val="0"/>
    </w:pPr>
    <w:rPr>
      <w:rFonts w:ascii="Arial" w:eastAsia="Arial" w:hAnsi="Arial" w:cs="Arial"/>
      <w:sz w:val="160"/>
      <w:szCs w:val="16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vins@nqpraque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Skopirka1.P22122814340</dc:title>
  <dc:subject/>
  <dc:creator/>
  <cp:keywords/>
  <cp:lastModifiedBy>Zdenka Šímová</cp:lastModifiedBy>
  <cp:revision>4</cp:revision>
  <dcterms:created xsi:type="dcterms:W3CDTF">2022-12-28T12:44:00Z</dcterms:created>
  <dcterms:modified xsi:type="dcterms:W3CDTF">2022-12-28T12:59:00Z</dcterms:modified>
</cp:coreProperties>
</file>