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73F" w:rsidRDefault="004B773F">
      <w:pPr>
        <w:pStyle w:val="Zhlav"/>
        <w:spacing w:line="280" w:lineRule="atLeast"/>
        <w:jc w:val="center"/>
        <w:rPr>
          <w:b/>
          <w:sz w:val="28"/>
          <w:szCs w:val="28"/>
          <w:lang w:val="cs-CZ"/>
        </w:rPr>
      </w:pPr>
    </w:p>
    <w:p w:rsidR="004B773F" w:rsidRDefault="004B773F">
      <w:pPr>
        <w:pStyle w:val="Zhlav"/>
        <w:spacing w:line="280" w:lineRule="atLeast"/>
        <w:jc w:val="center"/>
        <w:rPr>
          <w:b/>
          <w:sz w:val="28"/>
          <w:szCs w:val="28"/>
          <w:lang w:val="cs-CZ"/>
        </w:rPr>
      </w:pPr>
    </w:p>
    <w:p w:rsidR="004B773F" w:rsidRDefault="0011252D">
      <w:pPr>
        <w:jc w:val="center"/>
        <w:rPr>
          <w:b/>
          <w:sz w:val="32"/>
          <w:szCs w:val="32"/>
        </w:rPr>
      </w:pPr>
      <w:r>
        <w:rPr>
          <w:b/>
          <w:sz w:val="32"/>
          <w:szCs w:val="32"/>
        </w:rPr>
        <w:t>Kupní smlouva</w:t>
      </w:r>
    </w:p>
    <w:p w:rsidR="004B773F" w:rsidRDefault="004B773F">
      <w:pPr>
        <w:jc w:val="center"/>
        <w:rPr>
          <w:b/>
          <w:sz w:val="32"/>
          <w:szCs w:val="32"/>
        </w:rPr>
      </w:pPr>
    </w:p>
    <w:p w:rsidR="004B773F" w:rsidRDefault="0011252D">
      <w:pPr>
        <w:pStyle w:val="Zhlav"/>
        <w:spacing w:line="360" w:lineRule="auto"/>
        <w:jc w:val="center"/>
        <w:rPr>
          <w:color w:val="FF0000"/>
          <w:lang w:val="cs-CZ"/>
        </w:rPr>
      </w:pPr>
      <w:r>
        <w:rPr>
          <w:lang w:val="cs-CZ"/>
        </w:rPr>
        <w:t>Číslo smlouvy kupujícího: 0179/49534963/2022</w:t>
      </w:r>
    </w:p>
    <w:p w:rsidR="004B773F" w:rsidRDefault="004B773F">
      <w:pPr>
        <w:jc w:val="center"/>
        <w:rPr>
          <w:b/>
          <w:sz w:val="32"/>
          <w:szCs w:val="32"/>
        </w:rPr>
      </w:pPr>
    </w:p>
    <w:p w:rsidR="004B773F" w:rsidRDefault="004B773F">
      <w:pPr>
        <w:jc w:val="center"/>
        <w:rPr>
          <w:b/>
          <w:sz w:val="32"/>
          <w:szCs w:val="32"/>
        </w:rPr>
      </w:pPr>
    </w:p>
    <w:p w:rsidR="004B773F" w:rsidRDefault="0011252D">
      <w:pPr>
        <w:rPr>
          <w:b/>
        </w:rPr>
      </w:pPr>
      <w:r>
        <w:rPr>
          <w:b/>
        </w:rPr>
        <w:t>Smluvní strany:</w:t>
      </w:r>
    </w:p>
    <w:p w:rsidR="004B773F" w:rsidRDefault="004B773F">
      <w:pPr>
        <w:jc w:val="both"/>
        <w:rPr>
          <w:b/>
        </w:rPr>
      </w:pPr>
    </w:p>
    <w:p w:rsidR="004B773F" w:rsidRDefault="0011252D">
      <w:pPr>
        <w:jc w:val="both"/>
        <w:rPr>
          <w:b/>
        </w:rPr>
      </w:pPr>
      <w:r>
        <w:rPr>
          <w:b/>
        </w:rPr>
        <w:t xml:space="preserve">Domov Na Zámku Lysá </w:t>
      </w:r>
      <w:proofErr w:type="gramStart"/>
      <w:r>
        <w:rPr>
          <w:b/>
        </w:rPr>
        <w:t>nad</w:t>
      </w:r>
      <w:proofErr w:type="gramEnd"/>
      <w:r>
        <w:rPr>
          <w:b/>
        </w:rPr>
        <w:t xml:space="preserve"> Labem, příspěvková organizace </w:t>
      </w:r>
    </w:p>
    <w:p w:rsidR="004B773F" w:rsidRDefault="0011252D">
      <w:pPr>
        <w:jc w:val="both"/>
      </w:pPr>
      <w:proofErr w:type="gramStart"/>
      <w:r>
        <w:t>se</w:t>
      </w:r>
      <w:proofErr w:type="gramEnd"/>
      <w:r>
        <w:t xml:space="preserve"> sídlem Zámek 1/21, 289 22 Lysá nad Labem</w:t>
      </w:r>
    </w:p>
    <w:p w:rsidR="004B773F" w:rsidRDefault="0011252D">
      <w:pPr>
        <w:tabs>
          <w:tab w:val="left" w:pos="4678"/>
        </w:tabs>
        <w:ind w:firstLine="32"/>
        <w:contextualSpacing/>
        <w:jc w:val="both"/>
        <w:rPr>
          <w:lang w:val="cs-CZ"/>
        </w:rPr>
      </w:pPr>
      <w:proofErr w:type="gramStart"/>
      <w:r>
        <w:t>zastoupený</w:t>
      </w:r>
      <w:proofErr w:type="gramEnd"/>
      <w:r>
        <w:t xml:space="preserve"> Mgr. Jiří Hendrichem – ředitelem </w:t>
      </w:r>
      <w:r>
        <w:rPr>
          <w:lang w:val="cs-CZ"/>
        </w:rPr>
        <w:t>Domova Na Zámku Lysá nad Labem, příspěvková organizace</w:t>
      </w:r>
    </w:p>
    <w:p w:rsidR="004B773F" w:rsidRDefault="0011252D">
      <w:pPr>
        <w:jc w:val="both"/>
      </w:pPr>
      <w:r>
        <w:t xml:space="preserve">IČO: </w:t>
      </w:r>
      <w:r>
        <w:tab/>
      </w:r>
      <w:r>
        <w:tab/>
      </w:r>
      <w:r>
        <w:tab/>
        <w:t xml:space="preserve">      49534963</w:t>
      </w:r>
    </w:p>
    <w:p w:rsidR="004B773F" w:rsidRDefault="00B92E60">
      <w:pPr>
        <w:tabs>
          <w:tab w:val="left" w:pos="2520"/>
        </w:tabs>
        <w:jc w:val="both"/>
        <w:rPr>
          <w:lang w:val="cs-CZ"/>
        </w:rPr>
      </w:pPr>
      <w:r>
        <w:rPr>
          <w:lang w:val="cs-CZ"/>
        </w:rPr>
        <w:t>bankovní spojení:</w:t>
      </w:r>
      <w:r>
        <w:rPr>
          <w:lang w:val="cs-CZ"/>
        </w:rPr>
        <w:tab/>
        <w:t>xxxxxxxx xxxxx</w:t>
      </w:r>
      <w:r w:rsidR="0011252D">
        <w:rPr>
          <w:lang w:val="cs-CZ"/>
        </w:rPr>
        <w:t>, a.s.</w:t>
      </w:r>
    </w:p>
    <w:p w:rsidR="004B773F" w:rsidRDefault="00B92E60">
      <w:pPr>
        <w:jc w:val="both"/>
      </w:pPr>
      <w:proofErr w:type="gramStart"/>
      <w:r>
        <w:t>číslo</w:t>
      </w:r>
      <w:proofErr w:type="gramEnd"/>
      <w:r>
        <w:t xml:space="preserve"> účtu:</w:t>
      </w:r>
      <w:r>
        <w:tab/>
      </w:r>
      <w:r>
        <w:tab/>
        <w:t xml:space="preserve">      xxxxxxxx/xxxx</w:t>
      </w:r>
    </w:p>
    <w:p w:rsidR="004B773F" w:rsidRDefault="0011252D">
      <w:pPr>
        <w:jc w:val="both"/>
      </w:pPr>
      <w:r>
        <w:t>(</w:t>
      </w:r>
      <w:proofErr w:type="gramStart"/>
      <w:r>
        <w:t>dále</w:t>
      </w:r>
      <w:proofErr w:type="gramEnd"/>
      <w:r>
        <w:t xml:space="preserve"> jen „</w:t>
      </w:r>
      <w:r>
        <w:rPr>
          <w:i/>
        </w:rPr>
        <w:t>Kupující</w:t>
      </w:r>
      <w:r>
        <w:t>“)</w:t>
      </w:r>
    </w:p>
    <w:p w:rsidR="004B773F" w:rsidRDefault="004B773F">
      <w:pPr>
        <w:jc w:val="both"/>
      </w:pPr>
    </w:p>
    <w:p w:rsidR="004B773F" w:rsidRDefault="0011252D">
      <w:pPr>
        <w:jc w:val="both"/>
      </w:pPr>
      <w:proofErr w:type="gramStart"/>
      <w:r>
        <w:t>a</w:t>
      </w:r>
      <w:proofErr w:type="gramEnd"/>
    </w:p>
    <w:p w:rsidR="004B773F" w:rsidRDefault="0011252D">
      <w:pPr>
        <w:jc w:val="both"/>
      </w:pPr>
      <w:r>
        <w:t xml:space="preserve"> </w:t>
      </w:r>
    </w:p>
    <w:p w:rsidR="004B773F" w:rsidRDefault="0011252D">
      <w:pPr>
        <w:tabs>
          <w:tab w:val="left" w:pos="2520"/>
        </w:tabs>
        <w:jc w:val="both"/>
        <w:rPr>
          <w:lang w:val="cs-CZ"/>
        </w:rPr>
      </w:pPr>
      <w:r>
        <w:rPr>
          <w:lang w:val="cs-CZ"/>
        </w:rPr>
        <w:t>jméno:</w:t>
      </w:r>
      <w:r>
        <w:rPr>
          <w:lang w:val="cs-CZ"/>
        </w:rPr>
        <w:tab/>
      </w:r>
      <w:r>
        <w:rPr>
          <w:b/>
          <w:lang w:val="cs-CZ"/>
        </w:rPr>
        <w:t>AMEREX trade s.r.o.</w:t>
      </w:r>
      <w:r>
        <w:rPr>
          <w:b/>
          <w:lang w:val="cs-CZ"/>
        </w:rPr>
        <w:tab/>
      </w:r>
    </w:p>
    <w:p w:rsidR="004B773F" w:rsidRDefault="0011252D">
      <w:pPr>
        <w:tabs>
          <w:tab w:val="left" w:pos="2520"/>
        </w:tabs>
        <w:jc w:val="both"/>
        <w:rPr>
          <w:lang w:val="cs-CZ"/>
        </w:rPr>
      </w:pPr>
      <w:r>
        <w:rPr>
          <w:color w:val="000000"/>
          <w:lang w:val="cs-CZ" w:eastAsia="cs-CZ"/>
        </w:rPr>
        <w:t>sídlo:</w:t>
      </w:r>
      <w:r>
        <w:rPr>
          <w:color w:val="000000"/>
          <w:lang w:val="cs-CZ" w:eastAsia="cs-CZ"/>
        </w:rPr>
        <w:tab/>
        <w:t>V zahradách 2052, Ostrava – Poruba 708 00</w:t>
      </w:r>
    </w:p>
    <w:p w:rsidR="004B773F" w:rsidRDefault="0011252D">
      <w:pPr>
        <w:tabs>
          <w:tab w:val="left" w:pos="2520"/>
        </w:tabs>
        <w:jc w:val="both"/>
        <w:rPr>
          <w:lang w:val="cs-CZ" w:eastAsia="cs-CZ"/>
        </w:rPr>
      </w:pPr>
      <w:r>
        <w:rPr>
          <w:lang w:val="cs-CZ"/>
        </w:rPr>
        <w:t>doručovací adresa:</w:t>
      </w:r>
      <w:r>
        <w:rPr>
          <w:lang w:val="cs-CZ"/>
        </w:rPr>
        <w:tab/>
        <w:t>K Břežanům 3, 252 41 Lhota – Dolní Břežany</w:t>
      </w:r>
    </w:p>
    <w:p w:rsidR="004B773F" w:rsidRDefault="0011252D">
      <w:pPr>
        <w:tabs>
          <w:tab w:val="left" w:pos="2520"/>
        </w:tabs>
        <w:jc w:val="both"/>
        <w:rPr>
          <w:color w:val="000000"/>
          <w:lang w:val="cs-CZ" w:eastAsia="cs-CZ"/>
        </w:rPr>
      </w:pPr>
      <w:r>
        <w:rPr>
          <w:color w:val="000000"/>
          <w:lang w:val="cs-CZ" w:eastAsia="cs-CZ"/>
        </w:rPr>
        <w:t>zastoupenou:</w:t>
      </w:r>
      <w:r>
        <w:rPr>
          <w:color w:val="000000"/>
          <w:lang w:val="cs-CZ" w:eastAsia="cs-CZ"/>
        </w:rPr>
        <w:tab/>
        <w:t>Jaroslav Skala - jednatel</w:t>
      </w:r>
    </w:p>
    <w:p w:rsidR="004B773F" w:rsidRDefault="0011252D">
      <w:pPr>
        <w:tabs>
          <w:tab w:val="left" w:pos="2520"/>
        </w:tabs>
        <w:jc w:val="both"/>
        <w:rPr>
          <w:color w:val="000000"/>
          <w:lang w:val="cs-CZ" w:eastAsia="cs-CZ"/>
        </w:rPr>
      </w:pPr>
      <w:r>
        <w:rPr>
          <w:color w:val="000000"/>
          <w:lang w:val="cs-CZ" w:eastAsia="cs-CZ"/>
        </w:rPr>
        <w:t>IČO:</w:t>
      </w:r>
      <w:r>
        <w:rPr>
          <w:lang w:val="cs-CZ" w:eastAsia="cs-CZ"/>
        </w:rPr>
        <w:tab/>
        <w:t>25388461</w:t>
      </w:r>
    </w:p>
    <w:p w:rsidR="004B773F" w:rsidRDefault="0011252D">
      <w:pPr>
        <w:tabs>
          <w:tab w:val="left" w:pos="2520"/>
        </w:tabs>
        <w:jc w:val="both"/>
        <w:rPr>
          <w:color w:val="000000"/>
          <w:lang w:val="cs-CZ" w:eastAsia="cs-CZ"/>
        </w:rPr>
      </w:pPr>
      <w:r>
        <w:rPr>
          <w:color w:val="000000"/>
          <w:lang w:val="cs-CZ" w:eastAsia="cs-CZ"/>
        </w:rPr>
        <w:t>DIČ:</w:t>
      </w:r>
      <w:r>
        <w:rPr>
          <w:color w:val="000000"/>
          <w:lang w:val="cs-CZ" w:eastAsia="cs-CZ"/>
        </w:rPr>
        <w:tab/>
        <w:t>CZ25388461</w:t>
      </w:r>
    </w:p>
    <w:p w:rsidR="004B773F" w:rsidRDefault="00B92E60">
      <w:pPr>
        <w:tabs>
          <w:tab w:val="left" w:pos="2520"/>
        </w:tabs>
        <w:jc w:val="both"/>
        <w:rPr>
          <w:lang w:val="cs-CZ"/>
        </w:rPr>
      </w:pPr>
      <w:r>
        <w:rPr>
          <w:lang w:val="cs-CZ"/>
        </w:rPr>
        <w:t>bankovní spojení:</w:t>
      </w:r>
      <w:r>
        <w:rPr>
          <w:lang w:val="cs-CZ"/>
        </w:rPr>
        <w:tab/>
        <w:t>xx xxxxx</w:t>
      </w:r>
    </w:p>
    <w:p w:rsidR="004B773F" w:rsidRDefault="00B92E60">
      <w:pPr>
        <w:tabs>
          <w:tab w:val="left" w:pos="2520"/>
        </w:tabs>
        <w:jc w:val="both"/>
        <w:rPr>
          <w:lang w:val="cs-CZ"/>
        </w:rPr>
      </w:pPr>
      <w:r>
        <w:rPr>
          <w:lang w:val="cs-CZ"/>
        </w:rPr>
        <w:t>číslo účtu:</w:t>
      </w:r>
      <w:r>
        <w:rPr>
          <w:lang w:val="cs-CZ"/>
        </w:rPr>
        <w:tab/>
        <w:t>xx-xxxxxxxxxx/xxxx</w:t>
      </w:r>
    </w:p>
    <w:p w:rsidR="004B773F" w:rsidRDefault="0011252D">
      <w:pPr>
        <w:tabs>
          <w:tab w:val="left" w:pos="2268"/>
          <w:tab w:val="left" w:pos="2520"/>
          <w:tab w:val="left" w:pos="3544"/>
        </w:tabs>
        <w:jc w:val="both"/>
        <w:rPr>
          <w:lang w:val="cs-CZ"/>
        </w:rPr>
      </w:pPr>
      <w:r>
        <w:rPr>
          <w:lang w:val="cs-CZ"/>
        </w:rPr>
        <w:t xml:space="preserve">zapsanou v obchodním rejstříku vedeném krajským soudem v Ostravě, oddíl C, vložka 17029 </w:t>
      </w:r>
    </w:p>
    <w:p w:rsidR="004B773F" w:rsidRDefault="0011252D">
      <w:pPr>
        <w:tabs>
          <w:tab w:val="left" w:pos="2268"/>
          <w:tab w:val="left" w:pos="2520"/>
          <w:tab w:val="left" w:pos="3544"/>
        </w:tabs>
        <w:jc w:val="both"/>
        <w:rPr>
          <w:lang w:val="cs-CZ"/>
        </w:rPr>
      </w:pPr>
      <w:r>
        <w:rPr>
          <w:lang w:val="cs-CZ"/>
        </w:rPr>
        <w:t xml:space="preserve">zástupce </w:t>
      </w:r>
      <w:r w:rsidR="00B92E60">
        <w:rPr>
          <w:lang w:val="cs-CZ"/>
        </w:rPr>
        <w:t>pro věcná jednání: xxxxxx xxxxxxxxx</w:t>
      </w:r>
      <w:r>
        <w:rPr>
          <w:lang w:val="cs-CZ"/>
        </w:rPr>
        <w:tab/>
        <w:t xml:space="preserve"> </w:t>
      </w:r>
    </w:p>
    <w:p w:rsidR="004B773F" w:rsidRDefault="004B773F">
      <w:pPr>
        <w:jc w:val="both"/>
      </w:pPr>
    </w:p>
    <w:p w:rsidR="004B773F" w:rsidRDefault="004B773F">
      <w:pPr>
        <w:jc w:val="both"/>
      </w:pPr>
    </w:p>
    <w:p w:rsidR="004B773F" w:rsidRDefault="0011252D">
      <w:pPr>
        <w:jc w:val="both"/>
      </w:pPr>
      <w:r>
        <w:t>(</w:t>
      </w:r>
      <w:proofErr w:type="gramStart"/>
      <w:r>
        <w:t>dále</w:t>
      </w:r>
      <w:proofErr w:type="gramEnd"/>
      <w:r>
        <w:t xml:space="preserve"> jen „</w:t>
      </w:r>
      <w:r>
        <w:rPr>
          <w:i/>
        </w:rPr>
        <w:t>Prodávající</w:t>
      </w:r>
      <w:r>
        <w:t>“)</w:t>
      </w:r>
    </w:p>
    <w:p w:rsidR="004B773F" w:rsidRDefault="004B773F">
      <w:pPr>
        <w:jc w:val="both"/>
      </w:pPr>
    </w:p>
    <w:p w:rsidR="004B773F" w:rsidRDefault="004B773F">
      <w:pPr>
        <w:jc w:val="both"/>
      </w:pPr>
    </w:p>
    <w:p w:rsidR="004B773F" w:rsidRDefault="0011252D">
      <w:pPr>
        <w:jc w:val="center"/>
        <w:rPr>
          <w:b/>
          <w:strike/>
          <w:sz w:val="32"/>
          <w:szCs w:val="32"/>
        </w:rPr>
      </w:pPr>
      <w:proofErr w:type="gramStart"/>
      <w:r>
        <w:rPr>
          <w:b/>
        </w:rPr>
        <w:t>uzavírají</w:t>
      </w:r>
      <w:proofErr w:type="gramEnd"/>
      <w:r>
        <w:rPr>
          <w:b/>
        </w:rPr>
        <w:t xml:space="preserve"> spolu dle § 2079 et seq. zákona č. 89/2012 Sb., občanský zákoník, v plném znění tuto kupní smlouvu (dále jen „</w:t>
      </w:r>
      <w:r>
        <w:rPr>
          <w:b/>
          <w:i/>
        </w:rPr>
        <w:t>Smlouva</w:t>
      </w:r>
      <w:r>
        <w:rPr>
          <w:b/>
        </w:rPr>
        <w:t>“)</w:t>
      </w:r>
    </w:p>
    <w:p w:rsidR="004B773F" w:rsidRDefault="004B773F"/>
    <w:p w:rsidR="004B773F" w:rsidRDefault="004B773F"/>
    <w:p w:rsidR="004B773F" w:rsidRDefault="004B773F"/>
    <w:p w:rsidR="004B773F" w:rsidRDefault="004B773F"/>
    <w:p w:rsidR="004B773F" w:rsidRDefault="004B773F"/>
    <w:p w:rsidR="004B773F" w:rsidRDefault="004B773F"/>
    <w:p w:rsidR="004B773F" w:rsidRDefault="004B773F"/>
    <w:p w:rsidR="004B773F" w:rsidRDefault="004B773F"/>
    <w:p w:rsidR="004B773F" w:rsidRDefault="004B773F"/>
    <w:p w:rsidR="0017193E" w:rsidRDefault="0017193E"/>
    <w:p w:rsidR="0017193E" w:rsidRDefault="0017193E"/>
    <w:p w:rsidR="0017193E" w:rsidRDefault="0017193E"/>
    <w:p w:rsidR="004B773F" w:rsidRDefault="0011252D">
      <w:pPr>
        <w:jc w:val="center"/>
        <w:rPr>
          <w:b/>
        </w:rPr>
      </w:pPr>
      <w:r>
        <w:rPr>
          <w:b/>
        </w:rPr>
        <w:lastRenderedPageBreak/>
        <w:t>Článek I.</w:t>
      </w:r>
    </w:p>
    <w:p w:rsidR="004B773F" w:rsidRDefault="0011252D">
      <w:pPr>
        <w:jc w:val="center"/>
        <w:rPr>
          <w:b/>
        </w:rPr>
      </w:pPr>
      <w:r>
        <w:rPr>
          <w:b/>
        </w:rPr>
        <w:t>Předmět Smlouvy</w:t>
      </w:r>
    </w:p>
    <w:p w:rsidR="004B773F" w:rsidRDefault="004B773F">
      <w:pPr>
        <w:jc w:val="center"/>
        <w:rPr>
          <w:b/>
        </w:rPr>
      </w:pPr>
    </w:p>
    <w:p w:rsidR="004B773F" w:rsidRDefault="0011252D">
      <w:pPr>
        <w:numPr>
          <w:ilvl w:val="0"/>
          <w:numId w:val="2"/>
        </w:numPr>
        <w:jc w:val="both"/>
      </w:pPr>
      <w:r>
        <w:t xml:space="preserve">Předmětem této Smlouvy je závazek Prodávajícího prodat </w:t>
      </w:r>
      <w:r>
        <w:rPr>
          <w:b/>
        </w:rPr>
        <w:t>Kupujícímu Konvektomat</w:t>
      </w:r>
      <w:r>
        <w:rPr>
          <w:color w:val="FF0000"/>
        </w:rPr>
        <w:t xml:space="preserve">, </w:t>
      </w:r>
      <w:r>
        <w:rPr>
          <w:b/>
        </w:rPr>
        <w:t xml:space="preserve">Retigo Orange Plus O2011i Plus, </w:t>
      </w:r>
      <w:r>
        <w:t>dle přílohy č. 1, včetně příslušensntví, montážních prací, která je nedílnou součástí podané cenové nabídky (dále jen „Zboží“) a umožnit mu nabýt vlastnické právo k němu za podmínek uvedených dále v této Smlouvě.</w:t>
      </w:r>
    </w:p>
    <w:p w:rsidR="004B773F" w:rsidRDefault="004B773F">
      <w:pPr>
        <w:ind w:left="426"/>
        <w:jc w:val="both"/>
      </w:pPr>
    </w:p>
    <w:p w:rsidR="004B773F" w:rsidRDefault="0011252D">
      <w:pPr>
        <w:pStyle w:val="Odstavecseseznamem"/>
        <w:numPr>
          <w:ilvl w:val="0"/>
          <w:numId w:val="2"/>
        </w:numPr>
        <w:jc w:val="both"/>
      </w:pPr>
      <w:r>
        <w:t xml:space="preserve">Předmětem této Smlouvy je dále závazek Kupujícího Zboží převzít a zaplatit za </w:t>
      </w:r>
      <w:proofErr w:type="gramStart"/>
      <w:r>
        <w:t>ně  Prodávajícímu</w:t>
      </w:r>
      <w:proofErr w:type="gramEnd"/>
      <w:r>
        <w:t xml:space="preserve"> dohodnutou kupní cenu dle této Smlouvy.</w:t>
      </w:r>
    </w:p>
    <w:p w:rsidR="004B773F" w:rsidRDefault="004B773F">
      <w:pPr>
        <w:pStyle w:val="Odstavecseseznamem"/>
      </w:pPr>
    </w:p>
    <w:p w:rsidR="004B773F" w:rsidRDefault="0011252D">
      <w:pPr>
        <w:numPr>
          <w:ilvl w:val="0"/>
          <w:numId w:val="2"/>
        </w:numPr>
        <w:jc w:val="both"/>
      </w:pPr>
      <w:r>
        <w:t xml:space="preserve">Prodávající prohlašuje, že </w:t>
      </w:r>
      <w:r>
        <w:rPr>
          <w:b/>
        </w:rPr>
        <w:t>Konvektomat</w:t>
      </w:r>
      <w:r>
        <w:t xml:space="preserve"> a jeho připojení, splňuje všechny podmínky vyplývající z její funkce a využití.</w:t>
      </w:r>
    </w:p>
    <w:p w:rsidR="004B773F" w:rsidRDefault="004B773F">
      <w:pPr>
        <w:jc w:val="center"/>
        <w:rPr>
          <w:b/>
        </w:rPr>
      </w:pPr>
    </w:p>
    <w:p w:rsidR="004B773F" w:rsidRDefault="0011252D">
      <w:pPr>
        <w:jc w:val="center"/>
        <w:rPr>
          <w:b/>
        </w:rPr>
      </w:pPr>
      <w:r>
        <w:rPr>
          <w:b/>
        </w:rPr>
        <w:t>Článek II.</w:t>
      </w:r>
    </w:p>
    <w:p w:rsidR="004B773F" w:rsidRDefault="0011252D">
      <w:pPr>
        <w:jc w:val="center"/>
        <w:rPr>
          <w:b/>
        </w:rPr>
      </w:pPr>
      <w:r>
        <w:rPr>
          <w:b/>
        </w:rPr>
        <w:t>Cena a platební podmínky</w:t>
      </w:r>
    </w:p>
    <w:p w:rsidR="004B773F" w:rsidRDefault="004B773F"/>
    <w:p w:rsidR="004B773F" w:rsidRDefault="0011252D">
      <w:pPr>
        <w:numPr>
          <w:ilvl w:val="0"/>
          <w:numId w:val="4"/>
        </w:numPr>
        <w:tabs>
          <w:tab w:val="clear" w:pos="720"/>
        </w:tabs>
        <w:ind w:left="426" w:hanging="426"/>
        <w:jc w:val="both"/>
      </w:pPr>
      <w:r>
        <w:t xml:space="preserve">Smluvní strany se dohodly, že kupní cena za Zboží činí </w:t>
      </w:r>
      <w:r>
        <w:rPr>
          <w:b/>
        </w:rPr>
        <w:t>430 136</w:t>
      </w:r>
      <w:proofErr w:type="gramStart"/>
      <w:r>
        <w:rPr>
          <w:b/>
        </w:rPr>
        <w:t>,-</w:t>
      </w:r>
      <w:proofErr w:type="gramEnd"/>
      <w:r>
        <w:rPr>
          <w:b/>
        </w:rPr>
        <w:t xml:space="preserve"> Kč</w:t>
      </w:r>
      <w:r>
        <w:t xml:space="preserve"> bez DPH (slovy: čtyřistatřicettisícstotřicetšestkorun českých), tedy </w:t>
      </w:r>
      <w:r>
        <w:rPr>
          <w:b/>
        </w:rPr>
        <w:t>520 464,56</w:t>
      </w:r>
      <w:r>
        <w:t xml:space="preserve"> Kč vč. DPH. Samotné DPH činí </w:t>
      </w:r>
      <w:r>
        <w:rPr>
          <w:b/>
        </w:rPr>
        <w:t>90 328</w:t>
      </w:r>
      <w:proofErr w:type="gramStart"/>
      <w:r>
        <w:rPr>
          <w:b/>
        </w:rPr>
        <w:t>,56</w:t>
      </w:r>
      <w:proofErr w:type="gramEnd"/>
      <w:r>
        <w:t xml:space="preserve"> Kč.</w:t>
      </w:r>
    </w:p>
    <w:p w:rsidR="004B773F" w:rsidRDefault="004B773F">
      <w:pPr>
        <w:ind w:left="426"/>
        <w:jc w:val="both"/>
      </w:pPr>
    </w:p>
    <w:p w:rsidR="004B773F" w:rsidRDefault="0011252D">
      <w:pPr>
        <w:numPr>
          <w:ilvl w:val="0"/>
          <w:numId w:val="4"/>
        </w:numPr>
        <w:tabs>
          <w:tab w:val="clear" w:pos="720"/>
        </w:tabs>
        <w:ind w:left="426" w:hanging="426"/>
        <w:jc w:val="both"/>
      </w:pPr>
      <w:r>
        <w:t xml:space="preserve">Kupní cena zahrnuje veškeré </w:t>
      </w:r>
      <w:proofErr w:type="gramStart"/>
      <w:r>
        <w:t>daně</w:t>
      </w:r>
      <w:proofErr w:type="gramEnd"/>
      <w:r>
        <w:t>, cla, poplatky a ostatní další výdaje spojené s realizací této smlouvy, včetně veškerých nákladů na dopravu do místa plnění, proškolení, zprovoznění, montáž. Záruční doba 24 měsíců.</w:t>
      </w:r>
    </w:p>
    <w:p w:rsidR="004B773F" w:rsidRDefault="004B773F">
      <w:pPr>
        <w:ind w:left="426" w:hanging="426"/>
        <w:jc w:val="both"/>
      </w:pPr>
    </w:p>
    <w:p w:rsidR="004B773F" w:rsidRDefault="0011252D">
      <w:pPr>
        <w:numPr>
          <w:ilvl w:val="0"/>
          <w:numId w:val="4"/>
        </w:numPr>
        <w:tabs>
          <w:tab w:val="clear" w:pos="720"/>
        </w:tabs>
        <w:ind w:left="426" w:hanging="426"/>
        <w:jc w:val="both"/>
      </w:pPr>
      <w:r>
        <w:t xml:space="preserve">Úhrada kupní ceny bude provedena Kupujícím ve prospěch Prodávajícího </w:t>
      </w:r>
      <w:proofErr w:type="gramStart"/>
      <w:r>
        <w:t>na</w:t>
      </w:r>
      <w:proofErr w:type="gramEnd"/>
      <w:r>
        <w:t xml:space="preserve"> základě faktury (daňového dokladu) vystavené Prodávajícím. Splatnost faktury činí 30 dnů ode dne jejího doručení Kupujícímu. Kupní cena bude uhrazena bezhotovostním převodem </w:t>
      </w:r>
      <w:proofErr w:type="gramStart"/>
      <w:r>
        <w:t>na</w:t>
      </w:r>
      <w:proofErr w:type="gramEnd"/>
      <w:r>
        <w:t xml:space="preserve"> účet Prodávajícího uvedený v úvodu smlouvy v části věnované identifikaci smluvních stran.</w:t>
      </w:r>
    </w:p>
    <w:p w:rsidR="004B773F" w:rsidRDefault="004B773F">
      <w:pPr>
        <w:ind w:left="426"/>
        <w:jc w:val="both"/>
      </w:pPr>
    </w:p>
    <w:p w:rsidR="004B773F" w:rsidRDefault="0011252D">
      <w:pPr>
        <w:numPr>
          <w:ilvl w:val="0"/>
          <w:numId w:val="4"/>
        </w:numPr>
        <w:tabs>
          <w:tab w:val="clear" w:pos="720"/>
        </w:tabs>
        <w:ind w:left="426" w:hanging="426"/>
        <w:jc w:val="both"/>
      </w:pPr>
      <w:r>
        <w:t xml:space="preserve">Prodávající je oprávněn vystavit fakturu až po dodání Zboží Kupujícímu (po podpisu předávacího protokolu dle čl. III. </w:t>
      </w:r>
      <w:proofErr w:type="gramStart"/>
      <w:r>
        <w:t>odst</w:t>
      </w:r>
      <w:proofErr w:type="gramEnd"/>
      <w:r>
        <w:t>. 1). Prodávající se zavazuje, že vedle náležitostí stanovených platnými právními předpisy, bude faktura obsahovat číselné označení a název této Smlouvy.</w:t>
      </w:r>
    </w:p>
    <w:p w:rsidR="004B773F" w:rsidRDefault="004B773F">
      <w:pPr>
        <w:ind w:left="426"/>
        <w:jc w:val="both"/>
      </w:pPr>
    </w:p>
    <w:p w:rsidR="004B773F" w:rsidRDefault="0011252D">
      <w:pPr>
        <w:numPr>
          <w:ilvl w:val="0"/>
          <w:numId w:val="4"/>
        </w:numPr>
        <w:tabs>
          <w:tab w:val="clear" w:pos="720"/>
        </w:tabs>
        <w:ind w:left="426" w:hanging="426"/>
        <w:jc w:val="both"/>
      </w:pPr>
      <w:r>
        <w:t xml:space="preserve">Nebude-li faktura obsahovat výše uvedení údaje a přílohy, je Kupující oprávněn fakturu v době její splatnosti vrátit Prodávajícímu, s uvedením důvodu vrácení. Prodávající je povinen fakturu podle charakteru nedostatků, buď opravit, nebo nově vystavit. Oprávněným vrácením faktury přestává Kupující běžet původní lhůta splatnosti faktury a nová lhůta splatnosti začne běžet okamžikem doručení nové či opravené původní faktury. </w:t>
      </w:r>
    </w:p>
    <w:p w:rsidR="004B773F" w:rsidRDefault="004B773F">
      <w:pPr>
        <w:ind w:left="426"/>
        <w:jc w:val="both"/>
      </w:pPr>
    </w:p>
    <w:p w:rsidR="004B773F" w:rsidRDefault="0011252D">
      <w:pPr>
        <w:numPr>
          <w:ilvl w:val="0"/>
          <w:numId w:val="4"/>
        </w:numPr>
        <w:tabs>
          <w:tab w:val="clear" w:pos="720"/>
        </w:tabs>
        <w:ind w:left="426" w:hanging="426"/>
        <w:jc w:val="both"/>
      </w:pPr>
      <w:r>
        <w:t xml:space="preserve">V případě prodlení Kupujícího se zaplacením kupní ceny podle této Smlouvy zaplatí Kupující Prodávajícímu úrok z prodlení ve </w:t>
      </w:r>
      <w:proofErr w:type="gramStart"/>
      <w:r>
        <w:t>výši  stanovené</w:t>
      </w:r>
      <w:proofErr w:type="gramEnd"/>
      <w:r>
        <w:t xml:space="preserve"> nařízením vlády č. 351/2013 Sb.</w:t>
      </w:r>
    </w:p>
    <w:p w:rsidR="004B773F" w:rsidRDefault="004B773F">
      <w:pPr>
        <w:pStyle w:val="Odstavecseseznamem"/>
      </w:pPr>
    </w:p>
    <w:p w:rsidR="004B773F" w:rsidRDefault="004B773F">
      <w:pPr>
        <w:jc w:val="both"/>
      </w:pPr>
    </w:p>
    <w:p w:rsidR="004B773F" w:rsidRDefault="004B773F">
      <w:pPr>
        <w:jc w:val="center"/>
        <w:rPr>
          <w:b/>
        </w:rPr>
      </w:pPr>
    </w:p>
    <w:p w:rsidR="0017193E" w:rsidRDefault="0017193E">
      <w:pPr>
        <w:jc w:val="center"/>
        <w:rPr>
          <w:b/>
        </w:rPr>
      </w:pPr>
    </w:p>
    <w:p w:rsidR="0017193E" w:rsidRDefault="0017193E">
      <w:pPr>
        <w:jc w:val="center"/>
        <w:rPr>
          <w:b/>
        </w:rPr>
      </w:pPr>
    </w:p>
    <w:p w:rsidR="0017193E" w:rsidRDefault="0017193E">
      <w:pPr>
        <w:jc w:val="center"/>
        <w:rPr>
          <w:b/>
        </w:rPr>
      </w:pPr>
    </w:p>
    <w:p w:rsidR="004B773F" w:rsidRDefault="004B773F">
      <w:pPr>
        <w:jc w:val="center"/>
        <w:rPr>
          <w:b/>
        </w:rPr>
      </w:pPr>
    </w:p>
    <w:p w:rsidR="004B773F" w:rsidRDefault="004B773F">
      <w:pPr>
        <w:jc w:val="center"/>
        <w:rPr>
          <w:b/>
        </w:rPr>
      </w:pPr>
    </w:p>
    <w:p w:rsidR="004B773F" w:rsidRDefault="0011252D">
      <w:pPr>
        <w:jc w:val="center"/>
        <w:rPr>
          <w:b/>
        </w:rPr>
      </w:pPr>
      <w:r>
        <w:rPr>
          <w:b/>
        </w:rPr>
        <w:lastRenderedPageBreak/>
        <w:t>Článek III.</w:t>
      </w:r>
    </w:p>
    <w:p w:rsidR="004B773F" w:rsidRDefault="0011252D">
      <w:pPr>
        <w:jc w:val="center"/>
        <w:rPr>
          <w:b/>
        </w:rPr>
      </w:pPr>
      <w:r>
        <w:rPr>
          <w:b/>
        </w:rPr>
        <w:t>Dodací podmínky, nabytí vlastnického práva</w:t>
      </w:r>
    </w:p>
    <w:p w:rsidR="004B773F" w:rsidRDefault="004B773F">
      <w:pPr>
        <w:jc w:val="center"/>
        <w:rPr>
          <w:b/>
        </w:rPr>
      </w:pPr>
    </w:p>
    <w:p w:rsidR="004B773F" w:rsidRDefault="0011252D">
      <w:pPr>
        <w:numPr>
          <w:ilvl w:val="0"/>
          <w:numId w:val="5"/>
        </w:numPr>
        <w:tabs>
          <w:tab w:val="clear" w:pos="720"/>
        </w:tabs>
        <w:ind w:left="426" w:hanging="426"/>
        <w:jc w:val="both"/>
      </w:pPr>
      <w:r>
        <w:t xml:space="preserve">Prodávající předá Zboží Kupujícímu a Kupující převezme Zboží </w:t>
      </w:r>
      <w:proofErr w:type="gramStart"/>
      <w:r>
        <w:t>od</w:t>
      </w:r>
      <w:proofErr w:type="gramEnd"/>
      <w:r>
        <w:t xml:space="preserve"> Prodávajícího v sídle Kupujícího v den, na kterém se smluvní strany společně dohodnou. O předání Zboží bude sepsán předávací protokol – potvrzení o převzetí Zboží Kupujícím. Tento oboustranně potvrzený protokol bude nedílnou součástí (Přílohou) faktury.</w:t>
      </w:r>
    </w:p>
    <w:p w:rsidR="004B773F" w:rsidRDefault="004B773F">
      <w:pPr>
        <w:ind w:left="426"/>
        <w:jc w:val="both"/>
      </w:pPr>
    </w:p>
    <w:p w:rsidR="004B773F" w:rsidRDefault="0011252D">
      <w:pPr>
        <w:numPr>
          <w:ilvl w:val="0"/>
          <w:numId w:val="5"/>
        </w:numPr>
        <w:tabs>
          <w:tab w:val="clear" w:pos="720"/>
        </w:tabs>
        <w:ind w:left="426" w:hanging="426"/>
        <w:jc w:val="both"/>
      </w:pPr>
      <w:r>
        <w:t xml:space="preserve">Vlastnické právo ke Zboží přechází </w:t>
      </w:r>
      <w:proofErr w:type="gramStart"/>
      <w:r>
        <w:t>na</w:t>
      </w:r>
      <w:proofErr w:type="gramEnd"/>
      <w:r>
        <w:t xml:space="preserve"> Kupujícího oboustranným podpisem předávacího protokolu dle předchozího odstavce.</w:t>
      </w:r>
    </w:p>
    <w:p w:rsidR="004B773F" w:rsidRDefault="004B773F">
      <w:pPr>
        <w:ind w:left="426"/>
        <w:jc w:val="both"/>
      </w:pPr>
    </w:p>
    <w:p w:rsidR="004B773F" w:rsidRDefault="0011252D">
      <w:pPr>
        <w:numPr>
          <w:ilvl w:val="0"/>
          <w:numId w:val="5"/>
        </w:numPr>
        <w:tabs>
          <w:tab w:val="clear" w:pos="720"/>
        </w:tabs>
        <w:ind w:left="426" w:hanging="426"/>
        <w:jc w:val="both"/>
      </w:pPr>
      <w:r>
        <w:t xml:space="preserve">Nebezpečí škody </w:t>
      </w:r>
      <w:proofErr w:type="gramStart"/>
      <w:r>
        <w:t>na</w:t>
      </w:r>
      <w:proofErr w:type="gramEnd"/>
      <w:r>
        <w:t xml:space="preserve"> Zboží přechází z Prodávajícího na Kupujícího okamžikem oboustranného podpisu předávacího protokolu dle tohoto článku.</w:t>
      </w:r>
    </w:p>
    <w:p w:rsidR="004B773F" w:rsidRDefault="004B773F">
      <w:pPr>
        <w:pStyle w:val="Odstavecseseznamem"/>
      </w:pPr>
    </w:p>
    <w:p w:rsidR="004B773F" w:rsidRDefault="0011252D">
      <w:pPr>
        <w:numPr>
          <w:ilvl w:val="0"/>
          <w:numId w:val="5"/>
        </w:numPr>
        <w:tabs>
          <w:tab w:val="clear" w:pos="720"/>
        </w:tabs>
        <w:ind w:left="426" w:hanging="426"/>
        <w:jc w:val="both"/>
      </w:pPr>
      <w:r>
        <w:t xml:space="preserve">Lhůta pro dodání zboží je maximálně do šesti týdnů </w:t>
      </w:r>
      <w:proofErr w:type="gramStart"/>
      <w:r>
        <w:t>od</w:t>
      </w:r>
      <w:proofErr w:type="gramEnd"/>
      <w:r>
        <w:t xml:space="preserve"> podpisu smlouvy. Za každý i započatý den prodlení dodání bude účtována smluvní pokuta 0</w:t>
      </w:r>
      <w:proofErr w:type="gramStart"/>
      <w:r>
        <w:t>,05</w:t>
      </w:r>
      <w:proofErr w:type="gramEnd"/>
      <w:r>
        <w:t>% z celkové ceny zboží s DPH.</w:t>
      </w:r>
    </w:p>
    <w:p w:rsidR="004B773F" w:rsidRDefault="004B773F">
      <w:pPr>
        <w:pStyle w:val="Odstavecseseznamem"/>
      </w:pPr>
    </w:p>
    <w:p w:rsidR="004B773F" w:rsidRDefault="0011252D">
      <w:pPr>
        <w:numPr>
          <w:ilvl w:val="0"/>
          <w:numId w:val="5"/>
        </w:numPr>
        <w:tabs>
          <w:tab w:val="clear" w:pos="720"/>
        </w:tabs>
        <w:ind w:left="426" w:hanging="426"/>
        <w:jc w:val="both"/>
      </w:pPr>
      <w:r>
        <w:t xml:space="preserve">Smluvní strany se mohou písemně dohodnout </w:t>
      </w:r>
      <w:proofErr w:type="gramStart"/>
      <w:r>
        <w:t>na</w:t>
      </w:r>
      <w:proofErr w:type="gramEnd"/>
      <w:r>
        <w:t xml:space="preserve"> smírném řešení, příp. </w:t>
      </w:r>
      <w:proofErr w:type="gramStart"/>
      <w:r>
        <w:t>na</w:t>
      </w:r>
      <w:proofErr w:type="gramEnd"/>
      <w:r>
        <w:t xml:space="preserve"> snížení částek smluvních pokut dle tohoto článku. Uplatněním a zaplacením smluvních pokut nejsou dotčena práva smluvních stran </w:t>
      </w:r>
      <w:proofErr w:type="gramStart"/>
      <w:r>
        <w:t>na</w:t>
      </w:r>
      <w:proofErr w:type="gramEnd"/>
      <w:r>
        <w:t xml:space="preserve"> náhradu škody. </w:t>
      </w:r>
    </w:p>
    <w:p w:rsidR="004B773F" w:rsidRDefault="004B773F">
      <w:pPr>
        <w:pStyle w:val="Odstavecseseznamem"/>
      </w:pPr>
    </w:p>
    <w:p w:rsidR="004B773F" w:rsidRDefault="0011252D">
      <w:pPr>
        <w:numPr>
          <w:ilvl w:val="0"/>
          <w:numId w:val="5"/>
        </w:numPr>
        <w:tabs>
          <w:tab w:val="clear" w:pos="720"/>
        </w:tabs>
        <w:ind w:left="426" w:hanging="426"/>
        <w:jc w:val="both"/>
      </w:pPr>
      <w:r>
        <w:t>Spolu se Zbožím předá prodávající kupujícímu i:</w:t>
      </w:r>
    </w:p>
    <w:p w:rsidR="004B773F" w:rsidRDefault="0011252D">
      <w:pPr>
        <w:numPr>
          <w:ilvl w:val="0"/>
          <w:numId w:val="6"/>
        </w:numPr>
        <w:jc w:val="both"/>
      </w:pPr>
      <w:r>
        <w:t>návod k obsluze a údržbě (Zboží);</w:t>
      </w:r>
    </w:p>
    <w:p w:rsidR="004B773F" w:rsidRDefault="0011252D">
      <w:pPr>
        <w:numPr>
          <w:ilvl w:val="0"/>
          <w:numId w:val="6"/>
        </w:numPr>
        <w:jc w:val="both"/>
      </w:pPr>
      <w:proofErr w:type="gramStart"/>
      <w:r>
        <w:t>ev</w:t>
      </w:r>
      <w:proofErr w:type="gramEnd"/>
      <w:r>
        <w:t xml:space="preserve">. </w:t>
      </w:r>
      <w:proofErr w:type="gramStart"/>
      <w:r>
        <w:t>další</w:t>
      </w:r>
      <w:proofErr w:type="gramEnd"/>
      <w:r>
        <w:t xml:space="preserve"> nezbytné průvodní doklady vážící se ke Zboží. </w:t>
      </w:r>
    </w:p>
    <w:p w:rsidR="004B773F" w:rsidRDefault="004B773F">
      <w:pPr>
        <w:jc w:val="both"/>
      </w:pPr>
    </w:p>
    <w:p w:rsidR="004B773F" w:rsidRDefault="0011252D">
      <w:pPr>
        <w:jc w:val="both"/>
      </w:pPr>
      <w:r>
        <w:t>Bez těchto dokladů nebude Zboží považováno za předané a v tomto smyslu nepodepíše Kupující Protokol.</w:t>
      </w:r>
    </w:p>
    <w:p w:rsidR="004B773F" w:rsidRDefault="004B773F">
      <w:pPr>
        <w:jc w:val="both"/>
      </w:pPr>
    </w:p>
    <w:p w:rsidR="004B773F" w:rsidRDefault="0011252D">
      <w:pPr>
        <w:numPr>
          <w:ilvl w:val="0"/>
          <w:numId w:val="5"/>
        </w:numPr>
        <w:tabs>
          <w:tab w:val="clear" w:pos="720"/>
        </w:tabs>
        <w:ind w:left="426" w:hanging="426"/>
        <w:jc w:val="both"/>
      </w:pPr>
      <w:r>
        <w:t xml:space="preserve">Dodavatel se zavazuje zachovávat mlčenlivost o všech skutečnostech, které nejsou veřejně známy </w:t>
      </w:r>
      <w:proofErr w:type="gramStart"/>
      <w:r>
        <w:t>a</w:t>
      </w:r>
      <w:proofErr w:type="gramEnd"/>
      <w:r>
        <w:t xml:space="preserve"> o kterých se dozví v souvislosti s plněním Smlouvy pro Objednavatele nebo které mu budou v průběhu plnění Smlouvy i po jejím ukončení zpřístupněny, jakož i o samotné existenci těchto skutečností. Povinnost mlčenlivosti se vztahuje na všechny údaje, včetně osobních, získaných z jakýchkoliv zdrojů, dokumentů, klientů a obchodních partnerů Objednavatele, zejména o informacích, poznatcích a skutečnostech, které slouží k dosažení nebo prosazování cílů uvedených subjektů, a to jak v tuzemské, tak i v zahraniční oblasti.</w:t>
      </w:r>
    </w:p>
    <w:p w:rsidR="004B773F" w:rsidRDefault="004B773F">
      <w:pPr>
        <w:jc w:val="both"/>
      </w:pPr>
    </w:p>
    <w:p w:rsidR="004B773F" w:rsidRDefault="004B773F">
      <w:pPr>
        <w:jc w:val="both"/>
      </w:pPr>
    </w:p>
    <w:p w:rsidR="004B773F" w:rsidRDefault="0011252D">
      <w:pPr>
        <w:jc w:val="center"/>
        <w:rPr>
          <w:b/>
          <w:color w:val="000000"/>
        </w:rPr>
      </w:pPr>
      <w:r>
        <w:rPr>
          <w:b/>
          <w:color w:val="000000"/>
        </w:rPr>
        <w:t>Článek IV.</w:t>
      </w:r>
    </w:p>
    <w:p w:rsidR="004B773F" w:rsidRDefault="0011252D">
      <w:pPr>
        <w:jc w:val="center"/>
        <w:rPr>
          <w:b/>
          <w:color w:val="000000"/>
        </w:rPr>
      </w:pPr>
      <w:r>
        <w:rPr>
          <w:b/>
          <w:color w:val="000000"/>
        </w:rPr>
        <w:t xml:space="preserve">Práva z vad, sankce, odstoupení </w:t>
      </w:r>
      <w:proofErr w:type="gramStart"/>
      <w:r>
        <w:rPr>
          <w:b/>
          <w:color w:val="000000"/>
        </w:rPr>
        <w:t>od</w:t>
      </w:r>
      <w:proofErr w:type="gramEnd"/>
      <w:r>
        <w:rPr>
          <w:b/>
          <w:color w:val="000000"/>
        </w:rPr>
        <w:t xml:space="preserve"> smlouvy</w:t>
      </w:r>
    </w:p>
    <w:p w:rsidR="004B773F" w:rsidRDefault="004B773F">
      <w:pPr>
        <w:jc w:val="center"/>
        <w:rPr>
          <w:b/>
          <w:color w:val="000000"/>
        </w:rPr>
      </w:pPr>
    </w:p>
    <w:p w:rsidR="004B773F" w:rsidRDefault="0011252D">
      <w:pPr>
        <w:numPr>
          <w:ilvl w:val="0"/>
          <w:numId w:val="3"/>
        </w:numPr>
        <w:spacing w:line="276" w:lineRule="auto"/>
        <w:ind w:left="426" w:hanging="426"/>
        <w:jc w:val="both"/>
      </w:pPr>
      <w:r>
        <w:t xml:space="preserve">Prodávající se zavazuje poskytnout Kupujícímu </w:t>
      </w:r>
      <w:proofErr w:type="gramStart"/>
      <w:r>
        <w:t>na</w:t>
      </w:r>
      <w:proofErr w:type="gramEnd"/>
      <w:r>
        <w:t xml:space="preserve"> Zboží záruku za jakost dle výrobce, a to počínaje dnem převzetí Zboží Kupujícím.</w:t>
      </w:r>
    </w:p>
    <w:p w:rsidR="004B773F" w:rsidRDefault="0011252D">
      <w:pPr>
        <w:numPr>
          <w:ilvl w:val="0"/>
          <w:numId w:val="3"/>
        </w:numPr>
        <w:spacing w:line="276" w:lineRule="auto"/>
        <w:ind w:left="426" w:hanging="426"/>
        <w:jc w:val="both"/>
      </w:pPr>
      <w:r>
        <w:t>Vady musí Kupující uplatnit u Prodávajícího bez zbytečného odkladu poté, co se o nich dozví.</w:t>
      </w:r>
    </w:p>
    <w:p w:rsidR="004B773F" w:rsidRDefault="0011252D">
      <w:pPr>
        <w:numPr>
          <w:ilvl w:val="0"/>
          <w:numId w:val="3"/>
        </w:numPr>
        <w:spacing w:line="276" w:lineRule="auto"/>
        <w:ind w:left="426" w:hanging="426"/>
        <w:jc w:val="both"/>
      </w:pPr>
      <w:r>
        <w:t xml:space="preserve">V případě výskytu záruční vady je Prodávající povinen zajistit realizaci záručního servisu a v co nejkratším termínu ji bezplatně odstranit. </w:t>
      </w:r>
    </w:p>
    <w:p w:rsidR="004B773F" w:rsidRDefault="0011252D">
      <w:pPr>
        <w:numPr>
          <w:ilvl w:val="0"/>
          <w:numId w:val="3"/>
        </w:numPr>
        <w:spacing w:line="276" w:lineRule="auto"/>
        <w:ind w:left="426" w:hanging="426"/>
        <w:jc w:val="both"/>
      </w:pPr>
      <w:r>
        <w:t>Za záruční vady nebudou považovány ty vady, které byly způsobeny nesprávnou obsluhou nebo údržbou Zboží nebo úmyslným poškozením Zboží Kupujícím nebo nepovolanou osobou, případně jakýmikoli jinými zásahy, jednáními nebo skutečnostmi nastalými na straně Kupujícího.</w:t>
      </w:r>
    </w:p>
    <w:p w:rsidR="004B773F" w:rsidRDefault="0011252D">
      <w:pPr>
        <w:numPr>
          <w:ilvl w:val="0"/>
          <w:numId w:val="3"/>
        </w:numPr>
        <w:spacing w:line="276" w:lineRule="auto"/>
        <w:ind w:left="426" w:hanging="426"/>
        <w:jc w:val="both"/>
      </w:pPr>
      <w:r>
        <w:t>Kupující je dále oprávněn odstoupit od Smlouvy, jestliže zjistí, že Prodávající:</w:t>
      </w:r>
    </w:p>
    <w:p w:rsidR="004B773F" w:rsidRDefault="0011252D">
      <w:pPr>
        <w:pStyle w:val="Zkladntext"/>
        <w:ind w:left="1134" w:hanging="429"/>
        <w:rPr>
          <w:rFonts w:ascii="Times New Roman" w:hAnsi="Times New Roman" w:cs="Times New Roman"/>
        </w:rPr>
      </w:pPr>
      <w:r>
        <w:rPr>
          <w:rFonts w:ascii="Times New Roman" w:hAnsi="Times New Roman" w:cs="Times New Roman"/>
        </w:rPr>
        <w:lastRenderedPageBreak/>
        <w:t>a)</w:t>
      </w:r>
      <w:r>
        <w:tab/>
      </w:r>
      <w:proofErr w:type="gramStart"/>
      <w:r>
        <w:rPr>
          <w:rFonts w:ascii="Times New Roman" w:hAnsi="Times New Roman" w:cs="Times New Roman"/>
        </w:rPr>
        <w:t>nabízel</w:t>
      </w:r>
      <w:proofErr w:type="gramEnd"/>
      <w:r>
        <w:rPr>
          <w:rFonts w:ascii="Times New Roman" w:hAnsi="Times New Roman" w:cs="Times New Roman"/>
        </w:rPr>
        <w:t>, dával, přijímal nebo zprostředkovával určité hodnoty s cílem ovlivnit chování nebo jednání kohokoliv, ať již úřední osoby nebo kohokoliv jiného, přímo nebo nepřímo při uzavírání Smlouvy nebo při provádění Smlouvy; nebo</w:t>
      </w:r>
    </w:p>
    <w:p w:rsidR="004B773F" w:rsidRDefault="0011252D">
      <w:pPr>
        <w:pStyle w:val="Zkladntext"/>
        <w:ind w:left="1134" w:hanging="429"/>
        <w:rPr>
          <w:rFonts w:ascii="Times New Roman" w:hAnsi="Times New Roman" w:cs="Times New Roman"/>
        </w:rPr>
      </w:pPr>
      <w:r>
        <w:rPr>
          <w:rFonts w:ascii="Times New Roman" w:hAnsi="Times New Roman" w:cs="Times New Roman"/>
        </w:rPr>
        <w:t>b)</w:t>
      </w:r>
      <w:r>
        <w:rPr>
          <w:rFonts w:ascii="Times New Roman" w:hAnsi="Times New Roman" w:cs="Times New Roman"/>
        </w:rPr>
        <w:tab/>
      </w:r>
      <w:proofErr w:type="gramStart"/>
      <w:r>
        <w:rPr>
          <w:rFonts w:ascii="Times New Roman" w:hAnsi="Times New Roman" w:cs="Times New Roman"/>
        </w:rPr>
        <w:t>zkresloval</w:t>
      </w:r>
      <w:proofErr w:type="gramEnd"/>
      <w:r>
        <w:rPr>
          <w:rFonts w:ascii="Times New Roman" w:hAnsi="Times New Roman" w:cs="Times New Roman"/>
        </w:rPr>
        <w:t xml:space="preserve"> jakékoliv skutečnosti za účelem uzavření Smlouvy nebo provádění Smlouvy ke škodě Kupujícího, včetně užití podvodných praktik k potlačení a snížení výhod volné a otevřené soutěže.</w:t>
      </w:r>
    </w:p>
    <w:p w:rsidR="004B773F" w:rsidRDefault="0011252D">
      <w:pPr>
        <w:pStyle w:val="Zkladntext"/>
        <w:numPr>
          <w:ilvl w:val="0"/>
          <w:numId w:val="3"/>
        </w:numPr>
        <w:spacing w:after="120" w:line="240" w:lineRule="auto"/>
        <w:ind w:left="426" w:hanging="426"/>
        <w:rPr>
          <w:rFonts w:ascii="Times New Roman" w:hAnsi="Times New Roman" w:cs="Times New Roman"/>
        </w:rPr>
      </w:pPr>
      <w:r>
        <w:rPr>
          <w:rFonts w:ascii="Times New Roman" w:hAnsi="Times New Roman" w:cs="Times New Roman"/>
        </w:rPr>
        <w:t xml:space="preserve">Odstoupení </w:t>
      </w:r>
      <w:proofErr w:type="gramStart"/>
      <w:r>
        <w:rPr>
          <w:rFonts w:ascii="Times New Roman" w:hAnsi="Times New Roman" w:cs="Times New Roman"/>
        </w:rPr>
        <w:t>od</w:t>
      </w:r>
      <w:proofErr w:type="gramEnd"/>
      <w:r>
        <w:rPr>
          <w:rFonts w:ascii="Times New Roman" w:hAnsi="Times New Roman" w:cs="Times New Roman"/>
        </w:rPr>
        <w:t xml:space="preserve"> Smlouvy musí být provedeno v písemné formě. Odstoupením se závazek založený Smlouvou zrušuje </w:t>
      </w:r>
      <w:proofErr w:type="gramStart"/>
      <w:r>
        <w:rPr>
          <w:rFonts w:ascii="Times New Roman" w:hAnsi="Times New Roman" w:cs="Times New Roman"/>
        </w:rPr>
        <w:t>od</w:t>
      </w:r>
      <w:proofErr w:type="gramEnd"/>
      <w:r>
        <w:rPr>
          <w:rFonts w:ascii="Times New Roman" w:hAnsi="Times New Roman" w:cs="Times New Roman"/>
        </w:rPr>
        <w:t xml:space="preserve"> počátku. Účinky odstoupení nastávají okamžikem</w:t>
      </w:r>
      <w:r>
        <w:t xml:space="preserve"> </w:t>
      </w:r>
      <w:r>
        <w:rPr>
          <w:rFonts w:ascii="Times New Roman" w:hAnsi="Times New Roman" w:cs="Times New Roman"/>
        </w:rPr>
        <w:t xml:space="preserve">doručení odstoupení </w:t>
      </w:r>
      <w:proofErr w:type="gramStart"/>
      <w:r>
        <w:rPr>
          <w:rFonts w:ascii="Times New Roman" w:hAnsi="Times New Roman" w:cs="Times New Roman"/>
        </w:rPr>
        <w:t>od</w:t>
      </w:r>
      <w:proofErr w:type="gramEnd"/>
      <w:r>
        <w:rPr>
          <w:rFonts w:ascii="Times New Roman" w:hAnsi="Times New Roman" w:cs="Times New Roman"/>
        </w:rPr>
        <w:t xml:space="preserve"> Smlouvy Prodávajícímu. Odstoupení </w:t>
      </w:r>
      <w:proofErr w:type="gramStart"/>
      <w:r>
        <w:rPr>
          <w:rFonts w:ascii="Times New Roman" w:hAnsi="Times New Roman" w:cs="Times New Roman"/>
        </w:rPr>
        <w:t>od</w:t>
      </w:r>
      <w:proofErr w:type="gramEnd"/>
      <w:r>
        <w:rPr>
          <w:rFonts w:ascii="Times New Roman" w:hAnsi="Times New Roman" w:cs="Times New Roman"/>
        </w:rPr>
        <w:t xml:space="preserve"> Smlouvy se nedotýká práva na náhradu škody vzniklého z porušení smluvní povinnosti, práva na zaplacení smluvní pokuty a úroku z prodlení, pokud již dospěl, ani ujednání o způsobu řešení sporů a volbě práva.</w:t>
      </w:r>
    </w:p>
    <w:p w:rsidR="004B773F" w:rsidRDefault="0011252D">
      <w:pPr>
        <w:pStyle w:val="Zkladntext"/>
        <w:numPr>
          <w:ilvl w:val="0"/>
          <w:numId w:val="3"/>
        </w:numPr>
        <w:tabs>
          <w:tab w:val="left" w:pos="426"/>
        </w:tabs>
        <w:spacing w:after="120" w:line="240" w:lineRule="auto"/>
        <w:ind w:left="426" w:hanging="426"/>
        <w:rPr>
          <w:rFonts w:ascii="Times New Roman" w:hAnsi="Times New Roman" w:cs="Times New Roman"/>
        </w:rPr>
      </w:pPr>
      <w:r>
        <w:rPr>
          <w:rFonts w:ascii="Times New Roman" w:hAnsi="Times New Roman" w:cs="Times New Roman"/>
        </w:rPr>
        <w:t xml:space="preserve">Uplatněním práv z vad či uplatněním smluvních pokut není dotčeno právo </w:t>
      </w:r>
      <w:proofErr w:type="gramStart"/>
      <w:r>
        <w:rPr>
          <w:rFonts w:ascii="Times New Roman" w:hAnsi="Times New Roman" w:cs="Times New Roman"/>
        </w:rPr>
        <w:t>na</w:t>
      </w:r>
      <w:proofErr w:type="gramEnd"/>
      <w:r>
        <w:rPr>
          <w:rFonts w:ascii="Times New Roman" w:hAnsi="Times New Roman" w:cs="Times New Roman"/>
        </w:rPr>
        <w:t xml:space="preserve"> náhradu újmy v plné výši.</w:t>
      </w:r>
    </w:p>
    <w:p w:rsidR="004B773F" w:rsidRDefault="0011252D">
      <w:pPr>
        <w:jc w:val="center"/>
        <w:rPr>
          <w:b/>
        </w:rPr>
      </w:pPr>
      <w:r>
        <w:rPr>
          <w:b/>
        </w:rPr>
        <w:t>Článek V.</w:t>
      </w:r>
    </w:p>
    <w:p w:rsidR="004B773F" w:rsidRDefault="0011252D">
      <w:pPr>
        <w:jc w:val="center"/>
        <w:rPr>
          <w:b/>
        </w:rPr>
      </w:pPr>
      <w:r>
        <w:rPr>
          <w:b/>
        </w:rPr>
        <w:t>Odpovědné zadávání, sankční seznam</w:t>
      </w:r>
    </w:p>
    <w:p w:rsidR="004B773F" w:rsidRDefault="004B773F">
      <w:pPr>
        <w:rPr>
          <w:b/>
        </w:rPr>
      </w:pPr>
    </w:p>
    <w:p w:rsidR="004B773F" w:rsidRDefault="0011252D">
      <w:pPr>
        <w:pStyle w:val="Zkladntext"/>
        <w:numPr>
          <w:ilvl w:val="0"/>
          <w:numId w:val="8"/>
        </w:numPr>
        <w:spacing w:after="120" w:line="240" w:lineRule="auto"/>
        <w:ind w:left="426" w:hanging="426"/>
        <w:rPr>
          <w:rFonts w:ascii="Times New Roman" w:hAnsi="Times New Roman" w:cs="Times New Roman"/>
        </w:rPr>
      </w:pPr>
      <w:r>
        <w:rPr>
          <w:rFonts w:ascii="Times New Roman" w:hAnsi="Times New Roman" w:cs="Times New Roman"/>
        </w:rPr>
        <w:t xml:space="preserve">Zadavatel má zájem zadat veřejnou zakázku v souladu se zásadami sociálně odpovědného zadávání veřejných zakázek. Sociálně odpovědné zadávání kromě důrazu </w:t>
      </w:r>
      <w:proofErr w:type="gramStart"/>
      <w:r>
        <w:rPr>
          <w:rFonts w:ascii="Times New Roman" w:hAnsi="Times New Roman" w:cs="Times New Roman"/>
        </w:rPr>
        <w:t>na</w:t>
      </w:r>
      <w:proofErr w:type="gramEnd"/>
      <w:r>
        <w:rPr>
          <w:rFonts w:ascii="Times New Roman" w:hAnsi="Times New Roman" w:cs="Times New Roman"/>
        </w:rPr>
        <w:t xml:space="preserve"> čistě ekonomické parametry zohledňuje také související dopady zejména v oblasti zaměstnanosti, sociálních a pracovních práv a životního prostředí. Zadavatel </w:t>
      </w:r>
      <w:proofErr w:type="gramStart"/>
      <w:r>
        <w:rPr>
          <w:rFonts w:ascii="Times New Roman" w:hAnsi="Times New Roman" w:cs="Times New Roman"/>
        </w:rPr>
        <w:t>od</w:t>
      </w:r>
      <w:proofErr w:type="gramEnd"/>
      <w:r>
        <w:rPr>
          <w:rFonts w:ascii="Times New Roman" w:hAnsi="Times New Roman" w:cs="Times New Roman"/>
        </w:rPr>
        <w:t xml:space="preserve"> dodavatele vyžaduje při plnění předmětu veřejné zakázky zajistit legální zaměstnávání, férové pracovní podmínky a odpovídající úroveň bezpečnosti práce pro všechny osoby, které se na plnění veřejné zakázky podílejí. </w:t>
      </w:r>
    </w:p>
    <w:p w:rsidR="004B773F" w:rsidRDefault="0011252D">
      <w:pPr>
        <w:pStyle w:val="Zkladntext"/>
        <w:numPr>
          <w:ilvl w:val="0"/>
          <w:numId w:val="8"/>
        </w:numPr>
        <w:spacing w:after="120" w:line="240" w:lineRule="auto"/>
        <w:ind w:left="426" w:hanging="426"/>
        <w:rPr>
          <w:rFonts w:ascii="Times New Roman" w:hAnsi="Times New Roman" w:cs="Times New Roman"/>
        </w:rPr>
      </w:pPr>
      <w:r>
        <w:rPr>
          <w:rFonts w:ascii="Times New Roman" w:hAnsi="Times New Roman" w:cs="Times New Roman"/>
        </w:rPr>
        <w:t xml:space="preserve">Smlouva uzavřena </w:t>
      </w:r>
      <w:proofErr w:type="gramStart"/>
      <w:r>
        <w:rPr>
          <w:rFonts w:ascii="Times New Roman" w:hAnsi="Times New Roman" w:cs="Times New Roman"/>
        </w:rPr>
        <w:t>na</w:t>
      </w:r>
      <w:proofErr w:type="gramEnd"/>
      <w:r>
        <w:rPr>
          <w:rFonts w:ascii="Times New Roman" w:hAnsi="Times New Roman" w:cs="Times New Roman"/>
        </w:rPr>
        <w:t xml:space="preserve"> základě nařízení Rady (EU) 2022/576, ze dne 8. </w:t>
      </w:r>
      <w:proofErr w:type="gramStart"/>
      <w:r>
        <w:rPr>
          <w:rFonts w:ascii="Times New Roman" w:hAnsi="Times New Roman" w:cs="Times New Roman"/>
        </w:rPr>
        <w:t>dubna</w:t>
      </w:r>
      <w:proofErr w:type="gramEnd"/>
      <w:r>
        <w:rPr>
          <w:rFonts w:ascii="Times New Roman" w:hAnsi="Times New Roman" w:cs="Times New Roman"/>
        </w:rPr>
        <w:t xml:space="preserve"> 2022, došlo ke změně nařízení (EU) č. 833/2014 o omezujících opatřeních k činnostem Ruska destabilizující situaci na Ukrajině, do kterého byl mimo jiné vložen čl. 5k, který výslovně stanoví zákaz zadat nebo dále plnit jakoukoliv veřejnou zakázku nebo koncesní smlouvu, a to včetně zakázek, pro něž se jinak uplatní výjimky podle evropských zadávacích směrnic, osobám uvedených v tzv. </w:t>
      </w:r>
      <w:proofErr w:type="gramStart"/>
      <w:r>
        <w:rPr>
          <w:rFonts w:ascii="Times New Roman" w:hAnsi="Times New Roman" w:cs="Times New Roman"/>
        </w:rPr>
        <w:t>sankčních</w:t>
      </w:r>
      <w:proofErr w:type="gramEnd"/>
      <w:r>
        <w:rPr>
          <w:rFonts w:ascii="Times New Roman" w:hAnsi="Times New Roman" w:cs="Times New Roman"/>
        </w:rPr>
        <w:t xml:space="preserve"> seznamech a dle zákona č. 240/2022 Sb., o provádění mezinárodních sankcích a zákona č. 134/2016 Sb., o zadávání veřejných zakázek, v platném znění. </w:t>
      </w:r>
    </w:p>
    <w:p w:rsidR="004B773F" w:rsidRDefault="0011252D">
      <w:pPr>
        <w:pStyle w:val="Zkladntext"/>
        <w:numPr>
          <w:ilvl w:val="0"/>
          <w:numId w:val="8"/>
        </w:numPr>
        <w:spacing w:after="120" w:line="240" w:lineRule="auto"/>
        <w:ind w:left="426" w:hanging="426"/>
        <w:rPr>
          <w:rFonts w:ascii="Times New Roman" w:hAnsi="Times New Roman" w:cs="Times New Roman"/>
        </w:rPr>
      </w:pPr>
      <w:r>
        <w:rPr>
          <w:rFonts w:ascii="Times New Roman" w:hAnsi="Times New Roman" w:cs="Times New Roman"/>
        </w:rPr>
        <w:t xml:space="preserve">V případě pochybností zadavatele dle předcházejícího bodu, je zadavatel oprávněn odstoupit </w:t>
      </w:r>
      <w:proofErr w:type="gramStart"/>
      <w:r>
        <w:rPr>
          <w:rFonts w:ascii="Times New Roman" w:hAnsi="Times New Roman" w:cs="Times New Roman"/>
        </w:rPr>
        <w:t>od</w:t>
      </w:r>
      <w:proofErr w:type="gramEnd"/>
      <w:r>
        <w:rPr>
          <w:rFonts w:ascii="Times New Roman" w:hAnsi="Times New Roman" w:cs="Times New Roman"/>
        </w:rPr>
        <w:t xml:space="preserve"> smlouvy.</w:t>
      </w:r>
    </w:p>
    <w:p w:rsidR="004B773F" w:rsidRDefault="004B773F">
      <w:pPr>
        <w:jc w:val="both"/>
      </w:pPr>
    </w:p>
    <w:p w:rsidR="004B773F" w:rsidRDefault="0011252D">
      <w:pPr>
        <w:jc w:val="center"/>
        <w:rPr>
          <w:b/>
        </w:rPr>
      </w:pPr>
      <w:r>
        <w:rPr>
          <w:b/>
        </w:rPr>
        <w:t>Článek VI.</w:t>
      </w:r>
    </w:p>
    <w:p w:rsidR="004B773F" w:rsidRDefault="0011252D">
      <w:pPr>
        <w:jc w:val="center"/>
        <w:rPr>
          <w:b/>
        </w:rPr>
      </w:pPr>
      <w:r>
        <w:rPr>
          <w:b/>
        </w:rPr>
        <w:t>Závěrečná ujednání</w:t>
      </w:r>
    </w:p>
    <w:p w:rsidR="004B773F" w:rsidRDefault="004B773F"/>
    <w:p w:rsidR="004B773F" w:rsidRDefault="0011252D">
      <w:pPr>
        <w:pStyle w:val="Zkladntext"/>
        <w:numPr>
          <w:ilvl w:val="0"/>
          <w:numId w:val="7"/>
        </w:numPr>
        <w:spacing w:after="120" w:line="240" w:lineRule="auto"/>
        <w:ind w:left="426"/>
        <w:rPr>
          <w:rFonts w:ascii="Times New Roman" w:hAnsi="Times New Roman" w:cs="Times New Roman"/>
        </w:rPr>
      </w:pPr>
      <w:r>
        <w:rPr>
          <w:rFonts w:ascii="Times New Roman" w:hAnsi="Times New Roman" w:cs="Times New Roman"/>
        </w:rPr>
        <w:t xml:space="preserve">Účastníci této Smlouvy po jejím úplném přečtení prohlašují, že souhlasí s jejím obsahem, že byla sepsána </w:t>
      </w:r>
      <w:proofErr w:type="gramStart"/>
      <w:r>
        <w:rPr>
          <w:rFonts w:ascii="Times New Roman" w:hAnsi="Times New Roman" w:cs="Times New Roman"/>
        </w:rPr>
        <w:t>na</w:t>
      </w:r>
      <w:proofErr w:type="gramEnd"/>
      <w:r>
        <w:rPr>
          <w:rFonts w:ascii="Times New Roman" w:hAnsi="Times New Roman" w:cs="Times New Roman"/>
        </w:rPr>
        <w:t xml:space="preserve"> základě jejich pravé, svobodné a vážné vůle, nikoliv v tísni nebo za nápadně nevýhodných podmínek. Na důkaz toho připojují účastníci své vlastnoruční podpisy. </w:t>
      </w:r>
    </w:p>
    <w:p w:rsidR="004B773F" w:rsidRDefault="0011252D">
      <w:pPr>
        <w:numPr>
          <w:ilvl w:val="0"/>
          <w:numId w:val="7"/>
        </w:numPr>
        <w:spacing w:line="276" w:lineRule="auto"/>
        <w:ind w:left="426" w:hanging="426"/>
        <w:jc w:val="both"/>
      </w:pPr>
      <w:r>
        <w:t xml:space="preserve">Tato Smlouva nabývá platnosti dnem jejího podpisu oběma smluvními stranami a nabývá účinnosti dnem její uveřejnění v registru smluv, které provede Kupující. </w:t>
      </w:r>
    </w:p>
    <w:p w:rsidR="004B773F" w:rsidRDefault="0011252D">
      <w:pPr>
        <w:numPr>
          <w:ilvl w:val="0"/>
          <w:numId w:val="7"/>
        </w:numPr>
        <w:spacing w:line="276" w:lineRule="auto"/>
        <w:ind w:left="426" w:hanging="426"/>
        <w:jc w:val="both"/>
      </w:pPr>
      <w:proofErr w:type="gramStart"/>
      <w:r>
        <w:t>Od</w:t>
      </w:r>
      <w:proofErr w:type="gramEnd"/>
      <w:r>
        <w:t xml:space="preserve"> této Smlouvy může Kupující jednostranně odstoupit i bez udání důvodu a to až do okamžiku podpisu předávacího protokolu dle čl. III. </w:t>
      </w:r>
      <w:proofErr w:type="gramStart"/>
      <w:r>
        <w:t>odst</w:t>
      </w:r>
      <w:proofErr w:type="gramEnd"/>
      <w:r>
        <w:t xml:space="preserve">. 1. </w:t>
      </w:r>
      <w:proofErr w:type="gramStart"/>
      <w:r>
        <w:t>této</w:t>
      </w:r>
      <w:proofErr w:type="gramEnd"/>
      <w:r>
        <w:t xml:space="preserve"> Smlouvy.</w:t>
      </w:r>
    </w:p>
    <w:p w:rsidR="004B773F" w:rsidRDefault="0011252D">
      <w:pPr>
        <w:numPr>
          <w:ilvl w:val="0"/>
          <w:numId w:val="7"/>
        </w:numPr>
        <w:spacing w:line="276" w:lineRule="auto"/>
        <w:ind w:left="426" w:hanging="426"/>
        <w:jc w:val="both"/>
        <w:rPr>
          <w:color w:val="000000"/>
        </w:rPr>
      </w:pPr>
      <w:r>
        <w:t>Tato Smlouva</w:t>
      </w:r>
      <w:r>
        <w:rPr>
          <w:color w:val="000000"/>
        </w:rPr>
        <w:t xml:space="preserve"> se pořizuje ve čtyřech (2) stejnopisech, přičemž Kupující obdrží 1 stejnopis. Zbylý stejnopis obdrží Prodávající.</w:t>
      </w:r>
    </w:p>
    <w:p w:rsidR="004B773F" w:rsidRDefault="004B773F">
      <w:pPr>
        <w:pStyle w:val="Odstavecseseznamem"/>
        <w:rPr>
          <w:color w:val="000000"/>
        </w:rPr>
      </w:pPr>
    </w:p>
    <w:p w:rsidR="004B773F" w:rsidRDefault="0011252D">
      <w:pPr>
        <w:numPr>
          <w:ilvl w:val="0"/>
          <w:numId w:val="7"/>
        </w:numPr>
        <w:spacing w:line="276" w:lineRule="auto"/>
        <w:ind w:left="426" w:hanging="426"/>
        <w:jc w:val="both"/>
      </w:pPr>
      <w:r>
        <w:lastRenderedPageBreak/>
        <w:t>Změny nebo doplňky této Smlouvy jsou možné pouze formou písemných, vzestupně číslovaných, dodatků, podepsaných oprávněnými zástupci obou smluvních stran.</w:t>
      </w:r>
    </w:p>
    <w:p w:rsidR="004B773F" w:rsidRDefault="0011252D">
      <w:pPr>
        <w:numPr>
          <w:ilvl w:val="0"/>
          <w:numId w:val="7"/>
        </w:numPr>
        <w:spacing w:line="276" w:lineRule="auto"/>
        <w:ind w:left="426" w:hanging="426"/>
        <w:jc w:val="both"/>
      </w:pPr>
      <w:r>
        <w:t>V případě neplatnosti některého ustanovení této Smlouvy není dotčena platnost ostatních ustanovení této Smlouvy.</w:t>
      </w:r>
    </w:p>
    <w:p w:rsidR="004B773F" w:rsidRDefault="004B773F">
      <w:pPr>
        <w:pStyle w:val="Odstavecseseznamem"/>
      </w:pPr>
    </w:p>
    <w:p w:rsidR="004B773F" w:rsidRDefault="004B773F"/>
    <w:p w:rsidR="004B773F" w:rsidRDefault="004B773F">
      <w:pPr>
        <w:jc w:val="both"/>
      </w:pPr>
    </w:p>
    <w:p w:rsidR="004B773F" w:rsidRDefault="0011252D">
      <w:pPr>
        <w:jc w:val="both"/>
      </w:pPr>
      <w:r>
        <w:t>Nedílnou součástí této smlouvy jsou i následující přílohy:</w:t>
      </w:r>
    </w:p>
    <w:p w:rsidR="004B773F" w:rsidRDefault="0011252D">
      <w:pPr>
        <w:jc w:val="both"/>
        <w:rPr>
          <w:b/>
        </w:rPr>
      </w:pPr>
      <w:r>
        <w:t>Příloha č. 1 – Technické požadavky</w:t>
      </w:r>
    </w:p>
    <w:p w:rsidR="004B773F" w:rsidRDefault="004B773F">
      <w:pPr>
        <w:jc w:val="both"/>
      </w:pPr>
    </w:p>
    <w:p w:rsidR="004B773F" w:rsidRDefault="004B773F">
      <w:pPr>
        <w:jc w:val="both"/>
      </w:pPr>
    </w:p>
    <w:p w:rsidR="004B773F" w:rsidRDefault="004B773F">
      <w:pPr>
        <w:jc w:val="both"/>
      </w:pPr>
    </w:p>
    <w:p w:rsidR="004B773F" w:rsidRDefault="004B773F">
      <w:pPr>
        <w:jc w:val="both"/>
      </w:pPr>
    </w:p>
    <w:p w:rsidR="004B773F" w:rsidRDefault="0011252D">
      <w:r>
        <w:t>Kupující</w:t>
      </w:r>
      <w:r>
        <w:tab/>
      </w:r>
      <w:r>
        <w:tab/>
      </w:r>
      <w:r>
        <w:tab/>
      </w:r>
      <w:r>
        <w:tab/>
      </w:r>
      <w:r>
        <w:tab/>
      </w:r>
      <w:r>
        <w:tab/>
        <w:t>Prodávající</w:t>
      </w:r>
    </w:p>
    <w:p w:rsidR="004B773F" w:rsidRDefault="0011252D">
      <w:r>
        <w:t xml:space="preserve">V Lysé </w:t>
      </w:r>
      <w:proofErr w:type="gramStart"/>
      <w:r>
        <w:t>nad</w:t>
      </w:r>
      <w:proofErr w:type="gramEnd"/>
      <w:r>
        <w:t xml:space="preserve"> Labem</w:t>
      </w:r>
      <w:r w:rsidR="00B92E60">
        <w:t xml:space="preserve"> 27. 12. 2022</w:t>
      </w:r>
      <w:r w:rsidR="00B92E60">
        <w:tab/>
      </w:r>
      <w:r w:rsidR="00B92E60">
        <w:tab/>
      </w:r>
      <w:r w:rsidR="00B92E60">
        <w:tab/>
      </w:r>
      <w:r>
        <w:t>Ve Lhotě</w:t>
      </w:r>
      <w:r w:rsidR="00B92E60">
        <w:t xml:space="preserve"> 27. 12. 2022</w:t>
      </w:r>
    </w:p>
    <w:p w:rsidR="004B773F" w:rsidRDefault="004B773F"/>
    <w:p w:rsidR="004B773F" w:rsidRDefault="0011252D">
      <w:r>
        <w:t xml:space="preserve">   </w:t>
      </w:r>
    </w:p>
    <w:p w:rsidR="004B773F" w:rsidRDefault="004B773F"/>
    <w:p w:rsidR="004B773F" w:rsidRDefault="0011252D">
      <w:r>
        <w:t>_______________________</w:t>
      </w:r>
      <w:r>
        <w:tab/>
      </w:r>
      <w:r>
        <w:tab/>
      </w:r>
      <w:r>
        <w:tab/>
      </w:r>
      <w:r>
        <w:tab/>
        <w:t>_______________________</w:t>
      </w:r>
    </w:p>
    <w:p w:rsidR="004B773F" w:rsidRDefault="0011252D">
      <w:pPr>
        <w:tabs>
          <w:tab w:val="left" w:pos="600"/>
          <w:tab w:val="left" w:pos="4962"/>
        </w:tabs>
      </w:pPr>
      <w:r>
        <w:t>Mgr. Jiří Hendrich</w:t>
      </w:r>
      <w:r>
        <w:tab/>
        <w:t>Jaroslav Skala - jednatel</w:t>
      </w:r>
    </w:p>
    <w:p w:rsidR="004B773F" w:rsidRDefault="0011252D">
      <w:pPr>
        <w:tabs>
          <w:tab w:val="left" w:pos="600"/>
          <w:tab w:val="left" w:pos="5448"/>
        </w:tabs>
      </w:pPr>
      <w:r>
        <w:t xml:space="preserve">Domov Na Zámku Lysá </w:t>
      </w:r>
      <w:proofErr w:type="gramStart"/>
      <w:r>
        <w:t>nad</w:t>
      </w:r>
      <w:proofErr w:type="gramEnd"/>
      <w:r>
        <w:t xml:space="preserve"> Labem, p. o.                AMEREX trade s.r.o.</w:t>
      </w:r>
    </w:p>
    <w:p w:rsidR="004B773F" w:rsidRDefault="0011252D">
      <w:r>
        <w:tab/>
      </w:r>
      <w:r>
        <w:tab/>
      </w:r>
      <w:r>
        <w:tab/>
      </w:r>
      <w:r>
        <w:tab/>
      </w:r>
      <w:r>
        <w:tab/>
      </w:r>
    </w:p>
    <w:p w:rsidR="004B773F" w:rsidRDefault="004B773F"/>
    <w:p w:rsidR="004B773F" w:rsidRDefault="004B773F"/>
    <w:p w:rsidR="004B773F" w:rsidRDefault="004B773F"/>
    <w:p w:rsidR="004B773F" w:rsidRDefault="004B773F"/>
    <w:p w:rsidR="004B773F" w:rsidRDefault="004B773F"/>
    <w:p w:rsidR="004B773F" w:rsidRDefault="004B773F"/>
    <w:p w:rsidR="004B773F" w:rsidRDefault="004B773F"/>
    <w:p w:rsidR="004B773F" w:rsidRDefault="004B773F"/>
    <w:p w:rsidR="004B773F" w:rsidRDefault="004B773F"/>
    <w:p w:rsidR="004B773F" w:rsidRDefault="004B773F"/>
    <w:p w:rsidR="004B773F" w:rsidRDefault="004B773F"/>
    <w:p w:rsidR="004B773F" w:rsidRDefault="004B773F"/>
    <w:p w:rsidR="004B773F" w:rsidRDefault="004B773F"/>
    <w:p w:rsidR="004B773F" w:rsidRDefault="004B773F"/>
    <w:p w:rsidR="004B773F" w:rsidRDefault="004B773F"/>
    <w:p w:rsidR="004B773F" w:rsidRDefault="004B773F"/>
    <w:p w:rsidR="004B773F" w:rsidRDefault="004B773F"/>
    <w:p w:rsidR="004B773F" w:rsidRDefault="004B773F"/>
    <w:p w:rsidR="004B773F" w:rsidRDefault="004B773F"/>
    <w:p w:rsidR="004B773F" w:rsidRDefault="004B773F"/>
    <w:p w:rsidR="004B773F" w:rsidRDefault="004B773F"/>
    <w:p w:rsidR="004B773F" w:rsidRDefault="004B773F"/>
    <w:p w:rsidR="004B773F" w:rsidRDefault="004B773F"/>
    <w:p w:rsidR="0017193E" w:rsidRDefault="0017193E"/>
    <w:p w:rsidR="0017193E" w:rsidRDefault="0017193E"/>
    <w:p w:rsidR="0017193E" w:rsidRDefault="0017193E"/>
    <w:p w:rsidR="0017193E" w:rsidRDefault="0017193E"/>
    <w:p w:rsidR="004B773F" w:rsidRDefault="004B773F"/>
    <w:p w:rsidR="004B773F" w:rsidRDefault="0011252D">
      <w:pPr>
        <w:rPr>
          <w:b/>
        </w:rPr>
      </w:pPr>
      <w:r>
        <w:rPr>
          <w:b/>
        </w:rPr>
        <w:lastRenderedPageBreak/>
        <w:t>Příloha č. 1</w:t>
      </w:r>
    </w:p>
    <w:p w:rsidR="004B773F" w:rsidRDefault="0011252D">
      <w:pPr>
        <w:jc w:val="center"/>
        <w:rPr>
          <w:rFonts w:cs="Arial"/>
          <w:b/>
          <w:i/>
        </w:rPr>
      </w:pPr>
      <w:r>
        <w:rPr>
          <w:rFonts w:cs="Arial"/>
          <w:b/>
        </w:rPr>
        <w:t>Konvektomat</w:t>
      </w:r>
    </w:p>
    <w:p w:rsidR="004B773F" w:rsidRDefault="004B773F">
      <w:pPr>
        <w:jc w:val="center"/>
        <w:rPr>
          <w:b/>
          <w:i/>
        </w:rPr>
      </w:pPr>
    </w:p>
    <w:p w:rsidR="004B773F" w:rsidRDefault="0011252D">
      <w:pPr>
        <w:spacing w:after="100" w:line="288" w:lineRule="auto"/>
        <w:jc w:val="both"/>
        <w:rPr>
          <w:rFonts w:cs="Arial"/>
        </w:rPr>
      </w:pPr>
      <w:proofErr w:type="gramStart"/>
      <w:r>
        <w:rPr>
          <w:rFonts w:cs="Arial"/>
        </w:rPr>
        <w:t>včetně</w:t>
      </w:r>
      <w:proofErr w:type="gramEnd"/>
      <w:r>
        <w:rPr>
          <w:rFonts w:cs="Arial"/>
        </w:rPr>
        <w:t xml:space="preserve"> manuálního změkčovače vody, dopravy, montáže, zřízení všech přípojek, jak je níže uvedeno, zaškolení obsluhy, naprogramování, pořízení externí zálohy dat a zpracování výchozí revizní zprávy elektro, likvidace odpadu. </w:t>
      </w:r>
    </w:p>
    <w:p w:rsidR="004B773F" w:rsidRDefault="0011252D">
      <w:pPr>
        <w:spacing w:after="100"/>
        <w:jc w:val="both"/>
        <w:rPr>
          <w:rFonts w:cs="Arial"/>
        </w:rPr>
      </w:pPr>
      <w:r>
        <w:rPr>
          <w:rFonts w:cs="Arial"/>
        </w:rPr>
        <w:t>Konvektomat bude elektricky připojen z rozvaděče kuchyně umístěného mimo kuchyni kabelem CYKY 5Cx16 a kabely CYKY 3Cx2</w:t>
      </w:r>
      <w:proofErr w:type="gramStart"/>
      <w:r>
        <w:rPr>
          <w:rFonts w:cs="Arial"/>
        </w:rPr>
        <w:t>,5</w:t>
      </w:r>
      <w:proofErr w:type="gramEnd"/>
      <w:r>
        <w:rPr>
          <w:rFonts w:cs="Arial"/>
        </w:rPr>
        <w:t xml:space="preserve"> a CYKY 5Cx1,5 novou kabelovou trasou pro tento účel zřízenou. Kabelová trasa bude kombinovaná - pod omítkou i </w:t>
      </w:r>
      <w:proofErr w:type="gramStart"/>
      <w:r>
        <w:rPr>
          <w:rFonts w:cs="Arial"/>
        </w:rPr>
        <w:t>na</w:t>
      </w:r>
      <w:proofErr w:type="gramEnd"/>
      <w:r>
        <w:rPr>
          <w:rFonts w:cs="Arial"/>
        </w:rPr>
        <w:t xml:space="preserve"> závěsech od stropu.  Stávající rozvaděč kuchyně bude dozbrojen proudovým chráničem 63 A a trojfázovým jističem 63 A. Konvektomat bude instalován na volné místo po dřívější plynové pánvi pod odtah vzduchotechniky, bude oddělen od plynových sporáků tepelným nerezovým štítem, přívodní kabely budou ukončeny na nově zřízené podpůrné konstrukci spolu s hlavním vypínačem konvektomatu 63 A v příslušném krytí proti vodě. Konvektomat bude </w:t>
      </w:r>
      <w:proofErr w:type="gramStart"/>
      <w:r>
        <w:rPr>
          <w:rFonts w:cs="Arial"/>
        </w:rPr>
        <w:t>od</w:t>
      </w:r>
      <w:proofErr w:type="gramEnd"/>
      <w:r>
        <w:rPr>
          <w:rFonts w:cs="Arial"/>
        </w:rPr>
        <w:t xml:space="preserve"> hlavního vypínače připojen gumovou šňůrou – pohyblivým přívodem pro možnost úklidu. Pro montáž konvektomatu bude nutné vyrobit a namontovat nový pojezdný ocelový nerezový rošt přes žlab, do kterého bude vyveden odpad o průměru 50 mm od konvektomatu flexo provedení pro možnost úklidu. Současně bude ke konvektomatu zřízena vodovodní </w:t>
      </w:r>
      <w:proofErr w:type="gramStart"/>
      <w:r>
        <w:rPr>
          <w:rFonts w:cs="Arial"/>
        </w:rPr>
        <w:t>přípojka  G3</w:t>
      </w:r>
      <w:proofErr w:type="gramEnd"/>
      <w:r>
        <w:rPr>
          <w:rFonts w:cs="Arial"/>
        </w:rPr>
        <w:t xml:space="preserve">/4“ pohyblivými hadicemi pro možnost úklidu. Přípojka bude přes kvalitní uzavírací ventily rozdělena 1 x do změkčovače a 1x přímo do konvektomatu. </w:t>
      </w:r>
    </w:p>
    <w:p w:rsidR="004B773F" w:rsidRDefault="0011252D">
      <w:pPr>
        <w:pStyle w:val="AKFZFnovnadpis3"/>
        <w:rPr>
          <w:rFonts w:ascii="Times New Roman" w:hAnsi="Times New Roman" w:cs="Times New Roman"/>
          <w:b w:val="0"/>
        </w:rPr>
      </w:pPr>
      <w:r>
        <w:rPr>
          <w:rFonts w:cs="Arial"/>
          <w:b w:val="0"/>
        </w:rPr>
        <w:t xml:space="preserve">                </w:t>
      </w:r>
      <w:r>
        <w:rPr>
          <w:rFonts w:cs="Arial"/>
          <w:b w:val="0"/>
        </w:rPr>
        <w:tab/>
      </w:r>
      <w:r>
        <w:rPr>
          <w:rFonts w:cs="Arial"/>
          <w:b w:val="0"/>
        </w:rPr>
        <w:tab/>
      </w:r>
      <w:r>
        <w:rPr>
          <w:rFonts w:cs="Arial"/>
          <w:b w:val="0"/>
        </w:rPr>
        <w:tab/>
        <w:t xml:space="preserve">    </w:t>
      </w:r>
      <w:r>
        <w:rPr>
          <w:rFonts w:ascii="Times New Roman" w:hAnsi="Times New Roman" w:cs="Times New Roman"/>
        </w:rPr>
        <w:t xml:space="preserve">Strukturovaný popis: </w:t>
      </w:r>
      <w:r>
        <w:rPr>
          <w:rFonts w:ascii="Times New Roman" w:hAnsi="Times New Roman" w:cs="Times New Roman"/>
          <w:b w:val="0"/>
        </w:rPr>
        <w:tab/>
      </w:r>
      <w:r>
        <w:rPr>
          <w:rFonts w:ascii="Times New Roman" w:hAnsi="Times New Roman" w:cs="Times New Roman"/>
          <w:b w:val="0"/>
        </w:rPr>
        <w:tab/>
      </w:r>
    </w:p>
    <w:p w:rsidR="004B773F" w:rsidRDefault="0011252D">
      <w:pPr>
        <w:pStyle w:val="AKFZFnovnadpis3"/>
        <w:numPr>
          <w:ilvl w:val="0"/>
          <w:numId w:val="10"/>
        </w:numPr>
        <w:spacing w:line="240" w:lineRule="auto"/>
        <w:rPr>
          <w:rFonts w:ascii="Times New Roman" w:hAnsi="Times New Roman" w:cs="Times New Roman"/>
          <w:b w:val="0"/>
        </w:rPr>
      </w:pPr>
      <w:r>
        <w:rPr>
          <w:rFonts w:ascii="Times New Roman" w:hAnsi="Times New Roman" w:cs="Times New Roman"/>
          <w:b w:val="0"/>
        </w:rPr>
        <w:t>dodávka, připojení a zprovoznění konvektomatu v prostoru po demontované pánvi pod odtahem vzduchotechniky v kuchyni Domova Na Zámku v Lysé nad Labem,</w:t>
      </w:r>
    </w:p>
    <w:p w:rsidR="004B773F" w:rsidRDefault="0011252D">
      <w:pPr>
        <w:pStyle w:val="AKFZFnovnadpis3"/>
        <w:numPr>
          <w:ilvl w:val="0"/>
          <w:numId w:val="10"/>
        </w:numPr>
        <w:spacing w:line="240" w:lineRule="auto"/>
        <w:rPr>
          <w:rFonts w:ascii="Times New Roman" w:hAnsi="Times New Roman" w:cs="Times New Roman"/>
          <w:b w:val="0"/>
        </w:rPr>
      </w:pPr>
      <w:r>
        <w:rPr>
          <w:rFonts w:ascii="Times New Roman" w:hAnsi="Times New Roman" w:cs="Times New Roman"/>
          <w:b w:val="0"/>
        </w:rPr>
        <w:t>dodávka, připojení a zprovoznění manuálního změkčovače vody pro konvektomat,</w:t>
      </w:r>
    </w:p>
    <w:p w:rsidR="004B773F" w:rsidRDefault="0011252D">
      <w:pPr>
        <w:pStyle w:val="AKFZFnovnadpis3"/>
        <w:numPr>
          <w:ilvl w:val="0"/>
          <w:numId w:val="10"/>
        </w:numPr>
        <w:spacing w:line="240" w:lineRule="auto"/>
        <w:rPr>
          <w:rFonts w:ascii="Times New Roman" w:hAnsi="Times New Roman" w:cs="Times New Roman"/>
          <w:b w:val="0"/>
        </w:rPr>
      </w:pPr>
      <w:r>
        <w:rPr>
          <w:rFonts w:ascii="Times New Roman" w:hAnsi="Times New Roman" w:cs="Times New Roman"/>
          <w:b w:val="0"/>
        </w:rPr>
        <w:t>kabelová trasa cca 18 m, 5Cx16, 5Cx1,5, 2Cx2,5, hlavní vypínač 63A ve vodotěsném provedení, ukončovací krabice pro CYKY 5Cx1,5 a 3Cx2,5, gumová šňůra cca 3m 5Cx16 , průvrty zdí 140 cm, trasa žlabem, v závěsu, pod omítkou, stojan pro hlavní vypínač konvektomatu,</w:t>
      </w:r>
    </w:p>
    <w:p w:rsidR="004B773F" w:rsidRDefault="0011252D">
      <w:pPr>
        <w:pStyle w:val="AKFZFnovnadpis3"/>
        <w:numPr>
          <w:ilvl w:val="0"/>
          <w:numId w:val="10"/>
        </w:numPr>
        <w:spacing w:line="240" w:lineRule="auto"/>
        <w:rPr>
          <w:rFonts w:ascii="Times New Roman" w:hAnsi="Times New Roman" w:cs="Times New Roman"/>
          <w:b w:val="0"/>
        </w:rPr>
      </w:pPr>
      <w:r>
        <w:rPr>
          <w:rFonts w:ascii="Times New Roman" w:hAnsi="Times New Roman" w:cs="Times New Roman"/>
          <w:b w:val="0"/>
        </w:rPr>
        <w:t>dozbrojení a úprava vzdáleného plechového rozvaděče jistič: 3x63A, proudový chránič 3x63A, průchodky do plechové skříně,</w:t>
      </w:r>
    </w:p>
    <w:p w:rsidR="004B773F" w:rsidRDefault="0011252D">
      <w:pPr>
        <w:pStyle w:val="AKFZFnovnadpis3"/>
        <w:numPr>
          <w:ilvl w:val="0"/>
          <w:numId w:val="10"/>
        </w:numPr>
        <w:spacing w:line="240" w:lineRule="auto"/>
        <w:rPr>
          <w:rFonts w:ascii="Times New Roman" w:hAnsi="Times New Roman" w:cs="Times New Roman"/>
          <w:b w:val="0"/>
        </w:rPr>
      </w:pPr>
      <w:r>
        <w:rPr>
          <w:rFonts w:ascii="Times New Roman" w:hAnsi="Times New Roman" w:cs="Times New Roman"/>
          <w:b w:val="0"/>
        </w:rPr>
        <w:t>oddělení konvektomatu plechovým antikoro štítem od plynových sporáků,</w:t>
      </w:r>
    </w:p>
    <w:p w:rsidR="004B773F" w:rsidRDefault="0011252D">
      <w:pPr>
        <w:pStyle w:val="AKFZFnovnadpis3"/>
        <w:numPr>
          <w:ilvl w:val="0"/>
          <w:numId w:val="10"/>
        </w:numPr>
        <w:spacing w:line="240" w:lineRule="auto"/>
        <w:rPr>
          <w:rFonts w:ascii="Times New Roman" w:hAnsi="Times New Roman" w:cs="Times New Roman"/>
          <w:b w:val="0"/>
        </w:rPr>
      </w:pPr>
      <w:r>
        <w:rPr>
          <w:rFonts w:ascii="Times New Roman" w:hAnsi="Times New Roman" w:cs="Times New Roman"/>
          <w:b w:val="0"/>
        </w:rPr>
        <w:t>výroba a montáž nového antikoro žlabu odpadní vody uzpůsobeného přejezdům vozíku konvektomatu za podmínky možnosti jeho otevření při čištění,</w:t>
      </w:r>
    </w:p>
    <w:p w:rsidR="004B773F" w:rsidRDefault="0011252D">
      <w:pPr>
        <w:pStyle w:val="AKFZFnovnadpis3"/>
        <w:numPr>
          <w:ilvl w:val="0"/>
          <w:numId w:val="10"/>
        </w:numPr>
        <w:spacing w:line="240" w:lineRule="auto"/>
        <w:rPr>
          <w:rFonts w:ascii="Times New Roman" w:hAnsi="Times New Roman" w:cs="Times New Roman"/>
          <w:b w:val="0"/>
        </w:rPr>
      </w:pPr>
      <w:r>
        <w:rPr>
          <w:rFonts w:ascii="Times New Roman" w:hAnsi="Times New Roman" w:cs="Times New Roman"/>
          <w:b w:val="0"/>
        </w:rPr>
        <w:t>provedení flexo odpadu průměru 50 mm do upraveného žlabu odpadní vody,</w:t>
      </w:r>
    </w:p>
    <w:p w:rsidR="004B773F" w:rsidRDefault="0011252D">
      <w:pPr>
        <w:pStyle w:val="AKFZFnovnadpis3"/>
        <w:numPr>
          <w:ilvl w:val="0"/>
          <w:numId w:val="10"/>
        </w:numPr>
        <w:spacing w:line="240" w:lineRule="auto"/>
        <w:rPr>
          <w:rFonts w:ascii="Times New Roman" w:hAnsi="Times New Roman" w:cs="Times New Roman"/>
          <w:b w:val="0"/>
        </w:rPr>
      </w:pPr>
      <w:r>
        <w:rPr>
          <w:rFonts w:ascii="Times New Roman" w:hAnsi="Times New Roman" w:cs="Times New Roman"/>
          <w:b w:val="0"/>
        </w:rPr>
        <w:t>provedení rozdělené uzavíratelné přípojky vody G3/4“ do konvektomatu a do změkčovače,</w:t>
      </w:r>
    </w:p>
    <w:p w:rsidR="004B773F" w:rsidRDefault="0011252D">
      <w:pPr>
        <w:pStyle w:val="AKFZFnovnadpis3"/>
        <w:numPr>
          <w:ilvl w:val="0"/>
          <w:numId w:val="10"/>
        </w:numPr>
        <w:spacing w:line="240" w:lineRule="auto"/>
        <w:rPr>
          <w:rFonts w:ascii="Times New Roman" w:hAnsi="Times New Roman" w:cs="Times New Roman"/>
          <w:b w:val="0"/>
        </w:rPr>
      </w:pPr>
      <w:r>
        <w:rPr>
          <w:rFonts w:ascii="Times New Roman" w:hAnsi="Times New Roman" w:cs="Times New Roman"/>
          <w:b w:val="0"/>
        </w:rPr>
        <w:t>výchozí revizní zpráva elektrického připojení konvektomatu, zaškolení obsluhy, naprogramováni konvektomatu, sepsání servisní smlouvy.</w:t>
      </w:r>
    </w:p>
    <w:p w:rsidR="004B773F" w:rsidRDefault="0011252D">
      <w:pPr>
        <w:jc w:val="center"/>
      </w:pPr>
      <w:r>
        <w:rPr>
          <w:b/>
        </w:rPr>
        <w:t>Specifikace konvektomatu:</w:t>
      </w:r>
    </w:p>
    <w:p w:rsidR="004B773F" w:rsidRDefault="0011252D">
      <w:pPr>
        <w:rPr>
          <w:rFonts w:cs="Arial"/>
        </w:rPr>
      </w:pPr>
      <w:r>
        <w:rPr>
          <w:rFonts w:cs="Arial"/>
        </w:rPr>
        <w:t xml:space="preserve">Umístění </w:t>
      </w:r>
      <w:proofErr w:type="gramStart"/>
      <w:r>
        <w:rPr>
          <w:rFonts w:cs="Arial"/>
        </w:rPr>
        <w:t>na</w:t>
      </w:r>
      <w:proofErr w:type="gramEnd"/>
      <w:r>
        <w:rPr>
          <w:rFonts w:cs="Arial"/>
        </w:rPr>
        <w:t xml:space="preserve"> zemi, elektrický ohřev, dva přívody vody hadicemi pro změkčenou a nezměkčenou vodu, přívod elektrické energie shora k hlavnímu vypínači, odpad u podlahy.</w:t>
      </w:r>
    </w:p>
    <w:p w:rsidR="004B773F" w:rsidRDefault="004B773F">
      <w:pPr>
        <w:rPr>
          <w:rFonts w:cs="Arial"/>
        </w:rPr>
      </w:pPr>
    </w:p>
    <w:p w:rsidR="004B773F" w:rsidRDefault="0011252D">
      <w:pPr>
        <w:numPr>
          <w:ilvl w:val="0"/>
          <w:numId w:val="11"/>
        </w:numPr>
        <w:tabs>
          <w:tab w:val="left" w:pos="1440"/>
        </w:tabs>
        <w:rPr>
          <w:rFonts w:cs="Arial"/>
        </w:rPr>
      </w:pPr>
      <w:r>
        <w:rPr>
          <w:rFonts w:cs="Arial"/>
        </w:rPr>
        <w:t>Rozměry cca 950 x 1800 x 850 mm</w:t>
      </w:r>
    </w:p>
    <w:p w:rsidR="004B773F" w:rsidRDefault="0011252D">
      <w:pPr>
        <w:numPr>
          <w:ilvl w:val="0"/>
          <w:numId w:val="11"/>
        </w:numPr>
        <w:tabs>
          <w:tab w:val="left" w:pos="1440"/>
        </w:tabs>
        <w:rPr>
          <w:rFonts w:cs="Arial"/>
        </w:rPr>
      </w:pPr>
      <w:r>
        <w:rPr>
          <w:rFonts w:cs="Arial"/>
        </w:rPr>
        <w:t>Celkový příkon cca 35 – 38 kW</w:t>
      </w:r>
    </w:p>
    <w:p w:rsidR="004B773F" w:rsidRDefault="0011252D">
      <w:pPr>
        <w:numPr>
          <w:ilvl w:val="0"/>
          <w:numId w:val="11"/>
        </w:numPr>
        <w:tabs>
          <w:tab w:val="left" w:pos="1440"/>
        </w:tabs>
        <w:rPr>
          <w:rFonts w:cs="Arial"/>
          <w:color w:val="000000"/>
        </w:rPr>
      </w:pPr>
      <w:r>
        <w:rPr>
          <w:rFonts w:cs="Arial"/>
          <w:color w:val="000000"/>
        </w:rPr>
        <w:lastRenderedPageBreak/>
        <w:t>Provozní režimy horký vzduch 30-300, kombinace, vaření v páře 30-130, bio 30-97 (stupně C)</w:t>
      </w:r>
    </w:p>
    <w:p w:rsidR="004B773F" w:rsidRDefault="0011252D">
      <w:pPr>
        <w:numPr>
          <w:ilvl w:val="0"/>
          <w:numId w:val="11"/>
        </w:numPr>
        <w:tabs>
          <w:tab w:val="left" w:pos="1440"/>
        </w:tabs>
        <w:rPr>
          <w:rFonts w:cs="Arial"/>
          <w:color w:val="000000"/>
        </w:rPr>
      </w:pPr>
      <w:r>
        <w:rPr>
          <w:rFonts w:cs="Arial"/>
          <w:color w:val="000000"/>
        </w:rPr>
        <w:t xml:space="preserve">Elektrické připojení 400V, 50 Hz, jištění max. 3 x 63A </w:t>
      </w:r>
    </w:p>
    <w:p w:rsidR="004B773F" w:rsidRDefault="0011252D">
      <w:pPr>
        <w:pStyle w:val="Odstavecseseznamem"/>
        <w:numPr>
          <w:ilvl w:val="0"/>
          <w:numId w:val="11"/>
        </w:numPr>
        <w:tabs>
          <w:tab w:val="left" w:pos="1440"/>
        </w:tabs>
        <w:rPr>
          <w:rFonts w:cs="Arial"/>
        </w:rPr>
      </w:pPr>
      <w:r>
        <w:rPr>
          <w:rFonts w:cs="Arial"/>
          <w:color w:val="000000"/>
        </w:rPr>
        <w:t xml:space="preserve">Připojení </w:t>
      </w:r>
      <w:r>
        <w:rPr>
          <w:rFonts w:cs="Arial"/>
        </w:rPr>
        <w:t>voda G3/4“</w:t>
      </w:r>
    </w:p>
    <w:p w:rsidR="004B773F" w:rsidRDefault="0011252D">
      <w:pPr>
        <w:pStyle w:val="Odstavecseseznamem"/>
        <w:numPr>
          <w:ilvl w:val="0"/>
          <w:numId w:val="11"/>
        </w:numPr>
        <w:tabs>
          <w:tab w:val="left" w:pos="1440"/>
        </w:tabs>
        <w:rPr>
          <w:rFonts w:cs="Arial"/>
        </w:rPr>
      </w:pPr>
      <w:r>
        <w:rPr>
          <w:rFonts w:cs="Arial"/>
        </w:rPr>
        <w:t>Hlučnost max. 72 dBA</w:t>
      </w:r>
    </w:p>
    <w:p w:rsidR="004B773F" w:rsidRDefault="0011252D">
      <w:pPr>
        <w:numPr>
          <w:ilvl w:val="0"/>
          <w:numId w:val="11"/>
        </w:numPr>
        <w:tabs>
          <w:tab w:val="left" w:pos="1440"/>
        </w:tabs>
        <w:rPr>
          <w:rFonts w:cs="Arial"/>
        </w:rPr>
      </w:pPr>
      <w:r>
        <w:rPr>
          <w:rFonts w:cs="Arial"/>
        </w:rPr>
        <w:t>Odložený start – noční příprava jídel</w:t>
      </w:r>
    </w:p>
    <w:p w:rsidR="004B773F" w:rsidRDefault="0011252D">
      <w:pPr>
        <w:numPr>
          <w:ilvl w:val="0"/>
          <w:numId w:val="11"/>
        </w:numPr>
        <w:tabs>
          <w:tab w:val="left" w:pos="1440"/>
        </w:tabs>
        <w:rPr>
          <w:rFonts w:cs="Arial"/>
        </w:rPr>
      </w:pPr>
      <w:r>
        <w:rPr>
          <w:rFonts w:cs="Arial"/>
        </w:rPr>
        <w:t xml:space="preserve">Zásuvy napříč pro lepší vizuální kontrolu </w:t>
      </w:r>
    </w:p>
    <w:p w:rsidR="004B773F" w:rsidRDefault="0011252D">
      <w:pPr>
        <w:numPr>
          <w:ilvl w:val="0"/>
          <w:numId w:val="11"/>
        </w:numPr>
        <w:tabs>
          <w:tab w:val="left" w:pos="1440"/>
        </w:tabs>
        <w:rPr>
          <w:rFonts w:cs="Arial"/>
        </w:rPr>
      </w:pPr>
      <w:r>
        <w:rPr>
          <w:rFonts w:cs="Arial"/>
        </w:rPr>
        <w:t>Nízkoteplotní vaření</w:t>
      </w:r>
    </w:p>
    <w:p w:rsidR="004B773F" w:rsidRDefault="0011252D">
      <w:pPr>
        <w:numPr>
          <w:ilvl w:val="0"/>
          <w:numId w:val="11"/>
        </w:numPr>
        <w:tabs>
          <w:tab w:val="left" w:pos="1440"/>
        </w:tabs>
        <w:rPr>
          <w:rFonts w:cs="Arial"/>
        </w:rPr>
      </w:pPr>
      <w:r>
        <w:rPr>
          <w:rFonts w:cs="Arial"/>
        </w:rPr>
        <w:t xml:space="preserve">Programy pro moderní gastronomii: sterilizace, konfitování, uzení, </w:t>
      </w:r>
      <w:proofErr w:type="gramStart"/>
      <w:r>
        <w:rPr>
          <w:rFonts w:cs="Arial"/>
        </w:rPr>
        <w:t>sušení, …</w:t>
      </w:r>
      <w:proofErr w:type="gramEnd"/>
    </w:p>
    <w:p w:rsidR="004B773F" w:rsidRDefault="0011252D">
      <w:pPr>
        <w:numPr>
          <w:ilvl w:val="0"/>
          <w:numId w:val="11"/>
        </w:numPr>
        <w:tabs>
          <w:tab w:val="left" w:pos="1440"/>
        </w:tabs>
        <w:rPr>
          <w:rFonts w:cs="Arial"/>
        </w:rPr>
      </w:pPr>
      <w:r>
        <w:rPr>
          <w:rFonts w:cs="Arial"/>
        </w:rPr>
        <w:t xml:space="preserve">Velký, přehledný display, ovládací panel dotykový, srozumitelný </w:t>
      </w:r>
    </w:p>
    <w:p w:rsidR="004B773F" w:rsidRDefault="0011252D">
      <w:pPr>
        <w:numPr>
          <w:ilvl w:val="0"/>
          <w:numId w:val="11"/>
        </w:numPr>
        <w:tabs>
          <w:tab w:val="left" w:pos="1440"/>
        </w:tabs>
        <w:rPr>
          <w:rFonts w:cs="Arial"/>
        </w:rPr>
      </w:pPr>
      <w:r>
        <w:rPr>
          <w:rFonts w:cs="Arial"/>
        </w:rPr>
        <w:t>Možnost programování, USB rozhraní, připojení do sítě i prostřednictvím wi-fi</w:t>
      </w:r>
    </w:p>
    <w:p w:rsidR="004B773F" w:rsidRDefault="0011252D">
      <w:pPr>
        <w:numPr>
          <w:ilvl w:val="0"/>
          <w:numId w:val="11"/>
        </w:numPr>
        <w:tabs>
          <w:tab w:val="left" w:pos="1440"/>
        </w:tabs>
        <w:rPr>
          <w:rFonts w:cs="Arial"/>
        </w:rPr>
      </w:pPr>
      <w:r>
        <w:rPr>
          <w:rFonts w:cs="Arial"/>
        </w:rPr>
        <w:t>Komunikace přes internetový prohlížeč, správa programů, piktogramů a dalších dat pomocí počítače umístěného v kanceláři kuchyně</w:t>
      </w:r>
    </w:p>
    <w:p w:rsidR="004B773F" w:rsidRDefault="0011252D">
      <w:pPr>
        <w:numPr>
          <w:ilvl w:val="0"/>
          <w:numId w:val="11"/>
        </w:numPr>
        <w:tabs>
          <w:tab w:val="left" w:pos="1440"/>
        </w:tabs>
        <w:rPr>
          <w:rFonts w:cs="Arial"/>
        </w:rPr>
      </w:pPr>
      <w:r>
        <w:rPr>
          <w:rFonts w:cs="Arial"/>
        </w:rPr>
        <w:t>Jednoduché přehrávání dat z a do konvektomatu</w:t>
      </w:r>
    </w:p>
    <w:p w:rsidR="004B773F" w:rsidRDefault="0011252D">
      <w:pPr>
        <w:numPr>
          <w:ilvl w:val="0"/>
          <w:numId w:val="11"/>
        </w:numPr>
        <w:tabs>
          <w:tab w:val="left" w:pos="1440"/>
        </w:tabs>
        <w:rPr>
          <w:rFonts w:cs="Arial"/>
        </w:rPr>
      </w:pPr>
      <w:r>
        <w:rPr>
          <w:rFonts w:cs="Arial"/>
        </w:rPr>
        <w:t>Cca 100 programů v základní výbavě, možnost rozšíření počtu programů a piktogramů</w:t>
      </w:r>
    </w:p>
    <w:p w:rsidR="004B773F" w:rsidRDefault="0011252D">
      <w:pPr>
        <w:numPr>
          <w:ilvl w:val="0"/>
          <w:numId w:val="11"/>
        </w:numPr>
        <w:tabs>
          <w:tab w:val="left" w:pos="1440"/>
        </w:tabs>
        <w:rPr>
          <w:rFonts w:cs="Arial"/>
        </w:rPr>
      </w:pPr>
      <w:r>
        <w:rPr>
          <w:rFonts w:cs="Arial"/>
        </w:rPr>
        <w:t>Systém automatického mytí s malou spotřebou vody</w:t>
      </w:r>
    </w:p>
    <w:p w:rsidR="004B773F" w:rsidRDefault="0011252D">
      <w:pPr>
        <w:numPr>
          <w:ilvl w:val="0"/>
          <w:numId w:val="11"/>
        </w:numPr>
        <w:tabs>
          <w:tab w:val="left" w:pos="1440"/>
        </w:tabs>
        <w:rPr>
          <w:rFonts w:cs="Arial"/>
        </w:rPr>
      </w:pPr>
      <w:r>
        <w:rPr>
          <w:rFonts w:cs="Arial"/>
        </w:rPr>
        <w:t>Kvalitní tepelné odizolování konvektomatu – trojité sklo, rychlý stop ventilátoru při otevření dveří</w:t>
      </w:r>
    </w:p>
    <w:p w:rsidR="004B773F" w:rsidRDefault="0011252D">
      <w:pPr>
        <w:numPr>
          <w:ilvl w:val="0"/>
          <w:numId w:val="11"/>
        </w:numPr>
        <w:tabs>
          <w:tab w:val="left" w:pos="1440"/>
        </w:tabs>
        <w:rPr>
          <w:rFonts w:cs="Arial"/>
        </w:rPr>
      </w:pPr>
      <w:r>
        <w:rPr>
          <w:rFonts w:cs="Arial"/>
        </w:rPr>
        <w:t>Řízený ventilátor, kvalitní cirkulace vzduchu</w:t>
      </w:r>
    </w:p>
    <w:p w:rsidR="004B773F" w:rsidRDefault="0011252D">
      <w:pPr>
        <w:numPr>
          <w:ilvl w:val="0"/>
          <w:numId w:val="11"/>
        </w:numPr>
        <w:tabs>
          <w:tab w:val="left" w:pos="1440"/>
        </w:tabs>
        <w:rPr>
          <w:rFonts w:cs="Arial"/>
        </w:rPr>
      </w:pPr>
      <w:r>
        <w:rPr>
          <w:rFonts w:cs="Arial"/>
        </w:rPr>
        <w:t>Předehřev vody v integrovaném tepelném výměníku, zpětné získávání tepla</w:t>
      </w:r>
    </w:p>
    <w:p w:rsidR="004B773F" w:rsidRDefault="0011252D">
      <w:pPr>
        <w:numPr>
          <w:ilvl w:val="0"/>
          <w:numId w:val="11"/>
        </w:numPr>
        <w:tabs>
          <w:tab w:val="left" w:pos="1440"/>
        </w:tabs>
        <w:rPr>
          <w:rFonts w:cs="Arial"/>
        </w:rPr>
      </w:pPr>
      <w:r>
        <w:rPr>
          <w:rFonts w:cs="Arial"/>
        </w:rPr>
        <w:t>Antibakteriální materiál kliky, pevné provedení kliky pro snadnou obsluhu dveří</w:t>
      </w:r>
    </w:p>
    <w:p w:rsidR="004B773F" w:rsidRDefault="0011252D">
      <w:pPr>
        <w:numPr>
          <w:ilvl w:val="0"/>
          <w:numId w:val="11"/>
        </w:numPr>
        <w:tabs>
          <w:tab w:val="left" w:pos="1440"/>
        </w:tabs>
        <w:rPr>
          <w:rFonts w:cs="Arial"/>
        </w:rPr>
      </w:pPr>
      <w:r>
        <w:rPr>
          <w:rFonts w:cs="Arial"/>
        </w:rPr>
        <w:t>Hygienický, nerezový zavážecí vozík</w:t>
      </w:r>
    </w:p>
    <w:p w:rsidR="004B773F" w:rsidRDefault="0011252D">
      <w:pPr>
        <w:numPr>
          <w:ilvl w:val="0"/>
          <w:numId w:val="11"/>
        </w:numPr>
        <w:tabs>
          <w:tab w:val="left" w:pos="1440"/>
        </w:tabs>
        <w:rPr>
          <w:rFonts w:cs="Arial"/>
        </w:rPr>
      </w:pPr>
      <w:r>
        <w:rPr>
          <w:rFonts w:cs="Arial"/>
        </w:rPr>
        <w:t>Provedení konvektomatu v nerezové oceli</w:t>
      </w:r>
    </w:p>
    <w:p w:rsidR="004B773F" w:rsidRDefault="0011252D">
      <w:pPr>
        <w:numPr>
          <w:ilvl w:val="0"/>
          <w:numId w:val="11"/>
        </w:numPr>
        <w:tabs>
          <w:tab w:val="left" w:pos="1440"/>
        </w:tabs>
        <w:rPr>
          <w:rFonts w:cs="Arial"/>
        </w:rPr>
      </w:pPr>
      <w:r>
        <w:rPr>
          <w:rFonts w:cs="Arial"/>
        </w:rPr>
        <w:t>Hygienický, snadno udržovatelný varný prostor</w:t>
      </w:r>
    </w:p>
    <w:p w:rsidR="004B773F" w:rsidRDefault="0011252D">
      <w:pPr>
        <w:numPr>
          <w:ilvl w:val="0"/>
          <w:numId w:val="11"/>
        </w:numPr>
        <w:tabs>
          <w:tab w:val="left" w:pos="1440"/>
        </w:tabs>
        <w:rPr>
          <w:rFonts w:cs="Arial"/>
        </w:rPr>
      </w:pPr>
      <w:r>
        <w:rPr>
          <w:rFonts w:cs="Arial"/>
        </w:rPr>
        <w:t>Záchyt kondenzátu ze dveří</w:t>
      </w:r>
    </w:p>
    <w:p w:rsidR="004B773F" w:rsidRDefault="0011252D">
      <w:pPr>
        <w:pStyle w:val="Odstavecseseznamem"/>
        <w:numPr>
          <w:ilvl w:val="0"/>
          <w:numId w:val="11"/>
        </w:numPr>
        <w:rPr>
          <w:rFonts w:cs="Arial"/>
        </w:rPr>
      </w:pPr>
      <w:r>
        <w:rPr>
          <w:rFonts w:cs="Arial"/>
        </w:rPr>
        <w:t>Dodání konvektomatu do místa plnění, montáž, připojení a zprovoznění, zaškolení obslužného personálu a předání veškerých dokumentů podle platných zákonných požadavků</w:t>
      </w:r>
    </w:p>
    <w:p w:rsidR="004B773F" w:rsidRDefault="0011252D">
      <w:pPr>
        <w:pStyle w:val="Odstavecseseznamem"/>
        <w:numPr>
          <w:ilvl w:val="0"/>
          <w:numId w:val="11"/>
        </w:numPr>
        <w:rPr>
          <w:rFonts w:cs="Arial"/>
        </w:rPr>
      </w:pPr>
      <w:r>
        <w:rPr>
          <w:rFonts w:cs="Arial"/>
        </w:rPr>
        <w:t>Vestavěný diagnostický a servisní systém pro automatické vyhodnocení chyb a zajištění maximální spolehlivosti zařízení</w:t>
      </w:r>
    </w:p>
    <w:p w:rsidR="004B773F" w:rsidRDefault="0011252D">
      <w:pPr>
        <w:numPr>
          <w:ilvl w:val="0"/>
          <w:numId w:val="11"/>
        </w:numPr>
        <w:tabs>
          <w:tab w:val="left" w:pos="1440"/>
        </w:tabs>
        <w:rPr>
          <w:rFonts w:cs="Arial"/>
        </w:rPr>
      </w:pPr>
      <w:r>
        <w:rPr>
          <w:rFonts w:cs="Arial"/>
        </w:rPr>
        <w:t>Zajištění záručního i pozáručního servisu včetně dodávky náhradních dílů nejen hardware ale i software konvektomatu</w:t>
      </w:r>
    </w:p>
    <w:p w:rsidR="004B773F" w:rsidRDefault="0011252D">
      <w:pPr>
        <w:pStyle w:val="Odstavecseseznamem"/>
        <w:numPr>
          <w:ilvl w:val="0"/>
          <w:numId w:val="11"/>
        </w:numPr>
        <w:rPr>
          <w:rFonts w:cs="Arial"/>
        </w:rPr>
      </w:pPr>
      <w:r>
        <w:rPr>
          <w:rFonts w:cs="Arial"/>
        </w:rPr>
        <w:t>Bezplatné provedení všech předepsaných bezpečnostně technických kontrol konvektomatu během poskytnuté záruční doby</w:t>
      </w:r>
    </w:p>
    <w:p w:rsidR="004B773F" w:rsidRDefault="0011252D">
      <w:pPr>
        <w:spacing w:after="100" w:line="288" w:lineRule="auto"/>
        <w:jc w:val="both"/>
        <w:rPr>
          <w:rFonts w:cs="Arial"/>
          <w:b/>
        </w:rPr>
      </w:pPr>
      <w:r>
        <w:t xml:space="preserve">     </w:t>
      </w:r>
    </w:p>
    <w:p w:rsidR="004B773F" w:rsidRDefault="004B773F">
      <w:pPr>
        <w:spacing w:after="100" w:line="288" w:lineRule="auto"/>
        <w:jc w:val="both"/>
        <w:rPr>
          <w:rFonts w:cs="Arial"/>
          <w:b/>
        </w:rPr>
      </w:pPr>
    </w:p>
    <w:p w:rsidR="004B773F" w:rsidRDefault="004B773F">
      <w:pPr>
        <w:spacing w:after="100" w:line="288" w:lineRule="auto"/>
        <w:jc w:val="both"/>
        <w:rPr>
          <w:rFonts w:cs="Arial"/>
          <w:b/>
        </w:rPr>
      </w:pPr>
    </w:p>
    <w:p w:rsidR="004B773F" w:rsidRDefault="004B773F">
      <w:pPr>
        <w:spacing w:after="100" w:line="288" w:lineRule="auto"/>
        <w:jc w:val="both"/>
        <w:rPr>
          <w:rFonts w:cs="Arial"/>
          <w:b/>
        </w:rPr>
      </w:pPr>
    </w:p>
    <w:p w:rsidR="004B773F" w:rsidRDefault="004B773F">
      <w:pPr>
        <w:spacing w:after="100" w:line="288" w:lineRule="auto"/>
        <w:jc w:val="both"/>
        <w:rPr>
          <w:rFonts w:cs="Arial"/>
          <w:b/>
        </w:rPr>
      </w:pPr>
    </w:p>
    <w:p w:rsidR="004B773F" w:rsidRDefault="004B773F">
      <w:pPr>
        <w:spacing w:after="100" w:line="288" w:lineRule="auto"/>
        <w:jc w:val="both"/>
        <w:rPr>
          <w:rFonts w:cs="Arial"/>
          <w:b/>
        </w:rPr>
      </w:pPr>
    </w:p>
    <w:p w:rsidR="004B773F" w:rsidRDefault="004B773F">
      <w:pPr>
        <w:spacing w:after="100" w:line="288" w:lineRule="auto"/>
        <w:jc w:val="both"/>
        <w:rPr>
          <w:rFonts w:cs="Arial"/>
          <w:b/>
        </w:rPr>
      </w:pPr>
    </w:p>
    <w:p w:rsidR="004B773F" w:rsidRDefault="004B773F">
      <w:pPr>
        <w:spacing w:after="100" w:line="288" w:lineRule="auto"/>
        <w:jc w:val="both"/>
        <w:rPr>
          <w:rFonts w:cs="Arial"/>
          <w:b/>
        </w:rPr>
      </w:pPr>
    </w:p>
    <w:p w:rsidR="004B773F" w:rsidRDefault="0011252D">
      <w:pPr>
        <w:spacing w:after="100" w:line="288" w:lineRule="auto"/>
        <w:jc w:val="both"/>
        <w:rPr>
          <w:rFonts w:cs="Arial"/>
          <w:b/>
        </w:rPr>
      </w:pPr>
      <w:r>
        <w:t xml:space="preserve"> </w:t>
      </w:r>
    </w:p>
    <w:p w:rsidR="004B773F" w:rsidRDefault="004B773F">
      <w:pPr>
        <w:spacing w:after="100" w:line="288" w:lineRule="auto"/>
        <w:jc w:val="both"/>
        <w:rPr>
          <w:rFonts w:cs="Arial"/>
          <w:b/>
        </w:rPr>
      </w:pPr>
    </w:p>
    <w:p w:rsidR="004B773F" w:rsidRDefault="004B773F">
      <w:pPr>
        <w:spacing w:after="100" w:line="288" w:lineRule="auto"/>
        <w:jc w:val="both"/>
        <w:rPr>
          <w:rFonts w:cs="Arial"/>
          <w:b/>
        </w:rPr>
      </w:pPr>
    </w:p>
    <w:p w:rsidR="004B773F" w:rsidRDefault="0011252D">
      <w:pPr>
        <w:pStyle w:val="Nadpis2"/>
        <w:numPr>
          <w:ilvl w:val="0"/>
          <w:numId w:val="0"/>
        </w:numPr>
        <w:ind w:left="576"/>
        <w:rPr>
          <w:b/>
          <w:sz w:val="40"/>
          <w:szCs w:val="40"/>
        </w:rPr>
      </w:pPr>
      <w:r>
        <w:rPr>
          <w:b/>
          <w:sz w:val="40"/>
          <w:szCs w:val="40"/>
        </w:rPr>
        <w:lastRenderedPageBreak/>
        <w:t>Cenová nabídka NAB-22-416</w:t>
      </w:r>
    </w:p>
    <w:p w:rsidR="004B773F" w:rsidRDefault="004B773F"/>
    <w:p w:rsidR="004B773F" w:rsidRDefault="0011252D">
      <w:pPr>
        <w:rPr>
          <w:sz w:val="28"/>
        </w:rPr>
      </w:pPr>
      <w:r>
        <w:rPr>
          <w:sz w:val="28"/>
        </w:rPr>
        <w:t>Ze dne 20. 11. 2022</w:t>
      </w:r>
    </w:p>
    <w:p w:rsidR="004B773F" w:rsidRDefault="004B773F">
      <w:pPr>
        <w:rPr>
          <w:sz w:val="28"/>
        </w:rPr>
      </w:pPr>
    </w:p>
    <w:p w:rsidR="004B773F" w:rsidRDefault="0011252D">
      <w:pPr>
        <w:rPr>
          <w:sz w:val="28"/>
          <w:szCs w:val="28"/>
        </w:rPr>
      </w:pPr>
      <w:r>
        <w:rPr>
          <w:sz w:val="28"/>
          <w:szCs w:val="28"/>
        </w:rPr>
        <w:t xml:space="preserve">Dodavatel:   Amerex trade s.r.o., K Břežanům 3, Lhota – Dolní Břežany  </w:t>
      </w:r>
    </w:p>
    <w:p w:rsidR="004B773F" w:rsidRDefault="0011252D">
      <w:pPr>
        <w:rPr>
          <w:sz w:val="28"/>
          <w:szCs w:val="28"/>
        </w:rPr>
      </w:pPr>
      <w:r>
        <w:rPr>
          <w:sz w:val="28"/>
          <w:szCs w:val="28"/>
        </w:rPr>
        <w:t xml:space="preserve">252 </w:t>
      </w:r>
      <w:proofErr w:type="gramStart"/>
      <w:r>
        <w:rPr>
          <w:sz w:val="28"/>
          <w:szCs w:val="28"/>
        </w:rPr>
        <w:t>41 ,</w:t>
      </w:r>
      <w:proofErr w:type="gramEnd"/>
      <w:r>
        <w:rPr>
          <w:sz w:val="28"/>
          <w:szCs w:val="28"/>
        </w:rPr>
        <w:t xml:space="preserve"> IČO:25388461</w:t>
      </w:r>
    </w:p>
    <w:p w:rsidR="004B773F" w:rsidRDefault="0011252D">
      <w:pPr>
        <w:rPr>
          <w:sz w:val="28"/>
          <w:szCs w:val="28"/>
        </w:rPr>
      </w:pPr>
      <w:r>
        <w:rPr>
          <w:sz w:val="28"/>
          <w:szCs w:val="28"/>
        </w:rPr>
        <w:t>Se sídlem: V Zahradách 2052, Ostrava – 708 00</w:t>
      </w:r>
    </w:p>
    <w:p w:rsidR="004B773F" w:rsidRDefault="00B92E60">
      <w:pPr>
        <w:rPr>
          <w:sz w:val="28"/>
          <w:szCs w:val="28"/>
        </w:rPr>
      </w:pPr>
      <w:proofErr w:type="gramStart"/>
      <w:r>
        <w:rPr>
          <w:sz w:val="28"/>
          <w:szCs w:val="28"/>
        </w:rPr>
        <w:t>Předávající :</w:t>
      </w:r>
      <w:proofErr w:type="gramEnd"/>
      <w:r>
        <w:rPr>
          <w:sz w:val="28"/>
          <w:szCs w:val="28"/>
        </w:rPr>
        <w:t xml:space="preserve"> xxxxxx xxxxxxxxx</w:t>
      </w:r>
    </w:p>
    <w:p w:rsidR="004B773F" w:rsidRDefault="004B773F"/>
    <w:p w:rsidR="004B773F" w:rsidRDefault="0011252D">
      <w:pPr>
        <w:shd w:val="clear" w:color="auto" w:fill="FFFFFF"/>
        <w:tabs>
          <w:tab w:val="left" w:pos="5985"/>
        </w:tabs>
        <w:spacing w:line="293" w:lineRule="atLeast"/>
      </w:pPr>
      <w:r>
        <w:rPr>
          <w:sz w:val="28"/>
        </w:rPr>
        <w:t>Odběratel</w:t>
      </w:r>
      <w:proofErr w:type="gramStart"/>
      <w:r>
        <w:rPr>
          <w:sz w:val="28"/>
        </w:rPr>
        <w:t>:</w:t>
      </w:r>
      <w:proofErr w:type="gramEnd"/>
      <w:r>
        <w:rPr>
          <w:color w:val="000000"/>
          <w:sz w:val="22"/>
        </w:rPr>
        <w:br/>
      </w:r>
      <w:r>
        <w:rPr>
          <w:color w:val="000000"/>
          <w:sz w:val="28"/>
          <w:szCs w:val="28"/>
        </w:rPr>
        <w:t>Domov Na Zámku Lysá nad Labem,</w:t>
      </w:r>
      <w:r>
        <w:rPr>
          <w:color w:val="000000"/>
          <w:sz w:val="28"/>
          <w:szCs w:val="28"/>
        </w:rPr>
        <w:br/>
        <w:t>příspěvková organizace</w:t>
      </w:r>
      <w:r>
        <w:rPr>
          <w:color w:val="000000"/>
          <w:sz w:val="28"/>
          <w:szCs w:val="28"/>
        </w:rPr>
        <w:br/>
        <w:t xml:space="preserve">Zámecká 1/21, 289 22 Lysá nad Labem </w:t>
      </w:r>
    </w:p>
    <w:p w:rsidR="004B773F" w:rsidRDefault="0011252D">
      <w:pPr>
        <w:shd w:val="clear" w:color="auto" w:fill="FFFFFF"/>
        <w:tabs>
          <w:tab w:val="left" w:pos="5985"/>
        </w:tabs>
        <w:spacing w:line="293" w:lineRule="atLeast"/>
      </w:pPr>
      <w:r>
        <w:rPr>
          <w:color w:val="000000"/>
          <w:sz w:val="28"/>
          <w:szCs w:val="28"/>
        </w:rPr>
        <w:t>IČO: 49534963</w:t>
      </w:r>
    </w:p>
    <w:p w:rsidR="004B773F" w:rsidRDefault="004B773F">
      <w:pPr>
        <w:shd w:val="clear" w:color="auto" w:fill="FFFFFF"/>
        <w:tabs>
          <w:tab w:val="left" w:pos="5985"/>
        </w:tabs>
        <w:spacing w:line="293" w:lineRule="atLeast"/>
      </w:pPr>
    </w:p>
    <w:tbl>
      <w:tblPr>
        <w:tblW w:w="10179" w:type="dxa"/>
        <w:tblInd w:w="-439" w:type="dxa"/>
        <w:tblLayout w:type="fixed"/>
        <w:tblCellMar>
          <w:left w:w="0" w:type="dxa"/>
          <w:right w:w="0" w:type="dxa"/>
        </w:tblCellMar>
        <w:tblLook w:val="04A0" w:firstRow="1" w:lastRow="0" w:firstColumn="1" w:lastColumn="0" w:noHBand="0" w:noVBand="1"/>
      </w:tblPr>
      <w:tblGrid>
        <w:gridCol w:w="456"/>
        <w:gridCol w:w="3852"/>
        <w:gridCol w:w="732"/>
        <w:gridCol w:w="1704"/>
        <w:gridCol w:w="624"/>
        <w:gridCol w:w="2811"/>
      </w:tblGrid>
      <w:tr w:rsidR="004B773F">
        <w:trPr>
          <w:trHeight w:val="464"/>
        </w:trPr>
        <w:tc>
          <w:tcPr>
            <w:tcW w:w="456" w:type="dxa"/>
            <w:tcBorders>
              <w:top w:val="double" w:sz="6" w:space="0" w:color="000000"/>
              <w:left w:val="double" w:sz="6" w:space="0" w:color="000000"/>
              <w:bottom w:val="single" w:sz="4" w:space="0" w:color="000000"/>
            </w:tcBorders>
            <w:shd w:val="clear" w:color="auto" w:fill="FFFF99"/>
            <w:vAlign w:val="bottom"/>
          </w:tcPr>
          <w:p w:rsidR="004B773F" w:rsidRDefault="0011252D">
            <w:pPr>
              <w:jc w:val="center"/>
              <w:rPr>
                <w:b/>
                <w:bCs/>
                <w:sz w:val="20"/>
              </w:rPr>
            </w:pPr>
            <w:r>
              <w:rPr>
                <w:b/>
                <w:bCs/>
                <w:sz w:val="20"/>
              </w:rPr>
              <w:t>Pol.</w:t>
            </w:r>
          </w:p>
        </w:tc>
        <w:tc>
          <w:tcPr>
            <w:tcW w:w="3852" w:type="dxa"/>
            <w:tcBorders>
              <w:top w:val="double" w:sz="6" w:space="0" w:color="000000"/>
              <w:left w:val="single" w:sz="4" w:space="0" w:color="000000"/>
              <w:bottom w:val="single" w:sz="4" w:space="0" w:color="000000"/>
            </w:tcBorders>
            <w:shd w:val="clear" w:color="auto" w:fill="FFFF99"/>
            <w:vAlign w:val="bottom"/>
          </w:tcPr>
          <w:p w:rsidR="004B773F" w:rsidRDefault="0011252D">
            <w:pPr>
              <w:snapToGrid w:val="0"/>
              <w:jc w:val="center"/>
              <w:rPr>
                <w:b/>
                <w:bCs/>
                <w:sz w:val="20"/>
              </w:rPr>
            </w:pPr>
            <w:r>
              <w:rPr>
                <w:b/>
                <w:bCs/>
                <w:sz w:val="20"/>
              </w:rPr>
              <w:t>Název</w:t>
            </w:r>
          </w:p>
        </w:tc>
        <w:tc>
          <w:tcPr>
            <w:tcW w:w="732" w:type="dxa"/>
            <w:tcBorders>
              <w:top w:val="double" w:sz="6" w:space="0" w:color="000000"/>
              <w:left w:val="single" w:sz="4" w:space="0" w:color="000000"/>
              <w:bottom w:val="single" w:sz="4" w:space="0" w:color="000000"/>
            </w:tcBorders>
            <w:shd w:val="clear" w:color="auto" w:fill="FFFF99"/>
            <w:vAlign w:val="bottom"/>
          </w:tcPr>
          <w:p w:rsidR="004B773F" w:rsidRDefault="0011252D">
            <w:pPr>
              <w:jc w:val="center"/>
              <w:rPr>
                <w:b/>
                <w:bCs/>
                <w:sz w:val="20"/>
              </w:rPr>
            </w:pPr>
            <w:r>
              <w:rPr>
                <w:b/>
                <w:bCs/>
                <w:sz w:val="20"/>
              </w:rPr>
              <w:t>Počet</w:t>
            </w:r>
          </w:p>
        </w:tc>
        <w:tc>
          <w:tcPr>
            <w:tcW w:w="1704" w:type="dxa"/>
            <w:tcBorders>
              <w:top w:val="double" w:sz="6" w:space="0" w:color="000000"/>
              <w:left w:val="single" w:sz="4" w:space="0" w:color="000000"/>
              <w:bottom w:val="single" w:sz="4" w:space="0" w:color="000000"/>
            </w:tcBorders>
            <w:shd w:val="clear" w:color="auto" w:fill="FFFF99"/>
            <w:vAlign w:val="bottom"/>
          </w:tcPr>
          <w:p w:rsidR="004B773F" w:rsidRDefault="0011252D">
            <w:pPr>
              <w:jc w:val="center"/>
              <w:rPr>
                <w:b/>
                <w:bCs/>
                <w:sz w:val="20"/>
              </w:rPr>
            </w:pPr>
            <w:r>
              <w:rPr>
                <w:b/>
                <w:bCs/>
                <w:sz w:val="20"/>
              </w:rPr>
              <w:t>Cena bez DPH za ks</w:t>
            </w:r>
          </w:p>
        </w:tc>
        <w:tc>
          <w:tcPr>
            <w:tcW w:w="624" w:type="dxa"/>
            <w:tcBorders>
              <w:top w:val="double" w:sz="6" w:space="0" w:color="000000"/>
              <w:left w:val="single" w:sz="4" w:space="0" w:color="000000"/>
              <w:bottom w:val="single" w:sz="4" w:space="0" w:color="000000"/>
            </w:tcBorders>
            <w:shd w:val="clear" w:color="auto" w:fill="FFFF99"/>
            <w:vAlign w:val="bottom"/>
          </w:tcPr>
          <w:p w:rsidR="004B773F" w:rsidRDefault="0011252D">
            <w:pPr>
              <w:jc w:val="center"/>
              <w:rPr>
                <w:b/>
                <w:bCs/>
                <w:sz w:val="20"/>
              </w:rPr>
            </w:pPr>
            <w:r>
              <w:rPr>
                <w:b/>
                <w:bCs/>
                <w:sz w:val="20"/>
              </w:rPr>
              <w:t>DPH</w:t>
            </w:r>
          </w:p>
        </w:tc>
        <w:tc>
          <w:tcPr>
            <w:tcW w:w="2811" w:type="dxa"/>
            <w:tcBorders>
              <w:top w:val="double" w:sz="6" w:space="0" w:color="000000"/>
              <w:left w:val="single" w:sz="4" w:space="0" w:color="000000"/>
              <w:bottom w:val="single" w:sz="4" w:space="0" w:color="000000"/>
              <w:right w:val="double" w:sz="6" w:space="0" w:color="000000"/>
            </w:tcBorders>
            <w:shd w:val="clear" w:color="auto" w:fill="FFFF99"/>
            <w:vAlign w:val="bottom"/>
          </w:tcPr>
          <w:p w:rsidR="004B773F" w:rsidRDefault="0011252D">
            <w:pPr>
              <w:jc w:val="center"/>
              <w:rPr>
                <w:b/>
                <w:bCs/>
                <w:sz w:val="20"/>
              </w:rPr>
            </w:pPr>
            <w:r>
              <w:rPr>
                <w:b/>
                <w:bCs/>
                <w:sz w:val="20"/>
              </w:rPr>
              <w:t>Cena celkem s DPH</w:t>
            </w:r>
          </w:p>
        </w:tc>
      </w:tr>
      <w:tr w:rsidR="004B773F">
        <w:trPr>
          <w:trHeight w:val="285"/>
        </w:trPr>
        <w:tc>
          <w:tcPr>
            <w:tcW w:w="456" w:type="dxa"/>
            <w:tcBorders>
              <w:left w:val="double" w:sz="6" w:space="0" w:color="000000"/>
              <w:bottom w:val="single" w:sz="4" w:space="0" w:color="000000"/>
            </w:tcBorders>
            <w:vAlign w:val="bottom"/>
          </w:tcPr>
          <w:p w:rsidR="004B773F" w:rsidRDefault="0011252D">
            <w:pPr>
              <w:jc w:val="center"/>
              <w:rPr>
                <w:sz w:val="20"/>
              </w:rPr>
            </w:pPr>
            <w:r>
              <w:rPr>
                <w:sz w:val="20"/>
              </w:rPr>
              <w:t>1</w:t>
            </w:r>
          </w:p>
        </w:tc>
        <w:tc>
          <w:tcPr>
            <w:tcW w:w="3852" w:type="dxa"/>
            <w:tcBorders>
              <w:left w:val="single" w:sz="4" w:space="0" w:color="000000"/>
              <w:bottom w:val="single" w:sz="4" w:space="0" w:color="000000"/>
            </w:tcBorders>
            <w:vAlign w:val="bottom"/>
          </w:tcPr>
          <w:p w:rsidR="004B773F" w:rsidRDefault="0011252D">
            <w:pPr>
              <w:snapToGrid w:val="0"/>
            </w:pPr>
            <w:r>
              <w:t xml:space="preserve"> Konvektomat Retigo O2011i plus, elektrikcký, vývin páry: injekční, kapacita: 20xGN1/1, Kapacita jídel: </w:t>
            </w:r>
          </w:p>
          <w:p w:rsidR="004B773F" w:rsidRDefault="0011252D">
            <w:pPr>
              <w:snapToGrid w:val="0"/>
            </w:pPr>
            <w:r>
              <w:t xml:space="preserve"> 400-600, rozměr: 948x834x1804,</w:t>
            </w:r>
          </w:p>
          <w:p w:rsidR="004B773F" w:rsidRDefault="0011252D">
            <w:pPr>
              <w:snapToGrid w:val="0"/>
            </w:pPr>
            <w:r>
              <w:t>Celkový příkon: 37,1 kW/400V</w:t>
            </w:r>
          </w:p>
        </w:tc>
        <w:tc>
          <w:tcPr>
            <w:tcW w:w="732" w:type="dxa"/>
            <w:tcBorders>
              <w:left w:val="single" w:sz="4" w:space="0" w:color="000000"/>
              <w:bottom w:val="single" w:sz="4" w:space="0" w:color="000000"/>
            </w:tcBorders>
            <w:vAlign w:val="bottom"/>
          </w:tcPr>
          <w:p w:rsidR="004B773F" w:rsidRDefault="0011252D">
            <w:pPr>
              <w:snapToGrid w:val="0"/>
              <w:jc w:val="center"/>
              <w:rPr>
                <w:rFonts w:eastAsia="Times New Roman"/>
                <w:bCs/>
                <w:color w:val="000000"/>
                <w:sz w:val="20"/>
                <w:szCs w:val="20"/>
                <w:lang w:val="cs-CZ" w:eastAsia="zh-CN"/>
              </w:rPr>
            </w:pPr>
            <w:r>
              <w:rPr>
                <w:rFonts w:eastAsia="Times New Roman"/>
                <w:bCs/>
                <w:color w:val="000000"/>
                <w:sz w:val="20"/>
                <w:szCs w:val="20"/>
                <w:lang w:val="cs-CZ" w:eastAsia="zh-CN"/>
              </w:rPr>
              <w:t>1x</w:t>
            </w:r>
          </w:p>
        </w:tc>
        <w:tc>
          <w:tcPr>
            <w:tcW w:w="1704" w:type="dxa"/>
            <w:tcBorders>
              <w:left w:val="single" w:sz="4" w:space="0" w:color="000000"/>
              <w:bottom w:val="single" w:sz="4" w:space="0" w:color="000000"/>
            </w:tcBorders>
            <w:vAlign w:val="bottom"/>
          </w:tcPr>
          <w:p w:rsidR="004B773F" w:rsidRDefault="0011252D">
            <w:pPr>
              <w:snapToGrid w:val="0"/>
              <w:jc w:val="center"/>
              <w:rPr>
                <w:rFonts w:eastAsia="Times New Roman"/>
                <w:bCs/>
                <w:color w:val="000000"/>
                <w:sz w:val="20"/>
                <w:szCs w:val="20"/>
                <w:lang w:val="cs-CZ" w:eastAsia="zh-CN"/>
              </w:rPr>
            </w:pPr>
            <w:r>
              <w:rPr>
                <w:rFonts w:eastAsia="Times New Roman"/>
                <w:bCs/>
                <w:color w:val="000000"/>
                <w:sz w:val="20"/>
                <w:szCs w:val="20"/>
                <w:lang w:val="cs-CZ" w:eastAsia="zh-CN"/>
              </w:rPr>
              <w:t>303.856,-</w:t>
            </w:r>
          </w:p>
        </w:tc>
        <w:tc>
          <w:tcPr>
            <w:tcW w:w="624" w:type="dxa"/>
            <w:tcBorders>
              <w:left w:val="single" w:sz="4" w:space="0" w:color="000000"/>
              <w:bottom w:val="single" w:sz="4" w:space="0" w:color="000000"/>
            </w:tcBorders>
            <w:vAlign w:val="bottom"/>
          </w:tcPr>
          <w:p w:rsidR="004B773F" w:rsidRDefault="0011252D">
            <w:pPr>
              <w:snapToGrid w:val="0"/>
              <w:jc w:val="center"/>
              <w:rPr>
                <w:rFonts w:eastAsia="Times New Roman"/>
                <w:bCs/>
                <w:color w:val="000000"/>
                <w:sz w:val="20"/>
                <w:szCs w:val="20"/>
                <w:lang w:val="cs-CZ" w:eastAsia="zh-CN"/>
              </w:rPr>
            </w:pPr>
            <w:r>
              <w:rPr>
                <w:rFonts w:eastAsia="Times New Roman"/>
                <w:bCs/>
                <w:color w:val="000000"/>
                <w:sz w:val="20"/>
                <w:szCs w:val="20"/>
                <w:lang w:val="cs-CZ" w:eastAsia="zh-CN"/>
              </w:rPr>
              <w:t>21</w:t>
            </w:r>
          </w:p>
        </w:tc>
        <w:tc>
          <w:tcPr>
            <w:tcW w:w="2811" w:type="dxa"/>
            <w:tcBorders>
              <w:left w:val="single" w:sz="4" w:space="0" w:color="000000"/>
              <w:bottom w:val="single" w:sz="4" w:space="0" w:color="000000"/>
              <w:right w:val="double" w:sz="6" w:space="0" w:color="000000"/>
            </w:tcBorders>
            <w:vAlign w:val="bottom"/>
          </w:tcPr>
          <w:p w:rsidR="004B773F" w:rsidRDefault="0011252D">
            <w:pPr>
              <w:snapToGrid w:val="0"/>
              <w:jc w:val="center"/>
              <w:rPr>
                <w:rFonts w:eastAsia="Times New Roman"/>
                <w:bCs/>
                <w:color w:val="000000"/>
                <w:sz w:val="20"/>
                <w:szCs w:val="20"/>
                <w:lang w:val="cs-CZ" w:eastAsia="zh-CN"/>
              </w:rPr>
            </w:pPr>
            <w:r>
              <w:rPr>
                <w:rFonts w:eastAsia="Times New Roman"/>
                <w:bCs/>
                <w:color w:val="000000"/>
                <w:sz w:val="20"/>
                <w:szCs w:val="20"/>
                <w:lang w:val="cs-CZ" w:eastAsia="zh-CN"/>
              </w:rPr>
              <w:t>367.665,76,-</w:t>
            </w:r>
          </w:p>
        </w:tc>
      </w:tr>
      <w:tr w:rsidR="004B773F">
        <w:trPr>
          <w:trHeight w:val="288"/>
        </w:trPr>
        <w:tc>
          <w:tcPr>
            <w:tcW w:w="456" w:type="dxa"/>
            <w:tcBorders>
              <w:left w:val="double" w:sz="6" w:space="0" w:color="000000"/>
              <w:bottom w:val="single" w:sz="4" w:space="0" w:color="000000"/>
            </w:tcBorders>
            <w:vAlign w:val="bottom"/>
          </w:tcPr>
          <w:p w:rsidR="004B773F" w:rsidRDefault="0011252D">
            <w:pPr>
              <w:jc w:val="center"/>
              <w:rPr>
                <w:sz w:val="20"/>
              </w:rPr>
            </w:pPr>
            <w:r>
              <w:rPr>
                <w:sz w:val="20"/>
              </w:rPr>
              <w:t>2</w:t>
            </w:r>
          </w:p>
        </w:tc>
        <w:tc>
          <w:tcPr>
            <w:tcW w:w="3852" w:type="dxa"/>
            <w:tcBorders>
              <w:left w:val="single" w:sz="4" w:space="0" w:color="000000"/>
              <w:bottom w:val="single" w:sz="4" w:space="0" w:color="000000"/>
            </w:tcBorders>
            <w:vAlign w:val="bottom"/>
          </w:tcPr>
          <w:p w:rsidR="004B773F" w:rsidRDefault="0011252D">
            <w:pPr>
              <w:snapToGrid w:val="0"/>
            </w:pPr>
            <w:r>
              <w:t>Změkčovač dvoukohoutový LT 12</w:t>
            </w:r>
          </w:p>
        </w:tc>
        <w:tc>
          <w:tcPr>
            <w:tcW w:w="732" w:type="dxa"/>
            <w:tcBorders>
              <w:left w:val="single" w:sz="4" w:space="0" w:color="000000"/>
              <w:bottom w:val="single" w:sz="4" w:space="0" w:color="000000"/>
            </w:tcBorders>
            <w:vAlign w:val="bottom"/>
          </w:tcPr>
          <w:p w:rsidR="004B773F" w:rsidRDefault="0011252D">
            <w:pPr>
              <w:snapToGrid w:val="0"/>
              <w:jc w:val="center"/>
              <w:rPr>
                <w:bCs/>
                <w:color w:val="000000"/>
                <w:sz w:val="20"/>
              </w:rPr>
            </w:pPr>
            <w:r>
              <w:rPr>
                <w:bCs/>
                <w:color w:val="000000"/>
                <w:sz w:val="20"/>
              </w:rPr>
              <w:t>1x</w:t>
            </w:r>
          </w:p>
        </w:tc>
        <w:tc>
          <w:tcPr>
            <w:tcW w:w="1704" w:type="dxa"/>
            <w:tcBorders>
              <w:left w:val="single" w:sz="4" w:space="0" w:color="000000"/>
              <w:bottom w:val="single" w:sz="4" w:space="0" w:color="000000"/>
            </w:tcBorders>
            <w:vAlign w:val="bottom"/>
          </w:tcPr>
          <w:p w:rsidR="004B773F" w:rsidRDefault="0011252D">
            <w:pPr>
              <w:snapToGrid w:val="0"/>
              <w:jc w:val="center"/>
              <w:rPr>
                <w:bCs/>
                <w:color w:val="000000"/>
                <w:sz w:val="20"/>
              </w:rPr>
            </w:pPr>
            <w:r>
              <w:rPr>
                <w:bCs/>
                <w:color w:val="000000"/>
                <w:sz w:val="20"/>
              </w:rPr>
              <w:t>1.780,-</w:t>
            </w:r>
          </w:p>
        </w:tc>
        <w:tc>
          <w:tcPr>
            <w:tcW w:w="624" w:type="dxa"/>
            <w:tcBorders>
              <w:left w:val="single" w:sz="4" w:space="0" w:color="000000"/>
              <w:bottom w:val="single" w:sz="4" w:space="0" w:color="000000"/>
            </w:tcBorders>
            <w:vAlign w:val="bottom"/>
          </w:tcPr>
          <w:p w:rsidR="004B773F" w:rsidRDefault="0011252D">
            <w:pPr>
              <w:snapToGrid w:val="0"/>
              <w:jc w:val="center"/>
              <w:rPr>
                <w:bCs/>
                <w:color w:val="000000"/>
                <w:sz w:val="20"/>
              </w:rPr>
            </w:pPr>
            <w:r>
              <w:rPr>
                <w:bCs/>
                <w:color w:val="000000"/>
                <w:sz w:val="20"/>
              </w:rPr>
              <w:t>21</w:t>
            </w:r>
          </w:p>
        </w:tc>
        <w:tc>
          <w:tcPr>
            <w:tcW w:w="2811" w:type="dxa"/>
            <w:tcBorders>
              <w:left w:val="single" w:sz="4" w:space="0" w:color="000000"/>
              <w:bottom w:val="single" w:sz="4" w:space="0" w:color="000000"/>
              <w:right w:val="double" w:sz="6" w:space="0" w:color="000000"/>
            </w:tcBorders>
            <w:vAlign w:val="bottom"/>
          </w:tcPr>
          <w:p w:rsidR="004B773F" w:rsidRDefault="0011252D">
            <w:pPr>
              <w:snapToGrid w:val="0"/>
              <w:jc w:val="center"/>
              <w:rPr>
                <w:bCs/>
                <w:color w:val="000000"/>
                <w:sz w:val="20"/>
              </w:rPr>
            </w:pPr>
            <w:r>
              <w:rPr>
                <w:bCs/>
                <w:color w:val="000000"/>
                <w:sz w:val="20"/>
              </w:rPr>
              <w:t>2.153,80,-</w:t>
            </w:r>
          </w:p>
        </w:tc>
      </w:tr>
      <w:tr w:rsidR="004B773F">
        <w:trPr>
          <w:trHeight w:val="276"/>
        </w:trPr>
        <w:tc>
          <w:tcPr>
            <w:tcW w:w="456" w:type="dxa"/>
            <w:tcBorders>
              <w:left w:val="double" w:sz="6" w:space="0" w:color="000000"/>
              <w:bottom w:val="single" w:sz="4" w:space="0" w:color="000000"/>
            </w:tcBorders>
            <w:vAlign w:val="bottom"/>
          </w:tcPr>
          <w:p w:rsidR="004B773F" w:rsidRDefault="0011252D">
            <w:pPr>
              <w:snapToGrid w:val="0"/>
              <w:jc w:val="center"/>
              <w:rPr>
                <w:sz w:val="20"/>
              </w:rPr>
            </w:pPr>
            <w:r>
              <w:rPr>
                <w:sz w:val="20"/>
              </w:rPr>
              <w:t>3</w:t>
            </w:r>
          </w:p>
        </w:tc>
        <w:tc>
          <w:tcPr>
            <w:tcW w:w="3852" w:type="dxa"/>
            <w:tcBorders>
              <w:left w:val="single" w:sz="4" w:space="0" w:color="000000"/>
              <w:bottom w:val="single" w:sz="4" w:space="0" w:color="000000"/>
            </w:tcBorders>
            <w:vAlign w:val="bottom"/>
          </w:tcPr>
          <w:p w:rsidR="004B773F" w:rsidRDefault="0011252D">
            <w:pPr>
              <w:snapToGrid w:val="0"/>
            </w:pPr>
            <w:r>
              <w:t xml:space="preserve">Kabel. </w:t>
            </w:r>
            <w:proofErr w:type="gramStart"/>
            <w:r>
              <w:t>Trasa  elektro</w:t>
            </w:r>
            <w:proofErr w:type="gramEnd"/>
            <w:r>
              <w:t xml:space="preserve"> 3kabely z rozvaděče, vč. </w:t>
            </w:r>
            <w:proofErr w:type="gramStart"/>
            <w:r>
              <w:t>hl</w:t>
            </w:r>
            <w:proofErr w:type="gramEnd"/>
            <w:r>
              <w:t>. Vypínač, dle popisu elektrikářské práce</w:t>
            </w:r>
          </w:p>
        </w:tc>
        <w:tc>
          <w:tcPr>
            <w:tcW w:w="732" w:type="dxa"/>
            <w:tcBorders>
              <w:left w:val="single" w:sz="4" w:space="0" w:color="000000"/>
              <w:bottom w:val="single" w:sz="4" w:space="0" w:color="000000"/>
            </w:tcBorders>
            <w:vAlign w:val="bottom"/>
          </w:tcPr>
          <w:p w:rsidR="004B773F" w:rsidRDefault="0011252D">
            <w:pPr>
              <w:snapToGrid w:val="0"/>
              <w:jc w:val="center"/>
              <w:rPr>
                <w:sz w:val="20"/>
              </w:rPr>
            </w:pPr>
            <w:r>
              <w:rPr>
                <w:sz w:val="20"/>
              </w:rPr>
              <w:t>1x</w:t>
            </w:r>
          </w:p>
        </w:tc>
        <w:tc>
          <w:tcPr>
            <w:tcW w:w="1704" w:type="dxa"/>
            <w:tcBorders>
              <w:left w:val="single" w:sz="4" w:space="0" w:color="000000"/>
              <w:bottom w:val="single" w:sz="4" w:space="0" w:color="000000"/>
            </w:tcBorders>
            <w:vAlign w:val="bottom"/>
          </w:tcPr>
          <w:p w:rsidR="004B773F" w:rsidRDefault="0011252D">
            <w:pPr>
              <w:snapToGrid w:val="0"/>
              <w:jc w:val="center"/>
              <w:rPr>
                <w:sz w:val="20"/>
              </w:rPr>
            </w:pPr>
            <w:r>
              <w:rPr>
                <w:sz w:val="20"/>
              </w:rPr>
              <w:t>30.000,-</w:t>
            </w:r>
          </w:p>
        </w:tc>
        <w:tc>
          <w:tcPr>
            <w:tcW w:w="624" w:type="dxa"/>
            <w:tcBorders>
              <w:left w:val="single" w:sz="4" w:space="0" w:color="000000"/>
              <w:bottom w:val="single" w:sz="4" w:space="0" w:color="000000"/>
            </w:tcBorders>
            <w:vAlign w:val="bottom"/>
          </w:tcPr>
          <w:p w:rsidR="004B773F" w:rsidRDefault="0011252D">
            <w:pPr>
              <w:snapToGrid w:val="0"/>
              <w:jc w:val="center"/>
              <w:rPr>
                <w:sz w:val="20"/>
              </w:rPr>
            </w:pPr>
            <w:r>
              <w:rPr>
                <w:sz w:val="20"/>
              </w:rPr>
              <w:t>21</w:t>
            </w:r>
          </w:p>
        </w:tc>
        <w:tc>
          <w:tcPr>
            <w:tcW w:w="2811" w:type="dxa"/>
            <w:tcBorders>
              <w:left w:val="single" w:sz="4" w:space="0" w:color="000000"/>
              <w:bottom w:val="single" w:sz="4" w:space="0" w:color="000000"/>
              <w:right w:val="double" w:sz="6" w:space="0" w:color="000000"/>
            </w:tcBorders>
            <w:vAlign w:val="bottom"/>
          </w:tcPr>
          <w:p w:rsidR="004B773F" w:rsidRDefault="0011252D">
            <w:pPr>
              <w:snapToGrid w:val="0"/>
              <w:jc w:val="center"/>
              <w:rPr>
                <w:sz w:val="20"/>
              </w:rPr>
            </w:pPr>
            <w:r>
              <w:rPr>
                <w:sz w:val="20"/>
              </w:rPr>
              <w:t>36.300,-</w:t>
            </w:r>
          </w:p>
        </w:tc>
      </w:tr>
      <w:tr w:rsidR="004B773F">
        <w:trPr>
          <w:trHeight w:val="215"/>
        </w:trPr>
        <w:tc>
          <w:tcPr>
            <w:tcW w:w="456" w:type="dxa"/>
            <w:tcBorders>
              <w:left w:val="double" w:sz="6" w:space="0" w:color="000000"/>
              <w:bottom w:val="single" w:sz="4" w:space="0" w:color="000000"/>
            </w:tcBorders>
            <w:vAlign w:val="bottom"/>
          </w:tcPr>
          <w:p w:rsidR="004B773F" w:rsidRDefault="0011252D">
            <w:pPr>
              <w:snapToGrid w:val="0"/>
              <w:jc w:val="center"/>
              <w:rPr>
                <w:sz w:val="20"/>
              </w:rPr>
            </w:pPr>
            <w:r>
              <w:rPr>
                <w:sz w:val="20"/>
              </w:rPr>
              <w:t>4</w:t>
            </w:r>
          </w:p>
        </w:tc>
        <w:tc>
          <w:tcPr>
            <w:tcW w:w="3852" w:type="dxa"/>
            <w:tcBorders>
              <w:left w:val="single" w:sz="4" w:space="0" w:color="000000"/>
              <w:bottom w:val="single" w:sz="4" w:space="0" w:color="000000"/>
            </w:tcBorders>
            <w:vAlign w:val="bottom"/>
          </w:tcPr>
          <w:p w:rsidR="004B773F" w:rsidRDefault="0011252D">
            <w:pPr>
              <w:snapToGrid w:val="0"/>
            </w:pPr>
            <w:r>
              <w:t xml:space="preserve">Kabel. Tasa elektro 3 kabely z rozvaděče, vč. </w:t>
            </w:r>
            <w:proofErr w:type="gramStart"/>
            <w:r>
              <w:t>hl</w:t>
            </w:r>
            <w:proofErr w:type="gramEnd"/>
            <w:r>
              <w:t>. Vypínač</w:t>
            </w:r>
            <w:proofErr w:type="gramStart"/>
            <w:r>
              <w:t>.-</w:t>
            </w:r>
            <w:proofErr w:type="gramEnd"/>
            <w:r>
              <w:t xml:space="preserve"> dle popisu – materiál – vč. žlabu</w:t>
            </w:r>
          </w:p>
        </w:tc>
        <w:tc>
          <w:tcPr>
            <w:tcW w:w="732" w:type="dxa"/>
            <w:tcBorders>
              <w:left w:val="single" w:sz="4" w:space="0" w:color="000000"/>
              <w:bottom w:val="single" w:sz="4" w:space="0" w:color="000000"/>
            </w:tcBorders>
            <w:vAlign w:val="bottom"/>
          </w:tcPr>
          <w:p w:rsidR="004B773F" w:rsidRDefault="0011252D">
            <w:pPr>
              <w:snapToGrid w:val="0"/>
              <w:jc w:val="center"/>
            </w:pPr>
            <w:r>
              <w:t>1x</w:t>
            </w:r>
          </w:p>
        </w:tc>
        <w:tc>
          <w:tcPr>
            <w:tcW w:w="1704" w:type="dxa"/>
            <w:tcBorders>
              <w:left w:val="single" w:sz="4" w:space="0" w:color="000000"/>
              <w:bottom w:val="single" w:sz="4" w:space="0" w:color="000000"/>
            </w:tcBorders>
            <w:vAlign w:val="bottom"/>
          </w:tcPr>
          <w:p w:rsidR="004B773F" w:rsidRDefault="0011252D">
            <w:pPr>
              <w:snapToGrid w:val="0"/>
              <w:jc w:val="center"/>
              <w:rPr>
                <w:sz w:val="20"/>
              </w:rPr>
            </w:pPr>
            <w:r>
              <w:rPr>
                <w:sz w:val="20"/>
              </w:rPr>
              <w:t>50.000,-</w:t>
            </w:r>
          </w:p>
        </w:tc>
        <w:tc>
          <w:tcPr>
            <w:tcW w:w="624" w:type="dxa"/>
            <w:tcBorders>
              <w:left w:val="single" w:sz="4" w:space="0" w:color="000000"/>
              <w:bottom w:val="single" w:sz="4" w:space="0" w:color="000000"/>
            </w:tcBorders>
            <w:vAlign w:val="bottom"/>
          </w:tcPr>
          <w:p w:rsidR="004B773F" w:rsidRDefault="0011252D">
            <w:pPr>
              <w:snapToGrid w:val="0"/>
              <w:jc w:val="center"/>
              <w:rPr>
                <w:sz w:val="20"/>
              </w:rPr>
            </w:pPr>
            <w:r>
              <w:rPr>
                <w:sz w:val="20"/>
              </w:rPr>
              <w:t>21</w:t>
            </w:r>
          </w:p>
        </w:tc>
        <w:tc>
          <w:tcPr>
            <w:tcW w:w="2811" w:type="dxa"/>
            <w:tcBorders>
              <w:left w:val="single" w:sz="4" w:space="0" w:color="000000"/>
              <w:bottom w:val="single" w:sz="4" w:space="0" w:color="000000"/>
              <w:right w:val="double" w:sz="6" w:space="0" w:color="000000"/>
            </w:tcBorders>
            <w:vAlign w:val="bottom"/>
          </w:tcPr>
          <w:p w:rsidR="004B773F" w:rsidRDefault="0011252D">
            <w:pPr>
              <w:snapToGrid w:val="0"/>
              <w:jc w:val="center"/>
              <w:rPr>
                <w:sz w:val="20"/>
              </w:rPr>
            </w:pPr>
            <w:r>
              <w:rPr>
                <w:sz w:val="20"/>
              </w:rPr>
              <w:t>60.500,-</w:t>
            </w:r>
          </w:p>
        </w:tc>
      </w:tr>
      <w:tr w:rsidR="004B773F">
        <w:trPr>
          <w:trHeight w:val="255"/>
        </w:trPr>
        <w:tc>
          <w:tcPr>
            <w:tcW w:w="456" w:type="dxa"/>
            <w:tcBorders>
              <w:left w:val="double" w:sz="6" w:space="0" w:color="000000"/>
              <w:bottom w:val="single" w:sz="4" w:space="0" w:color="000000"/>
            </w:tcBorders>
            <w:vAlign w:val="bottom"/>
          </w:tcPr>
          <w:p w:rsidR="004B773F" w:rsidRDefault="0011252D">
            <w:pPr>
              <w:snapToGrid w:val="0"/>
              <w:jc w:val="center"/>
              <w:rPr>
                <w:sz w:val="20"/>
              </w:rPr>
            </w:pPr>
            <w:r>
              <w:rPr>
                <w:sz w:val="20"/>
              </w:rPr>
              <w:t>5</w:t>
            </w:r>
          </w:p>
        </w:tc>
        <w:tc>
          <w:tcPr>
            <w:tcW w:w="3852" w:type="dxa"/>
            <w:tcBorders>
              <w:left w:val="single" w:sz="4" w:space="0" w:color="000000"/>
              <w:bottom w:val="single" w:sz="4" w:space="0" w:color="000000"/>
            </w:tcBorders>
            <w:vAlign w:val="bottom"/>
          </w:tcPr>
          <w:p w:rsidR="004B773F" w:rsidRDefault="0011252D">
            <w:pPr>
              <w:snapToGrid w:val="0"/>
            </w:pPr>
            <w:r>
              <w:t>Revize</w:t>
            </w:r>
          </w:p>
        </w:tc>
        <w:tc>
          <w:tcPr>
            <w:tcW w:w="732" w:type="dxa"/>
            <w:tcBorders>
              <w:left w:val="single" w:sz="4" w:space="0" w:color="000000"/>
              <w:bottom w:val="single" w:sz="4" w:space="0" w:color="000000"/>
            </w:tcBorders>
            <w:vAlign w:val="bottom"/>
          </w:tcPr>
          <w:p w:rsidR="004B773F" w:rsidRDefault="0011252D">
            <w:pPr>
              <w:snapToGrid w:val="0"/>
              <w:jc w:val="center"/>
              <w:rPr>
                <w:sz w:val="20"/>
              </w:rPr>
            </w:pPr>
            <w:r>
              <w:rPr>
                <w:sz w:val="20"/>
              </w:rPr>
              <w:t>1x</w:t>
            </w:r>
          </w:p>
        </w:tc>
        <w:tc>
          <w:tcPr>
            <w:tcW w:w="1704" w:type="dxa"/>
            <w:tcBorders>
              <w:left w:val="single" w:sz="4" w:space="0" w:color="000000"/>
              <w:bottom w:val="single" w:sz="4" w:space="0" w:color="000000"/>
            </w:tcBorders>
            <w:vAlign w:val="bottom"/>
          </w:tcPr>
          <w:p w:rsidR="004B773F" w:rsidRDefault="0011252D">
            <w:pPr>
              <w:snapToGrid w:val="0"/>
              <w:jc w:val="center"/>
              <w:rPr>
                <w:sz w:val="20"/>
              </w:rPr>
            </w:pPr>
            <w:r>
              <w:rPr>
                <w:sz w:val="20"/>
              </w:rPr>
              <w:t>5.000,-</w:t>
            </w:r>
          </w:p>
        </w:tc>
        <w:tc>
          <w:tcPr>
            <w:tcW w:w="624" w:type="dxa"/>
            <w:tcBorders>
              <w:left w:val="single" w:sz="4" w:space="0" w:color="000000"/>
              <w:bottom w:val="single" w:sz="4" w:space="0" w:color="000000"/>
            </w:tcBorders>
            <w:vAlign w:val="bottom"/>
          </w:tcPr>
          <w:p w:rsidR="004B773F" w:rsidRDefault="0011252D">
            <w:pPr>
              <w:snapToGrid w:val="0"/>
              <w:jc w:val="center"/>
              <w:rPr>
                <w:sz w:val="20"/>
              </w:rPr>
            </w:pPr>
            <w:r>
              <w:rPr>
                <w:sz w:val="20"/>
              </w:rPr>
              <w:t>21</w:t>
            </w:r>
          </w:p>
        </w:tc>
        <w:tc>
          <w:tcPr>
            <w:tcW w:w="2811" w:type="dxa"/>
            <w:tcBorders>
              <w:left w:val="single" w:sz="4" w:space="0" w:color="000000"/>
              <w:bottom w:val="single" w:sz="4" w:space="0" w:color="000000"/>
              <w:right w:val="double" w:sz="6" w:space="0" w:color="000000"/>
            </w:tcBorders>
            <w:vAlign w:val="bottom"/>
          </w:tcPr>
          <w:p w:rsidR="004B773F" w:rsidRDefault="0011252D">
            <w:pPr>
              <w:snapToGrid w:val="0"/>
              <w:jc w:val="center"/>
              <w:rPr>
                <w:sz w:val="20"/>
              </w:rPr>
            </w:pPr>
            <w:r>
              <w:rPr>
                <w:sz w:val="20"/>
              </w:rPr>
              <w:t>6.050,-</w:t>
            </w:r>
          </w:p>
        </w:tc>
      </w:tr>
      <w:tr w:rsidR="004B773F">
        <w:trPr>
          <w:trHeight w:val="255"/>
        </w:trPr>
        <w:tc>
          <w:tcPr>
            <w:tcW w:w="456" w:type="dxa"/>
            <w:tcBorders>
              <w:left w:val="double" w:sz="6" w:space="0" w:color="000000"/>
              <w:bottom w:val="single" w:sz="4" w:space="0" w:color="000000"/>
            </w:tcBorders>
            <w:vAlign w:val="bottom"/>
          </w:tcPr>
          <w:p w:rsidR="004B773F" w:rsidRDefault="0011252D">
            <w:pPr>
              <w:snapToGrid w:val="0"/>
              <w:jc w:val="center"/>
              <w:rPr>
                <w:sz w:val="20"/>
              </w:rPr>
            </w:pPr>
            <w:r>
              <w:rPr>
                <w:sz w:val="20"/>
              </w:rPr>
              <w:t>6</w:t>
            </w:r>
          </w:p>
        </w:tc>
        <w:tc>
          <w:tcPr>
            <w:tcW w:w="3852" w:type="dxa"/>
            <w:tcBorders>
              <w:left w:val="single" w:sz="4" w:space="0" w:color="000000"/>
              <w:bottom w:val="single" w:sz="4" w:space="0" w:color="000000"/>
            </w:tcBorders>
            <w:vAlign w:val="bottom"/>
          </w:tcPr>
          <w:p w:rsidR="004B773F" w:rsidRDefault="0011252D">
            <w:pPr>
              <w:snapToGrid w:val="0"/>
            </w:pPr>
            <w:r>
              <w:t xml:space="preserve">Plechový antikoro štít </w:t>
            </w:r>
          </w:p>
        </w:tc>
        <w:tc>
          <w:tcPr>
            <w:tcW w:w="732" w:type="dxa"/>
            <w:tcBorders>
              <w:left w:val="single" w:sz="4" w:space="0" w:color="000000"/>
              <w:bottom w:val="single" w:sz="4" w:space="0" w:color="000000"/>
            </w:tcBorders>
            <w:vAlign w:val="bottom"/>
          </w:tcPr>
          <w:p w:rsidR="004B773F" w:rsidRDefault="0011252D">
            <w:pPr>
              <w:snapToGrid w:val="0"/>
              <w:jc w:val="center"/>
              <w:rPr>
                <w:sz w:val="20"/>
              </w:rPr>
            </w:pPr>
            <w:r>
              <w:rPr>
                <w:sz w:val="20"/>
              </w:rPr>
              <w:t>1x</w:t>
            </w:r>
          </w:p>
        </w:tc>
        <w:tc>
          <w:tcPr>
            <w:tcW w:w="1704" w:type="dxa"/>
            <w:tcBorders>
              <w:left w:val="single" w:sz="4" w:space="0" w:color="000000"/>
              <w:bottom w:val="single" w:sz="4" w:space="0" w:color="000000"/>
            </w:tcBorders>
            <w:vAlign w:val="bottom"/>
          </w:tcPr>
          <w:p w:rsidR="004B773F" w:rsidRDefault="0011252D">
            <w:pPr>
              <w:snapToGrid w:val="0"/>
              <w:jc w:val="center"/>
              <w:rPr>
                <w:sz w:val="20"/>
              </w:rPr>
            </w:pPr>
            <w:r>
              <w:rPr>
                <w:sz w:val="20"/>
              </w:rPr>
              <w:t>15.000,-</w:t>
            </w:r>
          </w:p>
        </w:tc>
        <w:tc>
          <w:tcPr>
            <w:tcW w:w="624" w:type="dxa"/>
            <w:tcBorders>
              <w:left w:val="single" w:sz="4" w:space="0" w:color="000000"/>
              <w:bottom w:val="single" w:sz="4" w:space="0" w:color="000000"/>
            </w:tcBorders>
            <w:vAlign w:val="bottom"/>
          </w:tcPr>
          <w:p w:rsidR="004B773F" w:rsidRDefault="0011252D">
            <w:pPr>
              <w:snapToGrid w:val="0"/>
              <w:jc w:val="center"/>
              <w:rPr>
                <w:sz w:val="20"/>
              </w:rPr>
            </w:pPr>
            <w:r>
              <w:rPr>
                <w:sz w:val="20"/>
              </w:rPr>
              <w:t>21</w:t>
            </w:r>
          </w:p>
        </w:tc>
        <w:tc>
          <w:tcPr>
            <w:tcW w:w="2811" w:type="dxa"/>
            <w:tcBorders>
              <w:left w:val="single" w:sz="4" w:space="0" w:color="000000"/>
              <w:bottom w:val="single" w:sz="4" w:space="0" w:color="000000"/>
              <w:right w:val="double" w:sz="6" w:space="0" w:color="000000"/>
            </w:tcBorders>
            <w:vAlign w:val="bottom"/>
          </w:tcPr>
          <w:p w:rsidR="004B773F" w:rsidRDefault="0011252D">
            <w:pPr>
              <w:snapToGrid w:val="0"/>
              <w:jc w:val="center"/>
              <w:rPr>
                <w:sz w:val="20"/>
              </w:rPr>
            </w:pPr>
            <w:r>
              <w:rPr>
                <w:sz w:val="20"/>
              </w:rPr>
              <w:t>18.150,-</w:t>
            </w:r>
          </w:p>
        </w:tc>
      </w:tr>
      <w:tr w:rsidR="004B773F">
        <w:trPr>
          <w:trHeight w:val="255"/>
        </w:trPr>
        <w:tc>
          <w:tcPr>
            <w:tcW w:w="456" w:type="dxa"/>
            <w:tcBorders>
              <w:left w:val="double" w:sz="6" w:space="0" w:color="000000"/>
              <w:bottom w:val="single" w:sz="4" w:space="0" w:color="000000"/>
            </w:tcBorders>
            <w:vAlign w:val="bottom"/>
          </w:tcPr>
          <w:p w:rsidR="004B773F" w:rsidRDefault="0011252D">
            <w:pPr>
              <w:snapToGrid w:val="0"/>
              <w:jc w:val="center"/>
              <w:rPr>
                <w:sz w:val="20"/>
              </w:rPr>
            </w:pPr>
            <w:r>
              <w:rPr>
                <w:sz w:val="20"/>
              </w:rPr>
              <w:t>7</w:t>
            </w:r>
          </w:p>
        </w:tc>
        <w:tc>
          <w:tcPr>
            <w:tcW w:w="3852" w:type="dxa"/>
            <w:tcBorders>
              <w:left w:val="single" w:sz="4" w:space="0" w:color="000000"/>
              <w:bottom w:val="single" w:sz="4" w:space="0" w:color="000000"/>
            </w:tcBorders>
            <w:vAlign w:val="bottom"/>
          </w:tcPr>
          <w:p w:rsidR="004B773F" w:rsidRDefault="0011252D">
            <w:pPr>
              <w:snapToGrid w:val="0"/>
            </w:pPr>
            <w:r>
              <w:t>Nerezová pojezdová mřížka s úpravou pro HT 50</w:t>
            </w:r>
          </w:p>
        </w:tc>
        <w:tc>
          <w:tcPr>
            <w:tcW w:w="732" w:type="dxa"/>
            <w:tcBorders>
              <w:left w:val="single" w:sz="4" w:space="0" w:color="000000"/>
              <w:bottom w:val="single" w:sz="4" w:space="0" w:color="000000"/>
            </w:tcBorders>
            <w:vAlign w:val="bottom"/>
          </w:tcPr>
          <w:p w:rsidR="004B773F" w:rsidRDefault="0011252D">
            <w:pPr>
              <w:snapToGrid w:val="0"/>
              <w:jc w:val="center"/>
              <w:rPr>
                <w:sz w:val="20"/>
              </w:rPr>
            </w:pPr>
            <w:r>
              <w:rPr>
                <w:sz w:val="20"/>
              </w:rPr>
              <w:t>1x</w:t>
            </w:r>
          </w:p>
        </w:tc>
        <w:tc>
          <w:tcPr>
            <w:tcW w:w="1704" w:type="dxa"/>
            <w:tcBorders>
              <w:left w:val="single" w:sz="4" w:space="0" w:color="000000"/>
              <w:bottom w:val="single" w:sz="4" w:space="0" w:color="000000"/>
            </w:tcBorders>
            <w:vAlign w:val="bottom"/>
          </w:tcPr>
          <w:p w:rsidR="004B773F" w:rsidRDefault="0011252D">
            <w:pPr>
              <w:snapToGrid w:val="0"/>
              <w:jc w:val="center"/>
              <w:rPr>
                <w:sz w:val="20"/>
              </w:rPr>
            </w:pPr>
            <w:r>
              <w:rPr>
                <w:sz w:val="20"/>
              </w:rPr>
              <w:t>4.500,-</w:t>
            </w:r>
          </w:p>
        </w:tc>
        <w:tc>
          <w:tcPr>
            <w:tcW w:w="624" w:type="dxa"/>
            <w:tcBorders>
              <w:left w:val="single" w:sz="4" w:space="0" w:color="000000"/>
              <w:bottom w:val="single" w:sz="4" w:space="0" w:color="000000"/>
            </w:tcBorders>
            <w:vAlign w:val="bottom"/>
          </w:tcPr>
          <w:p w:rsidR="004B773F" w:rsidRDefault="0011252D">
            <w:pPr>
              <w:snapToGrid w:val="0"/>
              <w:jc w:val="center"/>
              <w:rPr>
                <w:sz w:val="20"/>
              </w:rPr>
            </w:pPr>
            <w:r>
              <w:rPr>
                <w:sz w:val="20"/>
              </w:rPr>
              <w:t>21</w:t>
            </w:r>
          </w:p>
        </w:tc>
        <w:tc>
          <w:tcPr>
            <w:tcW w:w="2811" w:type="dxa"/>
            <w:tcBorders>
              <w:left w:val="single" w:sz="4" w:space="0" w:color="000000"/>
              <w:bottom w:val="single" w:sz="4" w:space="0" w:color="000000"/>
              <w:right w:val="double" w:sz="6" w:space="0" w:color="000000"/>
            </w:tcBorders>
            <w:vAlign w:val="bottom"/>
          </w:tcPr>
          <w:p w:rsidR="004B773F" w:rsidRDefault="0011252D">
            <w:pPr>
              <w:snapToGrid w:val="0"/>
              <w:jc w:val="center"/>
              <w:rPr>
                <w:sz w:val="20"/>
              </w:rPr>
            </w:pPr>
            <w:r>
              <w:rPr>
                <w:sz w:val="20"/>
              </w:rPr>
              <w:t>5.445,-</w:t>
            </w:r>
          </w:p>
        </w:tc>
      </w:tr>
      <w:tr w:rsidR="004B773F">
        <w:trPr>
          <w:trHeight w:val="372"/>
        </w:trPr>
        <w:tc>
          <w:tcPr>
            <w:tcW w:w="456" w:type="dxa"/>
            <w:tcBorders>
              <w:left w:val="double" w:sz="6" w:space="0" w:color="000000"/>
              <w:bottom w:val="single" w:sz="4" w:space="0" w:color="000000"/>
            </w:tcBorders>
            <w:vAlign w:val="bottom"/>
          </w:tcPr>
          <w:p w:rsidR="004B773F" w:rsidRDefault="0011252D">
            <w:pPr>
              <w:snapToGrid w:val="0"/>
              <w:jc w:val="center"/>
              <w:rPr>
                <w:sz w:val="20"/>
              </w:rPr>
            </w:pPr>
            <w:r>
              <w:rPr>
                <w:sz w:val="20"/>
              </w:rPr>
              <w:t>8</w:t>
            </w:r>
          </w:p>
        </w:tc>
        <w:tc>
          <w:tcPr>
            <w:tcW w:w="3852" w:type="dxa"/>
            <w:tcBorders>
              <w:left w:val="single" w:sz="4" w:space="0" w:color="000000"/>
              <w:bottom w:val="single" w:sz="4" w:space="0" w:color="000000"/>
            </w:tcBorders>
            <w:vAlign w:val="bottom"/>
          </w:tcPr>
          <w:p w:rsidR="004B773F" w:rsidRDefault="0011252D">
            <w:pPr>
              <w:snapToGrid w:val="0"/>
            </w:pPr>
            <w:r>
              <w:t xml:space="preserve">Montáž, zaškolení </w:t>
            </w:r>
          </w:p>
        </w:tc>
        <w:tc>
          <w:tcPr>
            <w:tcW w:w="732" w:type="dxa"/>
            <w:tcBorders>
              <w:left w:val="single" w:sz="4" w:space="0" w:color="000000"/>
              <w:bottom w:val="single" w:sz="4" w:space="0" w:color="000000"/>
            </w:tcBorders>
            <w:vAlign w:val="bottom"/>
          </w:tcPr>
          <w:p w:rsidR="004B773F" w:rsidRDefault="0011252D">
            <w:pPr>
              <w:snapToGrid w:val="0"/>
              <w:jc w:val="center"/>
              <w:rPr>
                <w:sz w:val="20"/>
              </w:rPr>
            </w:pPr>
            <w:r>
              <w:rPr>
                <w:sz w:val="20"/>
              </w:rPr>
              <w:t>1x</w:t>
            </w:r>
          </w:p>
        </w:tc>
        <w:tc>
          <w:tcPr>
            <w:tcW w:w="1704" w:type="dxa"/>
            <w:tcBorders>
              <w:left w:val="single" w:sz="4" w:space="0" w:color="000000"/>
              <w:bottom w:val="single" w:sz="4" w:space="0" w:color="000000"/>
            </w:tcBorders>
            <w:vAlign w:val="bottom"/>
          </w:tcPr>
          <w:p w:rsidR="004B773F" w:rsidRDefault="0011252D">
            <w:pPr>
              <w:snapToGrid w:val="0"/>
              <w:jc w:val="center"/>
              <w:rPr>
                <w:sz w:val="20"/>
              </w:rPr>
            </w:pPr>
            <w:r>
              <w:rPr>
                <w:sz w:val="20"/>
              </w:rPr>
              <w:t>20.000,-</w:t>
            </w:r>
          </w:p>
        </w:tc>
        <w:tc>
          <w:tcPr>
            <w:tcW w:w="624" w:type="dxa"/>
            <w:tcBorders>
              <w:left w:val="single" w:sz="4" w:space="0" w:color="000000"/>
              <w:bottom w:val="single" w:sz="4" w:space="0" w:color="000000"/>
            </w:tcBorders>
            <w:vAlign w:val="bottom"/>
          </w:tcPr>
          <w:p w:rsidR="004B773F" w:rsidRDefault="0011252D">
            <w:pPr>
              <w:snapToGrid w:val="0"/>
              <w:jc w:val="center"/>
              <w:rPr>
                <w:sz w:val="20"/>
              </w:rPr>
            </w:pPr>
            <w:r>
              <w:rPr>
                <w:sz w:val="20"/>
              </w:rPr>
              <w:t>21</w:t>
            </w:r>
          </w:p>
        </w:tc>
        <w:tc>
          <w:tcPr>
            <w:tcW w:w="2811" w:type="dxa"/>
            <w:tcBorders>
              <w:left w:val="single" w:sz="4" w:space="0" w:color="000000"/>
              <w:bottom w:val="single" w:sz="4" w:space="0" w:color="000000"/>
              <w:right w:val="double" w:sz="6" w:space="0" w:color="000000"/>
            </w:tcBorders>
            <w:vAlign w:val="bottom"/>
          </w:tcPr>
          <w:p w:rsidR="004B773F" w:rsidRDefault="0011252D">
            <w:pPr>
              <w:snapToGrid w:val="0"/>
              <w:jc w:val="center"/>
              <w:rPr>
                <w:sz w:val="20"/>
              </w:rPr>
            </w:pPr>
            <w:r>
              <w:rPr>
                <w:sz w:val="20"/>
              </w:rPr>
              <w:t>24.200,-</w:t>
            </w:r>
          </w:p>
        </w:tc>
      </w:tr>
      <w:tr w:rsidR="004B773F">
        <w:trPr>
          <w:trHeight w:val="255"/>
        </w:trPr>
        <w:tc>
          <w:tcPr>
            <w:tcW w:w="456" w:type="dxa"/>
            <w:tcBorders>
              <w:left w:val="double" w:sz="6" w:space="0" w:color="000000"/>
              <w:bottom w:val="single" w:sz="4" w:space="0" w:color="000000"/>
            </w:tcBorders>
            <w:vAlign w:val="bottom"/>
          </w:tcPr>
          <w:p w:rsidR="004B773F" w:rsidRDefault="0011252D">
            <w:pPr>
              <w:snapToGrid w:val="0"/>
              <w:jc w:val="center"/>
              <w:rPr>
                <w:sz w:val="20"/>
              </w:rPr>
            </w:pPr>
            <w:r>
              <w:rPr>
                <w:sz w:val="20"/>
              </w:rPr>
              <w:t>9</w:t>
            </w:r>
          </w:p>
        </w:tc>
        <w:tc>
          <w:tcPr>
            <w:tcW w:w="3852" w:type="dxa"/>
            <w:tcBorders>
              <w:left w:val="single" w:sz="4" w:space="0" w:color="000000"/>
              <w:bottom w:val="single" w:sz="4" w:space="0" w:color="000000"/>
            </w:tcBorders>
            <w:vAlign w:val="bottom"/>
          </w:tcPr>
          <w:p w:rsidR="004B773F" w:rsidRDefault="004B773F">
            <w:pPr>
              <w:snapToGrid w:val="0"/>
            </w:pPr>
          </w:p>
        </w:tc>
        <w:tc>
          <w:tcPr>
            <w:tcW w:w="732" w:type="dxa"/>
            <w:tcBorders>
              <w:left w:val="single" w:sz="4" w:space="0" w:color="000000"/>
              <w:bottom w:val="single" w:sz="4" w:space="0" w:color="000000"/>
            </w:tcBorders>
            <w:vAlign w:val="bottom"/>
          </w:tcPr>
          <w:p w:rsidR="004B773F" w:rsidRDefault="004B773F">
            <w:pPr>
              <w:snapToGrid w:val="0"/>
              <w:jc w:val="center"/>
              <w:rPr>
                <w:sz w:val="20"/>
              </w:rPr>
            </w:pPr>
          </w:p>
        </w:tc>
        <w:tc>
          <w:tcPr>
            <w:tcW w:w="1704" w:type="dxa"/>
            <w:tcBorders>
              <w:left w:val="single" w:sz="4" w:space="0" w:color="000000"/>
              <w:bottom w:val="single" w:sz="4" w:space="0" w:color="000000"/>
            </w:tcBorders>
            <w:vAlign w:val="bottom"/>
          </w:tcPr>
          <w:p w:rsidR="004B773F" w:rsidRDefault="004B773F">
            <w:pPr>
              <w:snapToGrid w:val="0"/>
              <w:jc w:val="center"/>
              <w:rPr>
                <w:sz w:val="20"/>
              </w:rPr>
            </w:pPr>
          </w:p>
        </w:tc>
        <w:tc>
          <w:tcPr>
            <w:tcW w:w="624" w:type="dxa"/>
            <w:tcBorders>
              <w:left w:val="single" w:sz="4" w:space="0" w:color="000000"/>
              <w:bottom w:val="single" w:sz="4" w:space="0" w:color="000000"/>
            </w:tcBorders>
            <w:vAlign w:val="bottom"/>
          </w:tcPr>
          <w:p w:rsidR="004B773F" w:rsidRDefault="004B773F">
            <w:pPr>
              <w:snapToGrid w:val="0"/>
              <w:jc w:val="center"/>
              <w:rPr>
                <w:sz w:val="20"/>
              </w:rPr>
            </w:pPr>
          </w:p>
        </w:tc>
        <w:tc>
          <w:tcPr>
            <w:tcW w:w="2811" w:type="dxa"/>
            <w:tcBorders>
              <w:left w:val="single" w:sz="4" w:space="0" w:color="000000"/>
              <w:bottom w:val="single" w:sz="4" w:space="0" w:color="000000"/>
              <w:right w:val="double" w:sz="6" w:space="0" w:color="000000"/>
            </w:tcBorders>
            <w:vAlign w:val="bottom"/>
          </w:tcPr>
          <w:p w:rsidR="004B773F" w:rsidRDefault="004B773F">
            <w:pPr>
              <w:snapToGrid w:val="0"/>
              <w:jc w:val="center"/>
              <w:rPr>
                <w:sz w:val="20"/>
              </w:rPr>
            </w:pPr>
          </w:p>
        </w:tc>
      </w:tr>
    </w:tbl>
    <w:p w:rsidR="004B773F" w:rsidRDefault="004B773F">
      <w:pPr>
        <w:shd w:val="clear" w:color="auto" w:fill="FFFFFF"/>
        <w:tabs>
          <w:tab w:val="left" w:pos="5985"/>
        </w:tabs>
        <w:spacing w:line="293" w:lineRule="atLeast"/>
      </w:pPr>
    </w:p>
    <w:p w:rsidR="004B773F" w:rsidRDefault="0011252D">
      <w:pPr>
        <w:shd w:val="clear" w:color="auto" w:fill="FFFFFF"/>
        <w:tabs>
          <w:tab w:val="left" w:pos="5985"/>
        </w:tabs>
        <w:spacing w:line="293" w:lineRule="atLeast"/>
        <w:rPr>
          <w:b/>
          <w:bCs/>
        </w:rPr>
      </w:pPr>
      <w:r>
        <w:rPr>
          <w:b/>
          <w:bCs/>
        </w:rPr>
        <w:t>Konečná cena celkem bez DPH: 430.136,-</w:t>
      </w:r>
    </w:p>
    <w:p w:rsidR="004B773F" w:rsidRDefault="0011252D">
      <w:pPr>
        <w:shd w:val="clear" w:color="auto" w:fill="FFFFFF"/>
        <w:tabs>
          <w:tab w:val="left" w:pos="5985"/>
        </w:tabs>
        <w:spacing w:line="293" w:lineRule="atLeast"/>
        <w:rPr>
          <w:b/>
          <w:bCs/>
        </w:rPr>
      </w:pPr>
      <w:r>
        <w:rPr>
          <w:b/>
          <w:bCs/>
        </w:rPr>
        <w:t>DPH celkem 21</w:t>
      </w:r>
      <w:proofErr w:type="gramStart"/>
      <w:r>
        <w:rPr>
          <w:b/>
          <w:bCs/>
        </w:rPr>
        <w:t>% :</w:t>
      </w:r>
      <w:proofErr w:type="gramEnd"/>
      <w:r>
        <w:rPr>
          <w:b/>
          <w:bCs/>
        </w:rPr>
        <w:t xml:space="preserve"> 90.328,56,-</w:t>
      </w:r>
    </w:p>
    <w:p w:rsidR="004B773F" w:rsidRDefault="0011252D">
      <w:pPr>
        <w:shd w:val="clear" w:color="auto" w:fill="FFFFFF"/>
        <w:tabs>
          <w:tab w:val="left" w:pos="5985"/>
        </w:tabs>
        <w:spacing w:line="293" w:lineRule="atLeast"/>
        <w:rPr>
          <w:b/>
          <w:bCs/>
        </w:rPr>
      </w:pPr>
      <w:r>
        <w:rPr>
          <w:b/>
          <w:bCs/>
        </w:rPr>
        <w:t xml:space="preserve">Cena </w:t>
      </w:r>
      <w:proofErr w:type="gramStart"/>
      <w:r>
        <w:rPr>
          <w:b/>
          <w:bCs/>
        </w:rPr>
        <w:t>vč</w:t>
      </w:r>
      <w:proofErr w:type="gramEnd"/>
      <w:r>
        <w:rPr>
          <w:b/>
          <w:bCs/>
        </w:rPr>
        <w:t>. 21% DPH: 520.464</w:t>
      </w:r>
      <w:proofErr w:type="gramStart"/>
      <w:r>
        <w:rPr>
          <w:b/>
          <w:bCs/>
        </w:rPr>
        <w:t>,56</w:t>
      </w:r>
      <w:proofErr w:type="gramEnd"/>
      <w:r>
        <w:rPr>
          <w:b/>
          <w:bCs/>
        </w:rPr>
        <w:t xml:space="preserve">,-- </w:t>
      </w:r>
    </w:p>
    <w:p w:rsidR="004B773F" w:rsidRDefault="004B773F"/>
    <w:p w:rsidR="004B773F" w:rsidRDefault="00B92E60">
      <w:r>
        <w:t>Nabídku zpracovala: xxxxxx xxxxxxxxx</w:t>
      </w:r>
    </w:p>
    <w:p w:rsidR="004B773F" w:rsidRDefault="0011252D">
      <w:proofErr w:type="gramStart"/>
      <w:r>
        <w:t>e-mail</w:t>
      </w:r>
      <w:proofErr w:type="gramEnd"/>
      <w:r>
        <w:t xml:space="preserve">: </w:t>
      </w:r>
      <w:r w:rsidR="00B92E60" w:rsidRPr="00B92E60">
        <w:rPr>
          <w:rStyle w:val="Internetovodkaz"/>
        </w:rPr>
        <w:t>xxxxxxxxx@xxxxxx-xxxxxx</w:t>
      </w:r>
      <w:r w:rsidR="00B92E60">
        <w:rPr>
          <w:rStyle w:val="Internetovodkaz"/>
        </w:rPr>
        <w:t>.xxx</w:t>
      </w:r>
    </w:p>
    <w:p w:rsidR="004B773F" w:rsidRDefault="00B92E60">
      <w:r>
        <w:t>tel: xxx xxx xxx</w:t>
      </w:r>
      <w:bookmarkStart w:id="0" w:name="_GoBack"/>
      <w:bookmarkEnd w:id="0"/>
    </w:p>
    <w:p w:rsidR="004B773F" w:rsidRDefault="004B773F"/>
    <w:p w:rsidR="004B773F" w:rsidRDefault="004B773F"/>
    <w:p w:rsidR="004B773F" w:rsidRDefault="004B773F">
      <w:pPr>
        <w:spacing w:after="100" w:line="288" w:lineRule="auto"/>
        <w:jc w:val="both"/>
        <w:rPr>
          <w:rFonts w:cs="Arial"/>
          <w:b/>
        </w:rPr>
      </w:pPr>
    </w:p>
    <w:sectPr w:rsidR="004B773F">
      <w:headerReference w:type="default" r:id="rId8"/>
      <w:pgSz w:w="11906" w:h="16838"/>
      <w:pgMar w:top="1134" w:right="1134" w:bottom="850" w:left="1134" w:header="709" w:footer="0"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3F0" w:rsidRDefault="006243F0">
      <w:r>
        <w:separator/>
      </w:r>
    </w:p>
  </w:endnote>
  <w:endnote w:type="continuationSeparator" w:id="0">
    <w:p w:rsidR="006243F0" w:rsidRDefault="0062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3F0" w:rsidRDefault="006243F0">
      <w:r>
        <w:separator/>
      </w:r>
    </w:p>
  </w:footnote>
  <w:footnote w:type="continuationSeparator" w:id="0">
    <w:p w:rsidR="006243F0" w:rsidRDefault="00624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3F" w:rsidRDefault="0011252D">
    <w:pPr>
      <w:pStyle w:val="Bezmezer"/>
      <w:rPr>
        <w:rFonts w:ascii="Constantia" w:hAnsi="Constantia"/>
        <w:b/>
        <w:sz w:val="24"/>
        <w:szCs w:val="24"/>
      </w:rPr>
    </w:pPr>
    <w:r>
      <w:rPr>
        <w:noProof/>
        <w:lang w:eastAsia="cs-CZ"/>
      </w:rPr>
      <w:drawing>
        <wp:anchor distT="0" distB="0" distL="114300" distR="114300" simplePos="0" relativeHeight="10" behindDoc="0" locked="0" layoutInCell="0" allowOverlap="1">
          <wp:simplePos x="0" y="0"/>
          <wp:positionH relativeFrom="column">
            <wp:posOffset>-4445</wp:posOffset>
          </wp:positionH>
          <wp:positionV relativeFrom="paragraph">
            <wp:posOffset>-316230</wp:posOffset>
          </wp:positionV>
          <wp:extent cx="1790700" cy="296545"/>
          <wp:effectExtent l="0" t="0" r="0" b="0"/>
          <wp:wrapTight wrapText="bothSides">
            <wp:wrapPolygon edited="0">
              <wp:start x="-136" y="0"/>
              <wp:lineTo x="-136" y="20178"/>
              <wp:lineTo x="21293" y="20178"/>
              <wp:lineTo x="21293" y="0"/>
              <wp:lineTo x="-136" y="0"/>
            </wp:wrapPolygon>
          </wp:wrapTight>
          <wp:docPr id="1" name="Obrázek4" descr="http://www.kr-stredocesky.cz/portal/Images/logo_print.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4" descr="http://www.kr-stredocesky.cz/portal/Images/logo_print.gif">
                    <a:hlinkClick r:id="rId1"/>
                  </pic:cNvPr>
                  <pic:cNvPicPr>
                    <a:picLocks noChangeAspect="1" noChangeArrowheads="1"/>
                  </pic:cNvPicPr>
                </pic:nvPicPr>
                <pic:blipFill>
                  <a:blip r:embed="rId2"/>
                  <a:stretch>
                    <a:fillRect/>
                  </a:stretch>
                </pic:blipFill>
                <pic:spPr bwMode="auto">
                  <a:xfrm>
                    <a:off x="0" y="0"/>
                    <a:ext cx="1790700" cy="296545"/>
                  </a:xfrm>
                  <a:prstGeom prst="rect">
                    <a:avLst/>
                  </a:prstGeom>
                </pic:spPr>
              </pic:pic>
            </a:graphicData>
          </a:graphic>
        </wp:anchor>
      </w:drawing>
    </w:r>
    <w:r>
      <w:rPr>
        <w:noProof/>
        <w:lang w:eastAsia="cs-CZ"/>
      </w:rPr>
      <w:drawing>
        <wp:anchor distT="0" distB="0" distL="0" distR="114300" simplePos="0" relativeHeight="19" behindDoc="1" locked="0" layoutInCell="0" allowOverlap="1">
          <wp:simplePos x="0" y="0"/>
          <wp:positionH relativeFrom="margin">
            <wp:align>left</wp:align>
          </wp:positionH>
          <wp:positionV relativeFrom="margin">
            <wp:posOffset>-687705</wp:posOffset>
          </wp:positionV>
          <wp:extent cx="1009650" cy="421640"/>
          <wp:effectExtent l="0" t="0" r="0" b="0"/>
          <wp:wrapSquare wrapText="bothSides"/>
          <wp:docPr id="2" name="Obráze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5"/>
                  <pic:cNvPicPr>
                    <a:picLocks noChangeAspect="1" noChangeArrowheads="1"/>
                  </pic:cNvPicPr>
                </pic:nvPicPr>
                <pic:blipFill>
                  <a:blip r:embed="rId3"/>
                  <a:stretch>
                    <a:fillRect/>
                  </a:stretch>
                </pic:blipFill>
                <pic:spPr bwMode="auto">
                  <a:xfrm>
                    <a:off x="0" y="0"/>
                    <a:ext cx="1009650" cy="421640"/>
                  </a:xfrm>
                  <a:prstGeom prst="rect">
                    <a:avLst/>
                  </a:prstGeom>
                </pic:spPr>
              </pic:pic>
            </a:graphicData>
          </a:graphic>
        </wp:anchor>
      </w:drawing>
    </w:r>
    <w:r>
      <w:rPr>
        <w:rFonts w:ascii="Constantia" w:hAnsi="Constantia"/>
        <w:b/>
        <w:sz w:val="24"/>
        <w:szCs w:val="24"/>
      </w:rPr>
      <w:tab/>
      <w:t>Domov Na Zámku Lysá nad Labem, příspěvková organizace</w:t>
    </w:r>
  </w:p>
  <w:p w:rsidR="004B773F" w:rsidRDefault="0011252D">
    <w:pPr>
      <w:pStyle w:val="Bezmezer"/>
      <w:rPr>
        <w:rFonts w:ascii="Constantia" w:hAnsi="Constantia"/>
      </w:rPr>
    </w:pPr>
    <w:r>
      <w:rPr>
        <w:rFonts w:ascii="Constantia" w:hAnsi="Constantia"/>
      </w:rPr>
      <w:tab/>
      <w:t>Zámek 1/21, 289 22 Lysá nad Labem</w:t>
    </w:r>
  </w:p>
  <w:p w:rsidR="004B773F" w:rsidRDefault="004B773F">
    <w:pPr>
      <w:pStyle w:val="Bezmezer"/>
      <w:rPr>
        <w:rFonts w:cstheme="minorHAnsi"/>
        <w:b/>
      </w:rPr>
    </w:pPr>
  </w:p>
  <w:p w:rsidR="004B773F" w:rsidRDefault="0011252D">
    <w:pPr>
      <w:pStyle w:val="Bezmezer"/>
      <w:rPr>
        <w:rFonts w:cstheme="minorHAnsi"/>
        <w:b/>
        <w:i/>
      </w:rPr>
    </w:pPr>
    <w:r>
      <w:rPr>
        <w:rFonts w:cstheme="minorHAnsi"/>
        <w:b/>
        <w:i/>
      </w:rPr>
      <w:t>Kupní smlouva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4F56"/>
    <w:multiLevelType w:val="multilevel"/>
    <w:tmpl w:val="A010FA46"/>
    <w:lvl w:ilvl="0">
      <w:start w:val="1"/>
      <w:numFmt w:val="decimal"/>
      <w:pStyle w:val="Nadpis1"/>
      <w:lvlText w:val="%1"/>
      <w:lvlJc w:val="left"/>
      <w:pPr>
        <w:tabs>
          <w:tab w:val="num" w:pos="0"/>
        </w:tabs>
        <w:ind w:left="432" w:hanging="432"/>
      </w:pPr>
      <w:rPr>
        <w:b/>
        <w:i w:val="0"/>
      </w:rPr>
    </w:lvl>
    <w:lvl w:ilvl="1">
      <w:start w:val="1"/>
      <w:numFmt w:val="decimal"/>
      <w:pStyle w:val="Nadpis2"/>
      <w:lvlText w:val="%1.%2"/>
      <w:lvlJc w:val="left"/>
      <w:pPr>
        <w:tabs>
          <w:tab w:val="num" w:pos="0"/>
        </w:tabs>
        <w:ind w:left="576" w:hanging="576"/>
      </w:pPr>
    </w:lvl>
    <w:lvl w:ilvl="2">
      <w:start w:val="1"/>
      <w:numFmt w:val="decimal"/>
      <w:pStyle w:val="Nadpis3"/>
      <w:lvlText w:val="%1.%2.%3"/>
      <w:lvlJc w:val="left"/>
      <w:pPr>
        <w:tabs>
          <w:tab w:val="num" w:pos="0"/>
        </w:tabs>
        <w:ind w:left="720" w:hanging="720"/>
      </w:p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1" w15:restartNumberingAfterBreak="0">
    <w:nsid w:val="070A4111"/>
    <w:multiLevelType w:val="multilevel"/>
    <w:tmpl w:val="E12C127A"/>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 w15:restartNumberingAfterBreak="0">
    <w:nsid w:val="0EA17A01"/>
    <w:multiLevelType w:val="multilevel"/>
    <w:tmpl w:val="A282C47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DB15448"/>
    <w:multiLevelType w:val="multilevel"/>
    <w:tmpl w:val="23A6F9A4"/>
    <w:lvl w:ilvl="0">
      <w:start w:val="1"/>
      <w:numFmt w:val="decimal"/>
      <w:pStyle w:val="AKFZFnovnadpis5"/>
      <w:lvlText w:val="%1."/>
      <w:lvlJc w:val="left"/>
      <w:pPr>
        <w:tabs>
          <w:tab w:val="num" w:pos="851"/>
        </w:tabs>
        <w:ind w:left="851" w:hanging="851"/>
      </w:pPr>
      <w:rPr>
        <w:b/>
        <w:i w:val="0"/>
        <w:caps/>
        <w:sz w:val="22"/>
      </w:rPr>
    </w:lvl>
    <w:lvl w:ilvl="1">
      <w:start w:val="1"/>
      <w:numFmt w:val="decimal"/>
      <w:lvlText w:val="%1.%2"/>
      <w:lvlJc w:val="left"/>
      <w:pPr>
        <w:tabs>
          <w:tab w:val="num" w:pos="851"/>
        </w:tabs>
        <w:ind w:left="851" w:hanging="851"/>
      </w:pPr>
      <w:rPr>
        <w:rFonts w:ascii="Arial" w:hAnsi="Arial"/>
        <w:b/>
        <w:i w:val="0"/>
        <w:caps/>
        <w:sz w:val="22"/>
      </w:rPr>
    </w:lvl>
    <w:lvl w:ilvl="2">
      <w:start w:val="1"/>
      <w:numFmt w:val="decimal"/>
      <w:lvlText w:val="%1.%2.%3"/>
      <w:lvlJc w:val="left"/>
      <w:pPr>
        <w:tabs>
          <w:tab w:val="num" w:pos="851"/>
        </w:tabs>
        <w:ind w:left="851" w:hanging="851"/>
      </w:pPr>
      <w:rPr>
        <w:rFonts w:ascii="Times New Roman" w:hAnsi="Times New Roman"/>
        <w:b w:val="0"/>
        <w:i w:val="0"/>
        <w:caps w:val="0"/>
        <w:smallCaps w:val="0"/>
        <w:sz w:val="22"/>
      </w:rPr>
    </w:lvl>
    <w:lvl w:ilvl="3">
      <w:start w:val="1"/>
      <w:numFmt w:val="lowerRoman"/>
      <w:lvlText w:val="(%4)"/>
      <w:lvlJc w:val="left"/>
      <w:pPr>
        <w:tabs>
          <w:tab w:val="num" w:pos="1418"/>
        </w:tabs>
        <w:ind w:left="1418" w:hanging="567"/>
      </w:pPr>
      <w:rPr>
        <w:rFonts w:ascii="Arial" w:hAnsi="Arial"/>
        <w:b w:val="0"/>
        <w:i/>
        <w:caps w:val="0"/>
        <w:smallCaps w:val="0"/>
        <w:sz w:val="22"/>
      </w:rPr>
    </w:lvl>
    <w:lvl w:ilvl="4">
      <w:start w:val="1"/>
      <w:numFmt w:val="decimal"/>
      <w:lvlText w:val="%5."/>
      <w:lvlJc w:val="left"/>
      <w:pPr>
        <w:tabs>
          <w:tab w:val="num" w:pos="1418"/>
        </w:tabs>
        <w:ind w:left="1418" w:hanging="567"/>
      </w:pPr>
      <w:rPr>
        <w:rFonts w:ascii="Arial" w:hAnsi="Arial"/>
        <w:b w:val="0"/>
        <w:i w:val="0"/>
        <w:caps w:val="0"/>
        <w:smallCaps w:val="0"/>
        <w:sz w:val="22"/>
      </w:rPr>
    </w:lvl>
    <w:lvl w:ilvl="5">
      <w:start w:val="1"/>
      <w:numFmt w:val="lowerLetter"/>
      <w:lvlText w:val="%6."/>
      <w:lvlJc w:val="left"/>
      <w:pPr>
        <w:tabs>
          <w:tab w:val="num" w:pos="1418"/>
        </w:tabs>
        <w:ind w:left="1418" w:hanging="567"/>
      </w:pPr>
      <w:rPr>
        <w:rFonts w:ascii="Arial" w:hAnsi="Arial"/>
        <w:b w:val="0"/>
        <w:i/>
        <w:sz w:val="22"/>
      </w:r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2DE85002"/>
    <w:multiLevelType w:val="multilevel"/>
    <w:tmpl w:val="3D346BD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E66453C"/>
    <w:multiLevelType w:val="multilevel"/>
    <w:tmpl w:val="906ACB00"/>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7275A38"/>
    <w:multiLevelType w:val="multilevel"/>
    <w:tmpl w:val="D0D4E4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3291DF7"/>
    <w:multiLevelType w:val="multilevel"/>
    <w:tmpl w:val="6DA4BC36"/>
    <w:lvl w:ilvl="0">
      <w:start w:val="1"/>
      <w:numFmt w:val="decimal"/>
      <w:lvlText w:val="%1."/>
      <w:lvlJc w:val="left"/>
      <w:pPr>
        <w:tabs>
          <w:tab w:val="num" w:pos="0"/>
        </w:tabs>
        <w:ind w:left="2340" w:hanging="360"/>
      </w:pPr>
    </w:lvl>
    <w:lvl w:ilvl="1">
      <w:start w:val="1"/>
      <w:numFmt w:val="lowerLetter"/>
      <w:lvlText w:val="%2."/>
      <w:lvlJc w:val="left"/>
      <w:pPr>
        <w:tabs>
          <w:tab w:val="num" w:pos="0"/>
        </w:tabs>
        <w:ind w:left="3060" w:hanging="360"/>
      </w:pPr>
    </w:lvl>
    <w:lvl w:ilvl="2">
      <w:start w:val="1"/>
      <w:numFmt w:val="lowerRoman"/>
      <w:lvlText w:val="%3."/>
      <w:lvlJc w:val="right"/>
      <w:pPr>
        <w:tabs>
          <w:tab w:val="num" w:pos="0"/>
        </w:tabs>
        <w:ind w:left="3780" w:hanging="180"/>
      </w:pPr>
    </w:lvl>
    <w:lvl w:ilvl="3">
      <w:start w:val="1"/>
      <w:numFmt w:val="decimal"/>
      <w:lvlText w:val="%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6."/>
      <w:lvlJc w:val="right"/>
      <w:pPr>
        <w:tabs>
          <w:tab w:val="num" w:pos="0"/>
        </w:tabs>
        <w:ind w:left="5940" w:hanging="180"/>
      </w:pPr>
    </w:lvl>
    <w:lvl w:ilvl="6">
      <w:start w:val="1"/>
      <w:numFmt w:val="decimal"/>
      <w:lvlText w:val="%7."/>
      <w:lvlJc w:val="left"/>
      <w:pPr>
        <w:tabs>
          <w:tab w:val="num" w:pos="0"/>
        </w:tabs>
        <w:ind w:left="6660" w:hanging="360"/>
      </w:pPr>
    </w:lvl>
    <w:lvl w:ilvl="7">
      <w:start w:val="1"/>
      <w:numFmt w:val="lowerLetter"/>
      <w:lvlText w:val="%8."/>
      <w:lvlJc w:val="left"/>
      <w:pPr>
        <w:tabs>
          <w:tab w:val="num" w:pos="0"/>
        </w:tabs>
        <w:ind w:left="7380" w:hanging="360"/>
      </w:pPr>
    </w:lvl>
    <w:lvl w:ilvl="8">
      <w:start w:val="1"/>
      <w:numFmt w:val="lowerRoman"/>
      <w:lvlText w:val="%9."/>
      <w:lvlJc w:val="right"/>
      <w:pPr>
        <w:tabs>
          <w:tab w:val="num" w:pos="0"/>
        </w:tabs>
        <w:ind w:left="8100" w:hanging="180"/>
      </w:pPr>
    </w:lvl>
  </w:abstractNum>
  <w:abstractNum w:abstractNumId="8" w15:restartNumberingAfterBreak="0">
    <w:nsid w:val="57AA511C"/>
    <w:multiLevelType w:val="multilevel"/>
    <w:tmpl w:val="E6A005E6"/>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D256189"/>
    <w:multiLevelType w:val="multilevel"/>
    <w:tmpl w:val="24E277B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E2A6508"/>
    <w:multiLevelType w:val="multilevel"/>
    <w:tmpl w:val="43707BE0"/>
    <w:lvl w:ilvl="0">
      <w:start w:val="1"/>
      <w:numFmt w:val="lowerLetter"/>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5"/>
  </w:num>
  <w:num w:numId="4">
    <w:abstractNumId w:val="4"/>
  </w:num>
  <w:num w:numId="5">
    <w:abstractNumId w:val="9"/>
  </w:num>
  <w:num w:numId="6">
    <w:abstractNumId w:val="10"/>
  </w:num>
  <w:num w:numId="7">
    <w:abstractNumId w:val="7"/>
  </w:num>
  <w:num w:numId="8">
    <w:abstractNumId w:val="1"/>
  </w:num>
  <w:num w:numId="9">
    <w:abstractNumId w:val="3"/>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3F"/>
    <w:rsid w:val="0011252D"/>
    <w:rsid w:val="0017193E"/>
    <w:rsid w:val="004B773F"/>
    <w:rsid w:val="006243F0"/>
    <w:rsid w:val="00B92E6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C4806-EE36-4F07-9A4B-74E9B520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1"/>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1"/>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1"/>
      </w:numPr>
      <w:spacing w:after="120"/>
      <w:ind w:right="91" w:firstLine="0"/>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qFormat/>
    <w:locked/>
    <w:rsid w:val="006B3263"/>
    <w:rPr>
      <w:rFonts w:ascii="Arial" w:eastAsia="Calibri" w:hAnsi="Arial"/>
      <w:b/>
      <w:sz w:val="28"/>
      <w:lang w:eastAsia="en-US"/>
    </w:rPr>
  </w:style>
  <w:style w:type="character" w:customStyle="1" w:styleId="ZhlavChar">
    <w:name w:val="Záhlaví Char"/>
    <w:link w:val="Zhlav"/>
    <w:qFormat/>
    <w:locked/>
    <w:rsid w:val="006B3263"/>
    <w:rPr>
      <w:rFonts w:eastAsia="Calibri"/>
      <w:sz w:val="24"/>
      <w:szCs w:val="24"/>
      <w:lang w:val="en-US" w:eastAsia="en-US" w:bidi="ar-SA"/>
    </w:rPr>
  </w:style>
  <w:style w:type="character" w:customStyle="1" w:styleId="ZkladntextChar">
    <w:name w:val="Základní text Char"/>
    <w:link w:val="Zkladntext"/>
    <w:semiHidden/>
    <w:qFormat/>
    <w:locked/>
    <w:rsid w:val="006B3263"/>
    <w:rPr>
      <w:rFonts w:ascii="Tahoma" w:eastAsia="Calibri" w:hAnsi="Tahoma" w:cs="Tahoma"/>
      <w:sz w:val="24"/>
      <w:szCs w:val="24"/>
      <w:lang w:val="en-US" w:eastAsia="en-US" w:bidi="ar-SA"/>
    </w:rPr>
  </w:style>
  <w:style w:type="character" w:customStyle="1" w:styleId="Zkladntext3Char">
    <w:name w:val="Základní text 3 Char"/>
    <w:link w:val="Zkladntext3"/>
    <w:semiHidden/>
    <w:qFormat/>
    <w:locked/>
    <w:rsid w:val="006B3263"/>
    <w:rPr>
      <w:rFonts w:eastAsia="Calibri"/>
      <w:sz w:val="16"/>
      <w:szCs w:val="16"/>
      <w:lang w:val="en-US" w:eastAsia="en-US" w:bidi="ar-SA"/>
    </w:rPr>
  </w:style>
  <w:style w:type="character" w:customStyle="1" w:styleId="Internetovodkaz">
    <w:name w:val="Internetový odkaz"/>
    <w:rsid w:val="004412C2"/>
    <w:rPr>
      <w:color w:val="0563C1"/>
      <w:u w:val="single"/>
    </w:rPr>
  </w:style>
  <w:style w:type="character" w:customStyle="1" w:styleId="ZpatChar">
    <w:name w:val="Zápatí Char"/>
    <w:basedOn w:val="Standardnpsmoodstavce"/>
    <w:link w:val="Zpat"/>
    <w:uiPriority w:val="99"/>
    <w:qFormat/>
    <w:rsid w:val="00BA186B"/>
    <w:rPr>
      <w:rFonts w:eastAsia="Calibri"/>
      <w:sz w:val="24"/>
      <w:szCs w:val="24"/>
      <w:lang w:val="en-US" w:eastAsia="en-US"/>
    </w:rPr>
  </w:style>
  <w:style w:type="character" w:customStyle="1" w:styleId="Nadpis1Char">
    <w:name w:val="Nadpis 1 Char"/>
    <w:basedOn w:val="Standardnpsmoodstavce"/>
    <w:link w:val="Nadpis1"/>
    <w:qFormat/>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qFormat/>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qFormat/>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qFormat/>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qFormat/>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qFormat/>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qFormat/>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qFormat/>
    <w:rsid w:val="0014353B"/>
    <w:rPr>
      <w:rFonts w:asciiTheme="majorHAnsi" w:eastAsiaTheme="majorEastAsia" w:hAnsiTheme="majorHAnsi" w:cstheme="majorBidi"/>
      <w:i/>
      <w:iCs/>
      <w:color w:val="272727" w:themeColor="text1" w:themeTint="D8"/>
      <w:sz w:val="21"/>
      <w:szCs w:val="21"/>
      <w:lang w:val="en-US" w:eastAsia="en-US"/>
    </w:rPr>
  </w:style>
  <w:style w:type="character" w:customStyle="1" w:styleId="AKFZFnormlnChar">
    <w:name w:val="AKFZF_normální Char"/>
    <w:basedOn w:val="Standardnpsmoodstavce"/>
    <w:link w:val="AKFZFnormln"/>
    <w:qFormat/>
    <w:rsid w:val="00473419"/>
    <w:rPr>
      <w:rFonts w:ascii="Arial" w:eastAsia="Calibri" w:hAnsi="Arial" w:cs="Calibri"/>
      <w:sz w:val="22"/>
      <w:szCs w:val="22"/>
      <w:lang w:eastAsia="en-US"/>
    </w:rPr>
  </w:style>
  <w:style w:type="character" w:customStyle="1" w:styleId="OdstavecseseznamemChar">
    <w:name w:val="Odstavec se seznamem Char"/>
    <w:basedOn w:val="Standardnpsmoodstavce"/>
    <w:link w:val="Odstavecseseznamem"/>
    <w:uiPriority w:val="99"/>
    <w:qFormat/>
    <w:locked/>
    <w:rsid w:val="00020AD3"/>
    <w:rPr>
      <w:rFonts w:eastAsia="Calibri"/>
      <w:sz w:val="24"/>
      <w:szCs w:val="24"/>
      <w:lang w:val="en-US" w:eastAsia="en-U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HeaderFooter">
    <w:name w:val="Header &amp; Footer"/>
    <w:qFormat/>
    <w:rsid w:val="006B3263"/>
    <w:pPr>
      <w:tabs>
        <w:tab w:val="right" w:pos="9632"/>
      </w:tabs>
    </w:pPr>
    <w:rPr>
      <w:rFonts w:ascii="Helvetica" w:hAnsi="Helvetica"/>
      <w:color w:val="000000"/>
    </w:rPr>
  </w:style>
  <w:style w:type="paragraph" w:customStyle="1" w:styleId="Odstavecseseznamem1">
    <w:name w:val="Odstavec se seznamem1"/>
    <w:basedOn w:val="Normln"/>
    <w:qFormat/>
    <w:rsid w:val="006B3263"/>
    <w:pPr>
      <w:ind w:left="720"/>
      <w:contextualSpacing/>
    </w:pPr>
  </w:style>
  <w:style w:type="paragraph" w:customStyle="1" w:styleId="Zhlavazpat">
    <w:name w:val="Záhlaví a zápatí"/>
    <w:basedOn w:val="Normln"/>
    <w:qFormat/>
  </w:style>
  <w:style w:type="paragraph" w:styleId="Zhlav">
    <w:name w:val="header"/>
    <w:basedOn w:val="Normln"/>
    <w:link w:val="ZhlavChar"/>
    <w:rsid w:val="006B3263"/>
    <w:pPr>
      <w:tabs>
        <w:tab w:val="center" w:pos="4536"/>
        <w:tab w:val="right" w:pos="9072"/>
      </w:tabs>
    </w:pPr>
  </w:style>
  <w:style w:type="paragraph" w:customStyle="1" w:styleId="Normal1">
    <w:name w:val="Normal1"/>
    <w:basedOn w:val="Normln"/>
    <w:qFormat/>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qFormat/>
    <w:rsid w:val="006B3263"/>
    <w:pPr>
      <w:spacing w:after="120"/>
    </w:pPr>
    <w:rPr>
      <w:sz w:val="16"/>
      <w:szCs w:val="16"/>
    </w:rPr>
  </w:style>
  <w:style w:type="paragraph" w:customStyle="1" w:styleId="ClanekC">
    <w:name w:val="ClanekC"/>
    <w:qFormat/>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qFormat/>
    <w:rsid w:val="002656BE"/>
    <w:rPr>
      <w:rFonts w:ascii="Tahoma" w:hAnsi="Tahoma" w:cs="Tahoma"/>
      <w:sz w:val="16"/>
      <w:szCs w:val="16"/>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link w:val="OdstavecseseznamemChar"/>
    <w:uiPriority w:val="99"/>
    <w:qFormat/>
    <w:rsid w:val="000063F3"/>
    <w:pPr>
      <w:ind w:left="720"/>
      <w:contextualSpacing/>
    </w:pPr>
  </w:style>
  <w:style w:type="paragraph" w:customStyle="1" w:styleId="Odstavecseseznamem2">
    <w:name w:val="Odstavec se seznamem2"/>
    <w:basedOn w:val="Normln"/>
    <w:qFormat/>
    <w:rsid w:val="00D76851"/>
    <w:pPr>
      <w:ind w:left="720"/>
      <w:contextualSpacing/>
    </w:pPr>
  </w:style>
  <w:style w:type="paragraph" w:customStyle="1" w:styleId="AKFZFnormln">
    <w:name w:val="AKFZF_normální"/>
    <w:link w:val="AKFZFnormlnChar"/>
    <w:qFormat/>
    <w:rsid w:val="00473419"/>
    <w:pPr>
      <w:spacing w:after="100" w:line="288" w:lineRule="auto"/>
      <w:jc w:val="both"/>
    </w:pPr>
    <w:rPr>
      <w:rFonts w:ascii="Arial" w:eastAsia="Calibri" w:hAnsi="Arial" w:cs="Calibri"/>
      <w:sz w:val="22"/>
      <w:szCs w:val="22"/>
      <w:lang w:eastAsia="en-US"/>
    </w:rPr>
  </w:style>
  <w:style w:type="paragraph" w:customStyle="1" w:styleId="AKFZFnovNadpis1">
    <w:name w:val="AKFZF_nový Nadpis 1"/>
    <w:basedOn w:val="AKFZFnormln"/>
    <w:qFormat/>
    <w:rsid w:val="000A2310"/>
    <w:pPr>
      <w:keepNext/>
      <w:spacing w:before="240" w:after="240"/>
      <w:outlineLvl w:val="0"/>
    </w:pPr>
    <w:rPr>
      <w:b/>
      <w:caps/>
    </w:rPr>
  </w:style>
  <w:style w:type="paragraph" w:customStyle="1" w:styleId="AKFZFnovnadpis3">
    <w:name w:val="AKFZF_nový nadpis 3"/>
    <w:basedOn w:val="AKFZFnormln"/>
    <w:qFormat/>
    <w:rsid w:val="000A2310"/>
    <w:pPr>
      <w:keepNext/>
      <w:spacing w:before="240" w:after="240"/>
      <w:outlineLvl w:val="2"/>
    </w:pPr>
    <w:rPr>
      <w:b/>
    </w:rPr>
  </w:style>
  <w:style w:type="paragraph" w:customStyle="1" w:styleId="AKFZFnovnadpis2">
    <w:name w:val="AKFZF_nový nadpis 2"/>
    <w:basedOn w:val="AKFZFnormln"/>
    <w:qFormat/>
    <w:rsid w:val="000A2310"/>
    <w:pPr>
      <w:keepNext/>
      <w:spacing w:before="240" w:after="240"/>
      <w:outlineLvl w:val="1"/>
    </w:pPr>
    <w:rPr>
      <w:b/>
    </w:rPr>
  </w:style>
  <w:style w:type="paragraph" w:customStyle="1" w:styleId="AKFZFnovnadpis4">
    <w:name w:val="AKFZF_nový nadpis 4"/>
    <w:basedOn w:val="Normln"/>
    <w:qFormat/>
    <w:rsid w:val="000A2310"/>
    <w:pPr>
      <w:keepNext/>
      <w:spacing w:before="240" w:after="240" w:line="288" w:lineRule="auto"/>
      <w:jc w:val="both"/>
      <w:outlineLvl w:val="3"/>
    </w:pPr>
    <w:rPr>
      <w:rFonts w:ascii="Arial" w:hAnsi="Arial" w:cs="Calibri"/>
      <w:i/>
      <w:sz w:val="22"/>
      <w:szCs w:val="22"/>
      <w:lang w:val="cs-CZ"/>
    </w:rPr>
  </w:style>
  <w:style w:type="paragraph" w:customStyle="1" w:styleId="AKFZFnovnadpis5">
    <w:name w:val="AKFZF_nový nadpis 5"/>
    <w:basedOn w:val="AKFZFnormln"/>
    <w:qFormat/>
    <w:rsid w:val="000A2310"/>
    <w:pPr>
      <w:keepNext/>
      <w:numPr>
        <w:numId w:val="9"/>
      </w:numPr>
      <w:spacing w:before="240" w:after="240"/>
    </w:pPr>
  </w:style>
  <w:style w:type="paragraph" w:customStyle="1" w:styleId="AKFZFnovnadpis6">
    <w:name w:val="AKFZF_nový nadpis 6"/>
    <w:basedOn w:val="AKFZFnormln"/>
    <w:qFormat/>
    <w:rsid w:val="000A2310"/>
    <w:pPr>
      <w:keepNext/>
      <w:tabs>
        <w:tab w:val="num" w:pos="851"/>
      </w:tabs>
      <w:spacing w:before="240" w:after="240"/>
      <w:ind w:left="851" w:hanging="851"/>
    </w:pPr>
    <w:rPr>
      <w:i/>
    </w:rPr>
  </w:style>
  <w:style w:type="numbering" w:customStyle="1" w:styleId="Styl1">
    <w:name w:val="Styl1"/>
    <w:uiPriority w:val="99"/>
    <w:qFormat/>
    <w:rsid w:val="00844134"/>
  </w:style>
  <w:style w:type="character" w:styleId="Hypertextovodkaz">
    <w:name w:val="Hyperlink"/>
    <w:basedOn w:val="Standardnpsmoodstavce"/>
    <w:unhideWhenUsed/>
    <w:rsid w:val="00B92E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gif"/><Relationship Id="rId1" Type="http://schemas.openxmlformats.org/officeDocument/2006/relationships/hyperlink" Target="https://www.kr-stredocesk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2B804-CD18-4F15-B22E-421F6B76E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2242</Words>
  <Characters>13231</Characters>
  <Application>Microsoft Office Word</Application>
  <DocSecurity>0</DocSecurity>
  <Lines>110</Lines>
  <Paragraphs>30</Paragraphs>
  <ScaleCrop>false</ScaleCrop>
  <Company>Energie stavební a báňská a.s.</Company>
  <LinksUpToDate>false</LinksUpToDate>
  <CharactersWithSpaces>15443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Jelínková Renáta</dc:creator>
  <dc:description/>
  <cp:lastModifiedBy>Účet Microsoft</cp:lastModifiedBy>
  <cp:revision>3</cp:revision>
  <cp:lastPrinted>2022-12-22T06:28:00Z</cp:lastPrinted>
  <dcterms:created xsi:type="dcterms:W3CDTF">2022-12-22T09:57:00Z</dcterms:created>
  <dcterms:modified xsi:type="dcterms:W3CDTF">2022-12-27T10:56:00Z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Energie stavební a báňská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