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66730">
        <w:t xml:space="preserve"> </w:t>
      </w:r>
      <w:r w:rsidR="00F66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1007951704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F40520" w:rsidRDefault="00F40520" w:rsidP="00566AEF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Kralovická zemědělská a.s.</w:t>
      </w:r>
      <w:r>
        <w:rPr>
          <w:color w:val="000000"/>
          <w:sz w:val="24"/>
          <w:szCs w:val="24"/>
        </w:rPr>
        <w:t xml:space="preserve">,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1007951704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Plzeňský kraj se sídlem v Plzni, Katastrální pracoviště Kralovice  na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Kralovice</w:t>
      </w:r>
      <w:r>
        <w:rPr>
          <w:sz w:val="20"/>
          <w:szCs w:val="20"/>
        </w:rPr>
        <w:tab/>
        <w:t>Hradecko</w:t>
      </w:r>
      <w:r>
        <w:rPr>
          <w:sz w:val="20"/>
          <w:szCs w:val="20"/>
        </w:rPr>
        <w:tab/>
        <w:t>229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Kralovice</w:t>
      </w:r>
      <w:r>
        <w:rPr>
          <w:sz w:val="20"/>
          <w:szCs w:val="20"/>
        </w:rPr>
        <w:tab/>
        <w:t>Hradecko</w:t>
      </w:r>
      <w:r>
        <w:rPr>
          <w:sz w:val="20"/>
          <w:szCs w:val="20"/>
        </w:rPr>
        <w:tab/>
        <w:t>232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Kralovice</w:t>
      </w:r>
      <w:r>
        <w:rPr>
          <w:sz w:val="20"/>
          <w:szCs w:val="20"/>
        </w:rPr>
        <w:tab/>
        <w:t>Hradecko</w:t>
      </w:r>
      <w:r>
        <w:rPr>
          <w:sz w:val="20"/>
          <w:szCs w:val="20"/>
        </w:rPr>
        <w:tab/>
        <w:t>234/4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F40520" w:rsidRDefault="00F40520">
      <w:pPr>
        <w:pStyle w:val="para"/>
        <w:widowControl/>
      </w:pPr>
      <w:r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</w:t>
      </w:r>
      <w:r w:rsidR="003E08E8">
        <w:rPr>
          <w:sz w:val="24"/>
          <w:szCs w:val="24"/>
        </w:rPr>
        <w:t>§10 odst. 3</w:t>
      </w:r>
      <w:r>
        <w:rPr>
          <w:sz w:val="24"/>
          <w:szCs w:val="24"/>
        </w:rPr>
        <w:t xml:space="preserve">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lastRenderedPageBreak/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lastRenderedPageBreak/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lastRenderedPageBreak/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lastRenderedPageBreak/>
              <w:t xml:space="preserve">Před podpisem </w:t>
            </w:r>
            <w:r>
              <w:lastRenderedPageBreak/>
              <w:t>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lastRenderedPageBreak/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lastRenderedPageBreak/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229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65 390,00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6 539,00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58 851,00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190 610,00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19 061,00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171 549,00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234/4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411 130,00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41 113,00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370 017,00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667 130,00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66 713,00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600 417,00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66 713,00 Kč (slovy: </w:t>
      </w:r>
      <w:proofErr w:type="spellStart"/>
      <w:r>
        <w:rPr>
          <w:sz w:val="24"/>
          <w:szCs w:val="24"/>
        </w:rPr>
        <w:t>šedesátšesttisícsedmsettřináct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600 417,00 Kč (slovy: </w:t>
      </w:r>
      <w:proofErr w:type="spellStart"/>
      <w:r>
        <w:rPr>
          <w:sz w:val="24"/>
          <w:szCs w:val="24"/>
        </w:rPr>
        <w:t>šestsettisícčtyřistasedmnáct</w:t>
      </w:r>
      <w:proofErr w:type="spellEnd"/>
      <w:r>
        <w:rPr>
          <w:sz w:val="24"/>
          <w:szCs w:val="24"/>
        </w:rPr>
        <w:t xml:space="preserve"> korun českých) bude uhrazena do </w:t>
      </w:r>
      <w:r w:rsidR="00D96CDE">
        <w:rPr>
          <w:sz w:val="24"/>
          <w:szCs w:val="24"/>
        </w:rPr>
        <w:t xml:space="preserve">60 dnů ode dne účinnosti této smlouvy, která v souladu s ustanovením </w:t>
      </w:r>
      <w:r w:rsidR="00493B6A">
        <w:rPr>
          <w:sz w:val="24"/>
          <w:szCs w:val="24"/>
        </w:rPr>
        <w:t xml:space="preserve">zákona č. 340/2015 </w:t>
      </w:r>
      <w:proofErr w:type="spellStart"/>
      <w:proofErr w:type="gramStart"/>
      <w:r w:rsidR="00493B6A">
        <w:rPr>
          <w:sz w:val="24"/>
          <w:szCs w:val="24"/>
        </w:rPr>
        <w:t>Sb.,</w:t>
      </w:r>
      <w:r w:rsidR="00D96CDE">
        <w:rPr>
          <w:sz w:val="24"/>
          <w:szCs w:val="24"/>
        </w:rPr>
        <w:t>o</w:t>
      </w:r>
      <w:proofErr w:type="spellEnd"/>
      <w:r w:rsidR="00D96CDE">
        <w:rPr>
          <w:sz w:val="24"/>
          <w:szCs w:val="24"/>
        </w:rPr>
        <w:t xml:space="preserve"> registru</w:t>
      </w:r>
      <w:proofErr w:type="gramEnd"/>
      <w:r w:rsidR="00D96CDE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</w:t>
      </w:r>
      <w:r w:rsidR="005D6433">
        <w:rPr>
          <w:sz w:val="24"/>
          <w:szCs w:val="24"/>
        </w:rPr>
        <w:t>podle § 15 zákona</w:t>
      </w:r>
      <w:r w:rsidR="00CA6C41">
        <w:rPr>
          <w:sz w:val="24"/>
          <w:szCs w:val="24"/>
        </w:rPr>
        <w:t xml:space="preserve">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16720A" w:rsidRDefault="0016720A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>
        <w:rPr>
          <w:sz w:val="24"/>
          <w:szCs w:val="24"/>
        </w:rPr>
        <w:t>pozemků za</w:t>
      </w:r>
      <w:proofErr w:type="gramEnd"/>
      <w:r>
        <w:rPr>
          <w:sz w:val="24"/>
          <w:szCs w:val="24"/>
        </w:rPr>
        <w:t xml:space="preserve">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lastRenderedPageBreak/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prodávaným pozemkům je řešen: nájemní smlouvou č. 18N04/04, 3N17/04, kterou s SPÚ, resp. dříve PF ČR uzavřel Kralovická zemědělská a.s., jakožto nájemce. S obsahem nájemní smlouvy  byl kupující seznámen před podpisem této smlouvy, což stvrzuje svým podpisem.</w:t>
      </w:r>
    </w:p>
    <w:p w:rsidR="00F40520" w:rsidRDefault="00F40520" w:rsidP="003E08E8">
      <w:pPr>
        <w:widowControl/>
        <w:jc w:val="both"/>
        <w:rPr>
          <w:sz w:val="24"/>
          <w:szCs w:val="24"/>
        </w:rPr>
      </w:pPr>
    </w:p>
    <w:p w:rsidR="00F40520" w:rsidRDefault="00F40520" w:rsidP="003E08E8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>
        <w:rPr>
          <w:sz w:val="24"/>
          <w:szCs w:val="24"/>
        </w:rPr>
        <w:t xml:space="preserve">  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5A233A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B03447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B03447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3E08E8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</w:t>
      </w:r>
      <w:r w:rsidR="003E08E8">
        <w:rPr>
          <w:sz w:val="24"/>
          <w:szCs w:val="24"/>
        </w:rPr>
        <w:t>§ 10 odst. 3</w:t>
      </w:r>
      <w:r>
        <w:rPr>
          <w:sz w:val="24"/>
          <w:szCs w:val="24"/>
        </w:rPr>
        <w:t xml:space="preserve">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E465B8" w:rsidRDefault="00B070B5">
      <w:pPr>
        <w:widowControl/>
        <w:ind w:firstLine="426"/>
        <w:jc w:val="both"/>
      </w:pPr>
      <w:r w:rsidRPr="002750DE">
        <w:rPr>
          <w:sz w:val="24"/>
          <w:szCs w:val="24"/>
        </w:rPr>
        <w:lastRenderedPageBreak/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 w:rsidP="00335BCB">
      <w:pPr>
        <w:widowControl/>
        <w:ind w:firstLine="426"/>
        <w:jc w:val="both"/>
        <w:rPr>
          <w:sz w:val="24"/>
          <w:szCs w:val="24"/>
        </w:rPr>
      </w:pPr>
    </w:p>
    <w:p w:rsidR="00335BCB" w:rsidRDefault="00335BCB" w:rsidP="00335BCB">
      <w:pPr>
        <w:widowControl/>
        <w:ind w:firstLine="426"/>
        <w:jc w:val="both"/>
      </w:pPr>
    </w:p>
    <w:p w:rsidR="00F40520" w:rsidRDefault="00F40520">
      <w:pPr>
        <w:widowControl/>
        <w:jc w:val="center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Plzni dne </w:t>
      </w:r>
      <w:proofErr w:type="gramStart"/>
      <w:r>
        <w:rPr>
          <w:sz w:val="24"/>
          <w:szCs w:val="24"/>
        </w:rPr>
        <w:t>24.5.2017</w:t>
      </w:r>
      <w:proofErr w:type="gramEnd"/>
      <w:r>
        <w:rPr>
          <w:sz w:val="24"/>
          <w:szCs w:val="24"/>
        </w:rPr>
        <w:tab/>
      </w:r>
      <w:r w:rsidR="003E08E8">
        <w:rPr>
          <w:sz w:val="24"/>
          <w:szCs w:val="24"/>
        </w:rPr>
        <w:t>V Plzni dne 24.5.2017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Kralovická zemědělská a.s.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bookmarkStart w:id="0" w:name="_GoBack"/>
      <w:bookmarkEnd w:id="0"/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5020604, 5020704, 5021004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Plzeňský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3E08E8" w:rsidRDefault="003E08E8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B03447">
        <w:rPr>
          <w:sz w:val="24"/>
          <w:szCs w:val="24"/>
        </w:rPr>
        <w:t>v 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E8" w:rsidRDefault="003E08E8">
      <w:r>
        <w:separator/>
      </w:r>
    </w:p>
  </w:endnote>
  <w:endnote w:type="continuationSeparator" w:id="0">
    <w:p w:rsidR="003E08E8" w:rsidRDefault="003E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E8" w:rsidRDefault="003E08E8">
      <w:r>
        <w:separator/>
      </w:r>
    </w:p>
  </w:footnote>
  <w:footnote w:type="continuationSeparator" w:id="0">
    <w:p w:rsidR="003E08E8" w:rsidRDefault="003E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A639E"/>
    <w:rsid w:val="000D49C6"/>
    <w:rsid w:val="000E3E64"/>
    <w:rsid w:val="0014681B"/>
    <w:rsid w:val="0016720A"/>
    <w:rsid w:val="001676B2"/>
    <w:rsid w:val="00192420"/>
    <w:rsid w:val="001B6553"/>
    <w:rsid w:val="001E49A9"/>
    <w:rsid w:val="002055A2"/>
    <w:rsid w:val="0021071F"/>
    <w:rsid w:val="00230658"/>
    <w:rsid w:val="00234120"/>
    <w:rsid w:val="00254CB2"/>
    <w:rsid w:val="002750DE"/>
    <w:rsid w:val="002C6B88"/>
    <w:rsid w:val="002D0563"/>
    <w:rsid w:val="00335BCB"/>
    <w:rsid w:val="00365707"/>
    <w:rsid w:val="00374E10"/>
    <w:rsid w:val="00381B12"/>
    <w:rsid w:val="003E08E8"/>
    <w:rsid w:val="00427526"/>
    <w:rsid w:val="0043604A"/>
    <w:rsid w:val="00454FF0"/>
    <w:rsid w:val="004612CC"/>
    <w:rsid w:val="00493B6A"/>
    <w:rsid w:val="004B075C"/>
    <w:rsid w:val="00530111"/>
    <w:rsid w:val="00560E2A"/>
    <w:rsid w:val="00566AEF"/>
    <w:rsid w:val="005713D7"/>
    <w:rsid w:val="005A233A"/>
    <w:rsid w:val="005D6433"/>
    <w:rsid w:val="006206F8"/>
    <w:rsid w:val="00625710"/>
    <w:rsid w:val="006A4EDD"/>
    <w:rsid w:val="006C3440"/>
    <w:rsid w:val="006E2592"/>
    <w:rsid w:val="00777646"/>
    <w:rsid w:val="007A2BD2"/>
    <w:rsid w:val="007E3A0A"/>
    <w:rsid w:val="00820F0C"/>
    <w:rsid w:val="008424E7"/>
    <w:rsid w:val="00875440"/>
    <w:rsid w:val="00886384"/>
    <w:rsid w:val="0089721D"/>
    <w:rsid w:val="009C527B"/>
    <w:rsid w:val="00A31C3B"/>
    <w:rsid w:val="00A723F9"/>
    <w:rsid w:val="00AD07D7"/>
    <w:rsid w:val="00AD0CCD"/>
    <w:rsid w:val="00B03447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465B8"/>
    <w:rsid w:val="00EC3E05"/>
    <w:rsid w:val="00F40520"/>
    <w:rsid w:val="00F66730"/>
    <w:rsid w:val="00F82692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D893999-93DF-4CDC-B033-DFE393A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3E08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E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1455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1</cp:revision>
  <cp:lastPrinted>2017-05-24T05:16:00Z</cp:lastPrinted>
  <dcterms:created xsi:type="dcterms:W3CDTF">2017-05-24T05:12:00Z</dcterms:created>
  <dcterms:modified xsi:type="dcterms:W3CDTF">2017-05-24T10:31:00Z</dcterms:modified>
</cp:coreProperties>
</file>