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F0A2" w14:textId="77777777" w:rsidR="001636AB" w:rsidRDefault="006214C0">
      <w:pPr>
        <w:spacing w:after="6" w:line="265" w:lineRule="auto"/>
        <w:ind w:left="17" w:right="0" w:hanging="10"/>
        <w:jc w:val="left"/>
      </w:pPr>
      <w:r>
        <w:rPr>
          <w:sz w:val="22"/>
        </w:rPr>
        <w:t>Divadlo Archa, o.p.s.</w:t>
      </w:r>
    </w:p>
    <w:p w14:paraId="416378C7" w14:textId="77777777" w:rsidR="001636AB" w:rsidRDefault="006214C0">
      <w:pPr>
        <w:ind w:left="17"/>
      </w:pPr>
      <w:r>
        <w:t>zapsaná v rejstříku obecně prospěšných společností u Městského soudu v Praze, oddíl O, vložka 267, se sídlem č. p. 1047, Na Poříčí 26, Praha 1, PSC 11000 IČO: 26 72 30 OO, DIČ: CZ 26 72 30 OO,</w:t>
      </w:r>
    </w:p>
    <w:p w14:paraId="201D42EF" w14:textId="77777777" w:rsidR="001636AB" w:rsidRDefault="006214C0">
      <w:pPr>
        <w:spacing w:after="729"/>
        <w:ind w:left="17" w:right="4404"/>
      </w:pPr>
      <w:r>
        <w:t>Zastoupené: Ondřejem Hrabem, ředitelem společnosti, (dále jen „Divadlo Archa”) na straně jedné</w:t>
      </w:r>
      <w:r>
        <w:rPr>
          <w:noProof/>
        </w:rPr>
        <w:drawing>
          <wp:inline distT="0" distB="0" distL="0" distR="0" wp14:anchorId="1535295B" wp14:editId="338042CE">
            <wp:extent cx="4569" cy="4568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018" w14:textId="77777777" w:rsidR="001636AB" w:rsidRDefault="006214C0">
      <w:pPr>
        <w:spacing w:after="6" w:line="265" w:lineRule="auto"/>
        <w:ind w:left="17" w:right="0" w:hanging="10"/>
        <w:jc w:val="left"/>
      </w:pPr>
      <w:proofErr w:type="spellStart"/>
      <w:r>
        <w:rPr>
          <w:sz w:val="22"/>
        </w:rPr>
        <w:t>Deloitte</w:t>
      </w:r>
      <w:proofErr w:type="spellEnd"/>
      <w:r>
        <w:rPr>
          <w:sz w:val="22"/>
        </w:rPr>
        <w:t xml:space="preserve"> CZ </w:t>
      </w:r>
      <w:proofErr w:type="spellStart"/>
      <w:r>
        <w:rPr>
          <w:sz w:val="22"/>
        </w:rPr>
        <w:t>Services</w:t>
      </w:r>
      <w:proofErr w:type="spellEnd"/>
      <w:r>
        <w:rPr>
          <w:sz w:val="22"/>
        </w:rPr>
        <w:t>, s.r.o.</w:t>
      </w:r>
    </w:p>
    <w:p w14:paraId="43138752" w14:textId="77777777" w:rsidR="001636AB" w:rsidRDefault="006214C0">
      <w:pPr>
        <w:ind w:left="17" w:right="1828"/>
      </w:pPr>
      <w:r>
        <w:t xml:space="preserve">zapsaná v obchodním rejstříku vedeném Městským soudem v Praze, oddíl C, vložka 268054, se sídlem: Italská 2581/67, 120 OO Praha 2, </w:t>
      </w:r>
      <w:r>
        <w:t>Vinohrady PSČ 12000 IČO: 05660904, DIČ: CZ 05660904</w:t>
      </w:r>
    </w:p>
    <w:p w14:paraId="5F3B1D05" w14:textId="77777777" w:rsidR="001636AB" w:rsidRDefault="006214C0">
      <w:pPr>
        <w:ind w:left="17" w:right="7"/>
      </w:pPr>
      <w:r>
        <w:t xml:space="preserve">Zastoupená: Ing. Pavel </w:t>
      </w:r>
      <w:proofErr w:type="spellStart"/>
      <w:r>
        <w:t>Frnoch</w:t>
      </w:r>
      <w:proofErr w:type="spellEnd"/>
      <w:r>
        <w:t>, prokuristou</w:t>
      </w:r>
    </w:p>
    <w:p w14:paraId="79D5268C" w14:textId="77777777" w:rsidR="001636AB" w:rsidRDefault="006214C0">
      <w:pPr>
        <w:spacing w:after="522"/>
        <w:ind w:left="17" w:right="7"/>
      </w:pPr>
      <w:r>
        <w:t>(dále jen '/</w:t>
      </w:r>
      <w:proofErr w:type="spellStart"/>
      <w:r>
        <w:t>Deloitte</w:t>
      </w:r>
      <w:proofErr w:type="spellEnd"/>
      <w:r>
        <w:t>”) na straně druhé</w:t>
      </w:r>
    </w:p>
    <w:p w14:paraId="0134D1FB" w14:textId="77777777" w:rsidR="001636AB" w:rsidRDefault="006214C0">
      <w:pPr>
        <w:spacing w:after="497"/>
        <w:ind w:left="17" w:right="115"/>
      </w:pPr>
      <w:r>
        <w:t xml:space="preserve">(Divadlo Archa a </w:t>
      </w:r>
      <w:proofErr w:type="spellStart"/>
      <w:r>
        <w:t>Deloitte</w:t>
      </w:r>
      <w:proofErr w:type="spellEnd"/>
      <w:r>
        <w:t xml:space="preserve"> jsou dále společně označováni jako „smluvní strany” nebo jednotlivě „smluvní strana”),</w:t>
      </w:r>
    </w:p>
    <w:p w14:paraId="62684D3E" w14:textId="77777777" w:rsidR="001636AB" w:rsidRDefault="006214C0">
      <w:pPr>
        <w:ind w:left="17" w:right="7"/>
      </w:pPr>
      <w:r>
        <w:t xml:space="preserve">uzavřely </w:t>
      </w:r>
      <w:r>
        <w:t>podle S 1746 odst. 2 zákona Č. 89/2012 Sb., občanského zákoníku, ve znění pozdějších předpisů, (dále jen</w:t>
      </w:r>
    </w:p>
    <w:p w14:paraId="5668332B" w14:textId="77777777" w:rsidR="001636AB" w:rsidRDefault="001636AB">
      <w:pPr>
        <w:sectPr w:rsidR="001636AB">
          <w:pgSz w:w="11909" w:h="16841"/>
          <w:pgMar w:top="1347" w:right="1173" w:bottom="590" w:left="1475" w:header="708" w:footer="708" w:gutter="0"/>
          <w:cols w:space="708"/>
        </w:sectPr>
      </w:pPr>
    </w:p>
    <w:p w14:paraId="767FD049" w14:textId="77777777" w:rsidR="001636AB" w:rsidRDefault="006214C0">
      <w:pPr>
        <w:spacing w:after="425" w:line="265" w:lineRule="auto"/>
        <w:ind w:left="132" w:right="144" w:hanging="10"/>
        <w:jc w:val="center"/>
      </w:pPr>
      <w:r>
        <w:rPr>
          <w:noProof/>
        </w:rPr>
        <w:drawing>
          <wp:inline distT="0" distB="0" distL="0" distR="0" wp14:anchorId="5A8F9BE5" wp14:editId="525C8FD5">
            <wp:extent cx="13708" cy="41113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,občanský zákoník”) níže uvedeného dne, měsíce a roku tuto</w:t>
      </w:r>
    </w:p>
    <w:p w14:paraId="20666E4B" w14:textId="77777777" w:rsidR="001636AB" w:rsidRDefault="006214C0">
      <w:pPr>
        <w:spacing w:after="0" w:line="265" w:lineRule="auto"/>
        <w:ind w:left="24" w:right="36" w:hanging="10"/>
        <w:jc w:val="center"/>
      </w:pPr>
      <w:r>
        <w:rPr>
          <w:sz w:val="22"/>
        </w:rPr>
        <w:t>SMLOUVU O SPOLUPRÁCI</w:t>
      </w:r>
    </w:p>
    <w:p w14:paraId="14A1EAC5" w14:textId="77777777" w:rsidR="001636AB" w:rsidRDefault="006214C0">
      <w:pPr>
        <w:spacing w:after="576" w:line="265" w:lineRule="auto"/>
        <w:ind w:left="24" w:right="2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06D0F2" wp14:editId="548AA356">
            <wp:simplePos x="0" y="0"/>
            <wp:positionH relativeFrom="page">
              <wp:posOffset>913848</wp:posOffset>
            </wp:positionH>
            <wp:positionV relativeFrom="page">
              <wp:posOffset>2740856</wp:posOffset>
            </wp:positionV>
            <wp:extent cx="4569" cy="4568"/>
            <wp:effectExtent l="0" t="0" r="0" b="0"/>
            <wp:wrapSquare wrapText="bothSides"/>
            <wp:docPr id="1866" name="Picture 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Picture 18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5A908C2" wp14:editId="20C1F79C">
            <wp:simplePos x="0" y="0"/>
            <wp:positionH relativeFrom="page">
              <wp:posOffset>877294</wp:posOffset>
            </wp:positionH>
            <wp:positionV relativeFrom="page">
              <wp:posOffset>9072235</wp:posOffset>
            </wp:positionV>
            <wp:extent cx="4569" cy="13704"/>
            <wp:effectExtent l="0" t="0" r="0" b="0"/>
            <wp:wrapSquare wrapText="bothSides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(dále jen „smlouva”)</w:t>
      </w:r>
      <w:r>
        <w:rPr>
          <w:noProof/>
        </w:rPr>
        <w:drawing>
          <wp:inline distT="0" distB="0" distL="0" distR="0" wp14:anchorId="4C44DC2F" wp14:editId="08BFDFFA">
            <wp:extent cx="4569" cy="100498"/>
            <wp:effectExtent l="0" t="0" r="0" b="0"/>
            <wp:docPr id="12885" name="Picture 12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" name="Picture 128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51E6" w14:textId="77777777" w:rsidR="001636AB" w:rsidRDefault="006214C0" w:rsidP="006214C0">
      <w:pPr>
        <w:pStyle w:val="Odstavecseseznamem"/>
        <w:numPr>
          <w:ilvl w:val="0"/>
          <w:numId w:val="6"/>
        </w:numPr>
        <w:spacing w:after="34" w:line="265" w:lineRule="auto"/>
        <w:ind w:right="29"/>
        <w:jc w:val="center"/>
      </w:pPr>
      <w:r w:rsidRPr="006214C0">
        <w:rPr>
          <w:sz w:val="22"/>
        </w:rPr>
        <w:t>Předmět smlouvy a časový harmonogram</w:t>
      </w:r>
    </w:p>
    <w:p w14:paraId="142A9F3A" w14:textId="77777777" w:rsidR="001636AB" w:rsidRDefault="006214C0">
      <w:pPr>
        <w:spacing w:after="836"/>
        <w:ind w:left="579" w:right="7"/>
      </w:pPr>
      <w:r>
        <w:t>P</w:t>
      </w:r>
      <w:r>
        <w:t xml:space="preserve">ředmětem této smlouvy je závazek Divadla Archa poskytnout prostory a další níže uvedené služby (příp. poskytnutí těchto služeb zajistit), to vše za účelem umožnění uspořádání akce ze strany </w:t>
      </w:r>
      <w:proofErr w:type="spellStart"/>
      <w:r>
        <w:t>Deloitte</w:t>
      </w:r>
      <w:proofErr w:type="spellEnd"/>
      <w:r>
        <w:t xml:space="preserve"> — „Slavnostní vyhlá</w:t>
      </w:r>
      <w:r>
        <w:t xml:space="preserve">šení žebříčku </w:t>
      </w:r>
      <w:proofErr w:type="spellStart"/>
      <w:r>
        <w:t>Deloitte</w:t>
      </w:r>
      <w:proofErr w:type="spellEnd"/>
      <w:r>
        <w:t xml:space="preserve"> Technology Fast 50 CE 2022” (dále jen „Akce”) v prostorách Divadla Archa dne 24. listopadu 2022, a to v rozsahu a formě blíže specifikované v časovém harmonogramu Akce, který tvoří přílohu č. 1 této smlouvy (dále jen „Itinerář”).</w:t>
      </w:r>
    </w:p>
    <w:p w14:paraId="422B302A" w14:textId="77777777" w:rsidR="001636AB" w:rsidRDefault="006214C0" w:rsidP="006214C0">
      <w:pPr>
        <w:pStyle w:val="Odstavecseseznamem"/>
        <w:numPr>
          <w:ilvl w:val="0"/>
          <w:numId w:val="6"/>
        </w:numPr>
        <w:spacing w:after="108" w:line="265" w:lineRule="auto"/>
        <w:ind w:right="29"/>
        <w:jc w:val="center"/>
      </w:pPr>
      <w:bookmarkStart w:id="0" w:name="_GoBack"/>
      <w:bookmarkEnd w:id="0"/>
      <w:r w:rsidRPr="006214C0">
        <w:rPr>
          <w:sz w:val="22"/>
        </w:rPr>
        <w:t>Pov</w:t>
      </w:r>
      <w:r w:rsidRPr="006214C0">
        <w:rPr>
          <w:sz w:val="22"/>
        </w:rPr>
        <w:t>innosti smluvních stran</w:t>
      </w:r>
    </w:p>
    <w:p w14:paraId="0DE388AA" w14:textId="77777777" w:rsidR="001636AB" w:rsidRDefault="006214C0">
      <w:pPr>
        <w:numPr>
          <w:ilvl w:val="0"/>
          <w:numId w:val="1"/>
        </w:numPr>
        <w:spacing w:after="83"/>
        <w:ind w:left="590" w:right="7" w:hanging="576"/>
      </w:pPr>
      <w:r>
        <w:t>D</w:t>
      </w:r>
      <w:r>
        <w:t>ivadlo Archa se zavazuje poskytnout prostory pro přípravu a vlastní Akci v rozsahu a ve výše uvedených časech a termínech dle čl. l. této smlouvy.</w:t>
      </w:r>
    </w:p>
    <w:p w14:paraId="6CFE8738" w14:textId="77777777" w:rsidR="001636AB" w:rsidRDefault="006214C0">
      <w:pPr>
        <w:numPr>
          <w:ilvl w:val="0"/>
          <w:numId w:val="1"/>
        </w:numPr>
        <w:spacing w:after="140"/>
        <w:ind w:left="590" w:right="7" w:hanging="576"/>
      </w:pPr>
      <w:r>
        <w:t>Divadlo Archa se zavazuje poskytnout ozvučení a osvětlení sálů a další technické zaj</w:t>
      </w:r>
      <w:r>
        <w:t xml:space="preserve">ištění Akce v rozsahu místního zařízení dle předem </w:t>
      </w:r>
      <w:proofErr w:type="gramStart"/>
      <w:r>
        <w:t>oběma</w:t>
      </w:r>
      <w:proofErr w:type="gramEnd"/>
      <w:r>
        <w:t xml:space="preserve"> smluvními stranami odsouhlasených technických požadavků.</w:t>
      </w:r>
    </w:p>
    <w:p w14:paraId="7B9668A6" w14:textId="77777777" w:rsidR="001636AB" w:rsidRDefault="006214C0">
      <w:pPr>
        <w:numPr>
          <w:ilvl w:val="0"/>
          <w:numId w:val="1"/>
        </w:numPr>
        <w:spacing w:after="137"/>
        <w:ind w:left="590" w:right="7" w:hanging="576"/>
      </w:pPr>
      <w:r>
        <w:t>Divadlo Archa se zavazuje zajistit technické služby prostřednictvím externích techniků.</w:t>
      </w:r>
    </w:p>
    <w:p w14:paraId="5439AB81" w14:textId="77777777" w:rsidR="001636AB" w:rsidRDefault="006214C0">
      <w:pPr>
        <w:numPr>
          <w:ilvl w:val="0"/>
          <w:numId w:val="1"/>
        </w:numPr>
        <w:spacing w:after="130"/>
        <w:ind w:left="590" w:right="7" w:hanging="576"/>
      </w:pPr>
      <w:r>
        <w:t>Divadlo Archa se zavazuje zajistit produkční realizaci</w:t>
      </w:r>
      <w:r>
        <w:t xml:space="preserve"> Akce.</w:t>
      </w:r>
    </w:p>
    <w:p w14:paraId="43754FCD" w14:textId="77777777" w:rsidR="001636AB" w:rsidRDefault="006214C0">
      <w:pPr>
        <w:numPr>
          <w:ilvl w:val="0"/>
          <w:numId w:val="1"/>
        </w:numPr>
        <w:spacing w:after="88"/>
        <w:ind w:left="590" w:right="7" w:hanging="576"/>
      </w:pPr>
      <w:r>
        <w:t>Divadlo Archa se zavazuje poskytnout dodávku energií potřebnou pro přípravu a vlastní Akci ve výše uvedeném termínu dle čl. l. této smlouvy.</w:t>
      </w:r>
    </w:p>
    <w:p w14:paraId="06834072" w14:textId="77777777" w:rsidR="001636AB" w:rsidRDefault="006214C0">
      <w:pPr>
        <w:numPr>
          <w:ilvl w:val="0"/>
          <w:numId w:val="1"/>
        </w:numPr>
        <w:spacing w:after="152"/>
        <w:ind w:left="590" w:right="7" w:hanging="576"/>
      </w:pPr>
      <w:r>
        <w:t>Divadlo Archa se zavazuje zajistit provozní realizaci Akce.</w:t>
      </w:r>
    </w:p>
    <w:p w14:paraId="744C0823" w14:textId="77777777" w:rsidR="001636AB" w:rsidRDefault="006214C0">
      <w:pPr>
        <w:numPr>
          <w:ilvl w:val="0"/>
          <w:numId w:val="1"/>
        </w:numPr>
        <w:spacing w:after="111"/>
        <w:ind w:left="590" w:right="7" w:hanging="576"/>
      </w:pPr>
      <w:r>
        <w:t>Divadlo Archa se zavazuje zajistit pořadatelskou službu, požární asistenční hlídku a úklid prostor vždy v době pořádání Akce.</w:t>
      </w:r>
    </w:p>
    <w:p w14:paraId="23E125CC" w14:textId="77777777" w:rsidR="001636AB" w:rsidRDefault="006214C0">
      <w:pPr>
        <w:spacing w:after="548" w:line="265" w:lineRule="auto"/>
        <w:ind w:left="600" w:right="0" w:hanging="10"/>
        <w:jc w:val="left"/>
      </w:pPr>
      <w:r>
        <w:rPr>
          <w:sz w:val="22"/>
        </w:rPr>
        <w:t>(dále jen „Služby”).</w:t>
      </w:r>
    </w:p>
    <w:p w14:paraId="0F73B8FC" w14:textId="77777777" w:rsidR="001636AB" w:rsidRDefault="006214C0">
      <w:pPr>
        <w:spacing w:after="302" w:line="259" w:lineRule="auto"/>
        <w:ind w:left="-5" w:right="0" w:hanging="10"/>
        <w:jc w:val="left"/>
      </w:pPr>
      <w:r>
        <w:rPr>
          <w:noProof/>
        </w:rPr>
        <w:drawing>
          <wp:inline distT="0" distB="0" distL="0" distR="0" wp14:anchorId="440038AF" wp14:editId="578B7A9F">
            <wp:extent cx="4569" cy="4568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01</w:t>
      </w:r>
    </w:p>
    <w:p w14:paraId="658C6606" w14:textId="77777777" w:rsidR="001636AB" w:rsidRDefault="006214C0">
      <w:pPr>
        <w:numPr>
          <w:ilvl w:val="0"/>
          <w:numId w:val="2"/>
        </w:numPr>
        <w:spacing w:after="169"/>
        <w:ind w:right="7" w:hanging="554"/>
      </w:pPr>
      <w:r>
        <w:lastRenderedPageBreak/>
        <w:t>Smluvní strany se zavazují, že veškeré informace, se kterými se seznámí v rámci plnění této smlouvy a kte</w:t>
      </w:r>
      <w:r>
        <w:t>ré jakákoliv ze smluvních stran získá o druhé straně při plnění této smlouvy nebo v souvislosti s ní, budou považovat za důvěrné. Smluvní strany se zavazují zachovat o těchto informacích mlčenlivost, žádnou z těchto informací nijak nezneužít, nevyužít, nez</w:t>
      </w:r>
      <w:r>
        <w:t xml:space="preserve">veřejnit, nezpřístupnit a ani neumožnit zpřístupnění třetím osobám. Tento závazek smluvních stran trvá i po ukončení smlouvy z jakéhokoliv důvodu. Bez ohledu na výše uvedené platí, Že společnost </w:t>
      </w:r>
      <w:proofErr w:type="spellStart"/>
      <w:r>
        <w:t>Deloitte</w:t>
      </w:r>
      <w:proofErr w:type="spellEnd"/>
      <w:r>
        <w:t xml:space="preserve"> je oprávněna sdělit jakékoliv důvěrné informace Spol</w:t>
      </w:r>
      <w:r>
        <w:t xml:space="preserve">ečnosti skupiny </w:t>
      </w:r>
      <w:proofErr w:type="spellStart"/>
      <w:r>
        <w:t>Deloitte</w:t>
      </w:r>
      <w:proofErr w:type="spellEnd"/>
    </w:p>
    <w:p w14:paraId="5632E326" w14:textId="77777777" w:rsidR="001636AB" w:rsidRDefault="006214C0">
      <w:pPr>
        <w:numPr>
          <w:ilvl w:val="0"/>
          <w:numId w:val="2"/>
        </w:numPr>
        <w:spacing w:after="449"/>
        <w:ind w:right="7" w:hanging="554"/>
      </w:pPr>
      <w:proofErr w:type="spellStart"/>
      <w:r>
        <w:t>Deloitte</w:t>
      </w:r>
      <w:proofErr w:type="spellEnd"/>
      <w:r>
        <w:t xml:space="preserve"> dále může ukončit tuto smlouvu úplně nebo i jen zčásti, a to s okamžitým účinkem na základě písemné výpovědi doručené Divadlu Archa, pokud zjistí, že správní, regulační nebo profesní orgán či jiný orgán mající pravomoc vyd</w:t>
      </w:r>
      <w:r>
        <w:t>ávat závazné právní předpisy zavedl nový či upravil stávající právní předpis, pravidlo, pokyn či směrnici, výklad či rozhodnutí, v jehož důsledku by spolupráce podle této Smlouvy byla nezákonná či jinak protiprávní či v rozporu s nezávislostí či profesními</w:t>
      </w:r>
      <w:r>
        <w:t xml:space="preserve"> předpisy.</w:t>
      </w:r>
    </w:p>
    <w:p w14:paraId="79410304" w14:textId="77777777" w:rsidR="001636AB" w:rsidRDefault="006214C0">
      <w:pPr>
        <w:spacing w:after="24" w:line="259" w:lineRule="auto"/>
        <w:ind w:left="14" w:right="0" w:firstLine="0"/>
        <w:jc w:val="center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</w:t>
      </w:r>
    </w:p>
    <w:p w14:paraId="4E1DA4F7" w14:textId="77777777" w:rsidR="001636AB" w:rsidRDefault="006214C0">
      <w:pPr>
        <w:spacing w:after="90" w:line="265" w:lineRule="auto"/>
        <w:ind w:left="24" w:right="0" w:hanging="10"/>
        <w:jc w:val="center"/>
      </w:pPr>
      <w:r>
        <w:rPr>
          <w:sz w:val="22"/>
        </w:rPr>
        <w:t>Doba platnosti</w:t>
      </w:r>
    </w:p>
    <w:p w14:paraId="624E82F3" w14:textId="77777777" w:rsidR="001636AB" w:rsidRDefault="006214C0">
      <w:pPr>
        <w:spacing w:after="62" w:line="265" w:lineRule="auto"/>
        <w:ind w:left="132" w:right="0" w:hanging="10"/>
        <w:jc w:val="center"/>
      </w:pPr>
      <w:r>
        <w:t>Tato smlouva nabývá platnosti a účinnosti dnem podpisu oprávněnými zástupci obou smluvních stran.</w:t>
      </w:r>
    </w:p>
    <w:p w14:paraId="7902A1B4" w14:textId="77777777" w:rsidR="001636AB" w:rsidRDefault="006214C0">
      <w:pPr>
        <w:spacing w:after="50" w:line="259" w:lineRule="auto"/>
        <w:ind w:left="43" w:right="0" w:firstLine="0"/>
        <w:jc w:val="center"/>
      </w:pPr>
      <w:r>
        <w:rPr>
          <w:sz w:val="24"/>
        </w:rPr>
        <w:t>IV.</w:t>
      </w:r>
      <w:r>
        <w:rPr>
          <w:noProof/>
        </w:rPr>
        <w:drawing>
          <wp:inline distT="0" distB="0" distL="0" distR="0" wp14:anchorId="1CEC18EE" wp14:editId="28851CE8">
            <wp:extent cx="4569" cy="4568"/>
            <wp:effectExtent l="0" t="0" r="0" b="0"/>
            <wp:docPr id="5481" name="Picture 5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" name="Picture 54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7923" w14:textId="77777777" w:rsidR="001636AB" w:rsidRDefault="006214C0">
      <w:pPr>
        <w:spacing w:after="152" w:line="265" w:lineRule="auto"/>
        <w:ind w:left="24" w:right="7" w:hanging="10"/>
        <w:jc w:val="center"/>
      </w:pPr>
      <w:r>
        <w:rPr>
          <w:sz w:val="22"/>
        </w:rPr>
        <w:t>Zvláštní ujednání</w:t>
      </w:r>
    </w:p>
    <w:p w14:paraId="7AEE3291" w14:textId="77777777" w:rsidR="001636AB" w:rsidRDefault="006214C0">
      <w:pPr>
        <w:numPr>
          <w:ilvl w:val="0"/>
          <w:numId w:val="3"/>
        </w:numPr>
        <w:spacing w:after="191"/>
        <w:ind w:left="590" w:right="7" w:hanging="576"/>
      </w:pPr>
      <w:r>
        <w:t xml:space="preserve">Technické podmínky a přesný časový plán Akce bude projednán mezi oběma smluvními stranami do 19. 11. </w:t>
      </w:r>
      <w:r>
        <w:t>2022.</w:t>
      </w:r>
    </w:p>
    <w:p w14:paraId="1F16D273" w14:textId="77777777" w:rsidR="001636AB" w:rsidRDefault="006214C0">
      <w:pPr>
        <w:numPr>
          <w:ilvl w:val="0"/>
          <w:numId w:val="3"/>
        </w:numPr>
        <w:spacing w:after="166"/>
        <w:ind w:left="590" w:right="7" w:hanging="576"/>
      </w:pPr>
      <w:r>
        <w:t xml:space="preserve">Divadlo Archa umožní vstup do prostoru Divadla Archa pracovníkům </w:t>
      </w:r>
      <w:proofErr w:type="spellStart"/>
      <w:r>
        <w:t>Deloitte</w:t>
      </w:r>
      <w:proofErr w:type="spellEnd"/>
      <w:r>
        <w:t xml:space="preserve"> a dalším osobám zabezpečujícím akci dle seznamu dodaného </w:t>
      </w:r>
      <w:proofErr w:type="spellStart"/>
      <w:r>
        <w:t>Deloitte</w:t>
      </w:r>
      <w:proofErr w:type="spellEnd"/>
      <w:r>
        <w:t xml:space="preserve"> do 23. 11. 2022.</w:t>
      </w:r>
    </w:p>
    <w:p w14:paraId="49943D4D" w14:textId="77777777" w:rsidR="001636AB" w:rsidRDefault="006214C0">
      <w:pPr>
        <w:numPr>
          <w:ilvl w:val="0"/>
          <w:numId w:val="3"/>
        </w:numPr>
        <w:spacing w:after="204"/>
        <w:ind w:left="590" w:right="7" w:hanging="57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B2BDD6" wp14:editId="05296E26">
            <wp:simplePos x="0" y="0"/>
            <wp:positionH relativeFrom="page">
              <wp:posOffset>913848</wp:posOffset>
            </wp:positionH>
            <wp:positionV relativeFrom="page">
              <wp:posOffset>6409036</wp:posOffset>
            </wp:positionV>
            <wp:extent cx="4569" cy="4568"/>
            <wp:effectExtent l="0" t="0" r="0" b="0"/>
            <wp:wrapSquare wrapText="bothSides"/>
            <wp:docPr id="5482" name="Picture 5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" name="Picture 54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Každá ze smluvních stran se zavazuje při porušení smluvních podmínek, na základě kterých neb</w:t>
      </w:r>
      <w:r>
        <w:t>ude moci být Akce uskutečněna ve smluvních termínech a prostorách, uhradit druhé smluvní straně smluvní pokutu ve výši 50.000,- Kč. Každá ze stran může požadovat náhradu skutečně vynaložených nákladů na uspořádání akce v rozsahu překračujícím smluvní pokut</w:t>
      </w:r>
      <w:r>
        <w:t>u. Toto ustanovení se netýká zásahů vyšší moci podle 52913 odst. 2 občanského zákoníku.</w:t>
      </w:r>
    </w:p>
    <w:p w14:paraId="57007D4D" w14:textId="77777777" w:rsidR="001636AB" w:rsidRDefault="006214C0">
      <w:pPr>
        <w:numPr>
          <w:ilvl w:val="0"/>
          <w:numId w:val="3"/>
        </w:numPr>
        <w:spacing w:after="173"/>
        <w:ind w:left="590" w:right="7" w:hanging="576"/>
      </w:pPr>
      <w:r>
        <w:t xml:space="preserve">Smluvní strany uvádějí, že </w:t>
      </w:r>
      <w:proofErr w:type="spellStart"/>
      <w:r>
        <w:t>Deloitte</w:t>
      </w:r>
      <w:proofErr w:type="spellEnd"/>
      <w:r>
        <w:t xml:space="preserve"> může v prostorách Divadla Archa volně distribuovat ty propagační materiály </w:t>
      </w:r>
      <w:proofErr w:type="spellStart"/>
      <w:r>
        <w:t>Deloitte</w:t>
      </w:r>
      <w:proofErr w:type="spellEnd"/>
      <w:r>
        <w:t>, které jsou blíže specifikované v Itineráři. Dis</w:t>
      </w:r>
      <w:r>
        <w:t>tribuce dalších propagačních materiálů podléhá souhlasu Divadla Archa.</w:t>
      </w:r>
    </w:p>
    <w:p w14:paraId="48D3D401" w14:textId="77777777" w:rsidR="001636AB" w:rsidRDefault="006214C0">
      <w:pPr>
        <w:numPr>
          <w:ilvl w:val="0"/>
          <w:numId w:val="3"/>
        </w:numPr>
        <w:spacing w:after="117"/>
        <w:ind w:left="590" w:right="7" w:hanging="576"/>
      </w:pPr>
      <w:r>
        <w:t>Divadlo Archa se po celou dobu trvání této smlouvy zavazuje k následujícímu (dále jen „záruky”):</w:t>
      </w:r>
    </w:p>
    <w:p w14:paraId="01790CD3" w14:textId="77777777" w:rsidR="001636AB" w:rsidRDefault="006214C0">
      <w:pPr>
        <w:numPr>
          <w:ilvl w:val="0"/>
          <w:numId w:val="4"/>
        </w:numPr>
        <w:spacing w:after="36"/>
        <w:ind w:right="252" w:hanging="432"/>
      </w:pPr>
      <w:r>
        <w:t xml:space="preserve">Divadlo Archa je povinno na vlastní náklady dodržovat veškeré právní předpisy, pravidla </w:t>
      </w:r>
      <w:r>
        <w:t>a nařízení a převzít veškeré závazky a povinnosti, které tyto předpisy, pravidla a nařízení s ohledem na plnění ze strany Dodavatele o na základě této Smlouvy vyžadují.</w:t>
      </w:r>
    </w:p>
    <w:p w14:paraId="1BEDA1B1" w14:textId="77777777" w:rsidR="001636AB" w:rsidRDefault="006214C0">
      <w:pPr>
        <w:numPr>
          <w:ilvl w:val="0"/>
          <w:numId w:val="4"/>
        </w:numPr>
        <w:ind w:right="252" w:hanging="432"/>
      </w:pPr>
      <w:r>
        <w:t xml:space="preserve">Divadlo Archa bude dodržovat a zajistí, že případní jeho další poddodavatelé (pokud existují) budou: </w:t>
      </w:r>
      <w:r>
        <w:rPr>
          <w:noProof/>
        </w:rPr>
        <w:drawing>
          <wp:inline distT="0" distB="0" distL="0" distR="0" wp14:anchorId="21734C26" wp14:editId="5F3D04F3">
            <wp:extent cx="127939" cy="118770"/>
            <wp:effectExtent l="0" t="0" r="0" b="0"/>
            <wp:docPr id="12888" name="Picture 1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" name="Picture 128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939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dodržovat na vlastní náklady veškeré platné zákony a právní předpisy České republiky proti braní úplatků a proti korupci („protikorupční zákony”).</w:t>
      </w:r>
    </w:p>
    <w:p w14:paraId="0660CF22" w14:textId="77777777" w:rsidR="001636AB" w:rsidRDefault="006214C0">
      <w:pPr>
        <w:ind w:left="169" w:right="252"/>
      </w:pPr>
      <w:r>
        <w:rPr>
          <w:noProof/>
        </w:rPr>
        <w:drawing>
          <wp:inline distT="0" distB="0" distL="0" distR="0" wp14:anchorId="42F3D27E" wp14:editId="1EDEFB0D">
            <wp:extent cx="4569" cy="4568"/>
            <wp:effectExtent l="0" t="0" r="0" b="0"/>
            <wp:docPr id="5486" name="Picture 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" name="Picture 54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(b) neučiní nic, co by způsobilo nebo vedlo k porušení jakýkoliv z protikorupčních zákonů ze strany </w:t>
      </w:r>
      <w:proofErr w:type="spellStart"/>
      <w:r>
        <w:t>Deloitte</w:t>
      </w:r>
      <w:proofErr w:type="spellEnd"/>
      <w:r>
        <w:t xml:space="preserve">; a (c) bude/budou společnost </w:t>
      </w:r>
      <w:proofErr w:type="spellStart"/>
      <w:r>
        <w:t>Deloitte</w:t>
      </w:r>
      <w:proofErr w:type="spellEnd"/>
      <w:r>
        <w:t xml:space="preserve"> okamžitě informovat o jakékoliv žádosti nebo požadavku na jakoukoliv neoprávněnou finanční nebo jinou výhodu </w:t>
      </w:r>
      <w:r>
        <w:t>jakéhokoliv druhu, kterou prodávající obdrží v souvislosti s plněním této Smlouvy.</w:t>
      </w:r>
    </w:p>
    <w:p w14:paraId="4AF7036F" w14:textId="77777777" w:rsidR="001636AB" w:rsidRDefault="006214C0">
      <w:pPr>
        <w:numPr>
          <w:ilvl w:val="0"/>
          <w:numId w:val="4"/>
        </w:numPr>
        <w:ind w:right="252" w:hanging="432"/>
      </w:pPr>
      <w:r>
        <w:t>Divadlo Archa prohlašuje, zaručuje a zavazuje se, že:</w:t>
      </w:r>
    </w:p>
    <w:p w14:paraId="014BA4BD" w14:textId="77777777" w:rsidR="001636AB" w:rsidRDefault="006214C0">
      <w:pPr>
        <w:numPr>
          <w:ilvl w:val="0"/>
          <w:numId w:val="5"/>
        </w:numPr>
        <w:ind w:right="7" w:hanging="417"/>
      </w:pPr>
      <w:r>
        <w:t xml:space="preserve">veškeré informace a dokumenty, které byly poskytnuty společnosti </w:t>
      </w:r>
      <w:proofErr w:type="spellStart"/>
      <w:r>
        <w:t>Deloitte</w:t>
      </w:r>
      <w:proofErr w:type="spellEnd"/>
      <w:r>
        <w:t>, jsou úplné a přesné a nejsou nijak zavádějíc</w:t>
      </w:r>
      <w:r>
        <w:t>í;</w:t>
      </w:r>
    </w:p>
    <w:p w14:paraId="4DFB9591" w14:textId="77777777" w:rsidR="001636AB" w:rsidRDefault="006214C0">
      <w:pPr>
        <w:numPr>
          <w:ilvl w:val="0"/>
          <w:numId w:val="5"/>
        </w:numPr>
        <w:ind w:right="7" w:hanging="417"/>
      </w:pPr>
      <w:r>
        <w:t>proti Divadlu Archa ani žádnému z jeho zástupců, ředitelů, osob ve vedoucí funkci nebo zaměstnanců nebylo vedeno trestní stíhání ani nebyl odsouzen za žádný trestný čin a</w:t>
      </w:r>
      <w:r>
        <w:rPr>
          <w:noProof/>
        </w:rPr>
        <w:drawing>
          <wp:inline distT="0" distB="0" distL="0" distR="0" wp14:anchorId="6B51DBF1" wp14:editId="3E6F8B8F">
            <wp:extent cx="9138" cy="18272"/>
            <wp:effectExtent l="0" t="0" r="0" b="0"/>
            <wp:docPr id="12890" name="Picture 1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" name="Picture 128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AA47" w14:textId="77777777" w:rsidR="001636AB" w:rsidRDefault="006214C0">
      <w:pPr>
        <w:numPr>
          <w:ilvl w:val="0"/>
          <w:numId w:val="5"/>
        </w:numPr>
        <w:spacing w:after="779"/>
        <w:ind w:right="7" w:hanging="417"/>
      </w:pPr>
      <w:r>
        <w:t>žádný veřejný činitel nevlastní ve společnosti Divadlo Archa ani v jakékoliv s ní</w:t>
      </w:r>
      <w:r>
        <w:t xml:space="preserve"> spřízněné osobě žádný přímý nebo nepřímý podíl a žádný veřejný činitel nemá právní zájem na jakékoliv platbě učiněné společností </w:t>
      </w:r>
      <w:proofErr w:type="spellStart"/>
      <w:r>
        <w:t>Deloitte</w:t>
      </w:r>
      <w:proofErr w:type="spellEnd"/>
      <w:r>
        <w:t xml:space="preserve"> podle této smlouvy nebo prospěch z takové platby. Termín „veřejný činitel” označuje jakéhokoliv </w:t>
      </w:r>
      <w:r>
        <w:lastRenderedPageBreak/>
        <w:t>pracovníka nebo zaměs</w:t>
      </w:r>
      <w:r>
        <w:t>tnance státu, obce nebo kraje nebo právnické osoby vlastněné státem, jakéhokoliv kandidáta na politickou funkci nebo jakoukoliv osobu jednající v úřední působnosti jménem</w:t>
      </w:r>
    </w:p>
    <w:p w14:paraId="3982397D" w14:textId="77777777" w:rsidR="001636AB" w:rsidRDefault="006214C0">
      <w:pPr>
        <w:spacing w:after="0" w:line="259" w:lineRule="auto"/>
        <w:ind w:left="14" w:right="0" w:firstLine="0"/>
        <w:jc w:val="left"/>
      </w:pPr>
      <w:r>
        <w:rPr>
          <w:sz w:val="18"/>
        </w:rPr>
        <w:t>03</w:t>
      </w:r>
    </w:p>
    <w:p w14:paraId="53E44621" w14:textId="77777777" w:rsidR="001636AB" w:rsidRDefault="006214C0">
      <w:pPr>
        <w:ind w:left="590" w:right="7" w:hanging="576"/>
      </w:pPr>
      <w:r>
        <w:t xml:space="preserve">5. </w:t>
      </w:r>
      <w:r>
        <w:t xml:space="preserve">Smluvní strany prohlašují, že tuto smlouvu uzavřely svobodně, vážně, nikoliv v </w:t>
      </w:r>
      <w:r>
        <w:t>tísni a za jednostranně nevýhodných podmínek, a že znají její obsah, což stvrzují svými podpisy.</w:t>
      </w:r>
    </w:p>
    <w:p w14:paraId="77633208" w14:textId="77777777" w:rsidR="001636AB" w:rsidRDefault="001636AB">
      <w:pPr>
        <w:sectPr w:rsidR="001636AB">
          <w:type w:val="continuous"/>
          <w:pgSz w:w="11909" w:h="16841"/>
          <w:pgMar w:top="1350" w:right="1108" w:bottom="590" w:left="1454" w:header="708" w:footer="708" w:gutter="0"/>
          <w:cols w:space="708"/>
        </w:sectPr>
      </w:pPr>
    </w:p>
    <w:p w14:paraId="33835923" w14:textId="77777777" w:rsidR="001636AB" w:rsidRDefault="006214C0">
      <w:pPr>
        <w:spacing w:after="0" w:line="259" w:lineRule="auto"/>
        <w:ind w:left="14" w:right="0" w:firstLine="0"/>
        <w:jc w:val="left"/>
      </w:pPr>
      <w:r>
        <w:rPr>
          <w:u w:val="single" w:color="000000"/>
        </w:rPr>
        <w:t>Přílohy:</w:t>
      </w:r>
    </w:p>
    <w:p w14:paraId="50FF73D9" w14:textId="77777777" w:rsidR="001636AB" w:rsidRDefault="006214C0">
      <w:pPr>
        <w:ind w:left="17" w:right="7"/>
      </w:pPr>
      <w:r>
        <w:t xml:space="preserve">Příloha </w:t>
      </w:r>
      <w:proofErr w:type="gramStart"/>
      <w:r>
        <w:t>č. 1— Itinerář</w:t>
      </w:r>
      <w:proofErr w:type="gramEnd"/>
    </w:p>
    <w:p w14:paraId="730C2764" w14:textId="77777777" w:rsidR="001636AB" w:rsidRDefault="006214C0">
      <w:pPr>
        <w:spacing w:after="329"/>
        <w:ind w:left="17" w:right="7"/>
      </w:pPr>
      <w:r>
        <w:t>Příloha č. 2 - Návrh rozpočtu</w:t>
      </w:r>
    </w:p>
    <w:p w14:paraId="3450262F" w14:textId="77777777" w:rsidR="001636AB" w:rsidRDefault="006214C0">
      <w:pPr>
        <w:spacing w:after="144"/>
        <w:ind w:left="17" w:right="7"/>
      </w:pPr>
      <w:r>
        <w:t xml:space="preserve">V Praze dne: </w:t>
      </w:r>
      <w:proofErr w:type="gramStart"/>
      <w:r>
        <w:t>18.11. 2022</w:t>
      </w:r>
      <w:proofErr w:type="gramEnd"/>
    </w:p>
    <w:p w14:paraId="01D5A07C" w14:textId="77777777" w:rsidR="001636AB" w:rsidRDefault="006214C0">
      <w:pPr>
        <w:spacing w:after="95" w:line="259" w:lineRule="auto"/>
        <w:ind w:left="7" w:right="0" w:firstLine="0"/>
        <w:jc w:val="left"/>
      </w:pPr>
      <w:r>
        <w:rPr>
          <w:noProof/>
        </w:rPr>
        <w:drawing>
          <wp:inline distT="0" distB="0" distL="0" distR="0" wp14:anchorId="5849D313" wp14:editId="23336FD9">
            <wp:extent cx="1297664" cy="730895"/>
            <wp:effectExtent l="0" t="0" r="0" b="0"/>
            <wp:docPr id="6998" name="Picture 6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" name="Picture 69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7664" cy="7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6C7E" w14:textId="77777777" w:rsidR="001636AB" w:rsidRDefault="006214C0">
      <w:pPr>
        <w:spacing w:after="132" w:line="365" w:lineRule="auto"/>
        <w:ind w:left="17" w:right="554"/>
      </w:pPr>
      <w:r>
        <w:t>Divadlo Archa, o. p. s. Ondřej Hrab ředitel</w:t>
      </w:r>
    </w:p>
    <w:p w14:paraId="22A10780" w14:textId="77777777" w:rsidR="001636AB" w:rsidRDefault="006214C0">
      <w:pPr>
        <w:spacing w:after="9115" w:line="259" w:lineRule="auto"/>
        <w:ind w:left="137" w:right="0" w:firstLine="0"/>
        <w:jc w:val="left"/>
      </w:pPr>
      <w:r>
        <w:rPr>
          <w:noProof/>
        </w:rPr>
        <w:drawing>
          <wp:inline distT="0" distB="0" distL="0" distR="0" wp14:anchorId="0756998C" wp14:editId="204D4ECD">
            <wp:extent cx="1370771" cy="424833"/>
            <wp:effectExtent l="0" t="0" r="0" b="0"/>
            <wp:docPr id="12892" name="Picture 12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" name="Picture 128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0771" cy="42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98F4C" w14:textId="77777777" w:rsidR="001636AB" w:rsidRDefault="006214C0">
      <w:pPr>
        <w:spacing w:after="302" w:line="259" w:lineRule="auto"/>
        <w:ind w:left="-5" w:right="0" w:hanging="10"/>
        <w:jc w:val="left"/>
      </w:pPr>
      <w:r>
        <w:rPr>
          <w:sz w:val="16"/>
        </w:rPr>
        <w:t>05</w:t>
      </w:r>
    </w:p>
    <w:p w14:paraId="01EB0944" w14:textId="77777777" w:rsidR="001636AB" w:rsidRDefault="006214C0">
      <w:pPr>
        <w:spacing w:after="184" w:line="259" w:lineRule="auto"/>
        <w:ind w:left="-14" w:right="0" w:firstLine="0"/>
        <w:jc w:val="left"/>
      </w:pPr>
      <w:r>
        <w:rPr>
          <w:noProof/>
        </w:rPr>
        <w:drawing>
          <wp:inline distT="0" distB="0" distL="0" distR="0" wp14:anchorId="50D4D820" wp14:editId="107432AC">
            <wp:extent cx="1649494" cy="1036957"/>
            <wp:effectExtent l="0" t="0" r="0" b="0"/>
            <wp:docPr id="12894" name="Picture 1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" name="Picture 128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9494" cy="103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2116" w14:textId="77777777" w:rsidR="001636AB" w:rsidRDefault="006214C0">
      <w:pPr>
        <w:spacing w:line="360" w:lineRule="auto"/>
        <w:ind w:left="17" w:right="2129"/>
      </w:pPr>
      <w:proofErr w:type="spellStart"/>
      <w:r>
        <w:t>Deloitte</w:t>
      </w:r>
      <w:proofErr w:type="spellEnd"/>
      <w:r>
        <w:t xml:space="preserve"> CZ </w:t>
      </w:r>
      <w:proofErr w:type="spellStart"/>
      <w:r>
        <w:t>Services</w:t>
      </w:r>
      <w:proofErr w:type="spellEnd"/>
      <w:r>
        <w:t xml:space="preserve">, s.r.o. Ing. Pavel </w:t>
      </w:r>
      <w:proofErr w:type="spellStart"/>
      <w:r>
        <w:t>Frnoch</w:t>
      </w:r>
      <w:proofErr w:type="spellEnd"/>
      <w:r>
        <w:t xml:space="preserve"> prokurista</w:t>
      </w:r>
    </w:p>
    <w:sectPr w:rsidR="001636AB">
      <w:type w:val="continuous"/>
      <w:pgSz w:w="11909" w:h="16841"/>
      <w:pgMar w:top="1440" w:right="1440" w:bottom="1440" w:left="1446" w:header="708" w:footer="708" w:gutter="0"/>
      <w:cols w:num="2" w:space="708" w:equalWidth="0">
        <w:col w:w="3004" w:space="3315"/>
        <w:col w:w="27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EA8"/>
    <w:multiLevelType w:val="hybridMultilevel"/>
    <w:tmpl w:val="4D042636"/>
    <w:lvl w:ilvl="0" w:tplc="46548162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AE8A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ACD2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684E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C338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2595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8ED1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038F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0C8C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433F5"/>
    <w:multiLevelType w:val="hybridMultilevel"/>
    <w:tmpl w:val="E048DAF2"/>
    <w:lvl w:ilvl="0" w:tplc="0010D0FE">
      <w:start w:val="1"/>
      <w:numFmt w:val="lowerLetter"/>
      <w:lvlText w:val="(%1)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4426A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C6194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CEA8A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A0B4E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C31E4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E46AA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0FB40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84288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92364"/>
    <w:multiLevelType w:val="hybridMultilevel"/>
    <w:tmpl w:val="B4D258F0"/>
    <w:lvl w:ilvl="0" w:tplc="489881D4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CDE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AFA1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8493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62EA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DB0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D8E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913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A720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632412"/>
    <w:multiLevelType w:val="hybridMultilevel"/>
    <w:tmpl w:val="DEF61F3C"/>
    <w:lvl w:ilvl="0" w:tplc="AB62640A">
      <w:start w:val="17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C2396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8055E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47C70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0545A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CAAAA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4561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65CA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FB6A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C51AD4"/>
    <w:multiLevelType w:val="hybridMultilevel"/>
    <w:tmpl w:val="0038AE00"/>
    <w:lvl w:ilvl="0" w:tplc="12BC1354">
      <w:start w:val="1"/>
      <w:numFmt w:val="upperRoman"/>
      <w:lvlText w:val="%1."/>
      <w:lvlJc w:val="left"/>
      <w:pPr>
        <w:ind w:left="734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7E641039"/>
    <w:multiLevelType w:val="hybridMultilevel"/>
    <w:tmpl w:val="394A499E"/>
    <w:lvl w:ilvl="0" w:tplc="C5F009D8">
      <w:start w:val="1"/>
      <w:numFmt w:val="upperLetter"/>
      <w:lvlText w:val="%1.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74F956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9810D2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165674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30622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326030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48E0F2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AC9156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E487D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B"/>
    <w:rsid w:val="001636AB"/>
    <w:rsid w:val="006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6B3"/>
  <w15:docId w15:val="{685B09B9-2B18-481E-955E-A7C0FC5A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10" w:right="1123" w:hanging="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D5146-14A0-433C-B51C-42C997717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87171-BEB9-4677-BCC2-060E992CC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493B0-0F66-4E23-BE84-D706E766C26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d25dc46-5f60-4f83-9b03-e669541e4608"/>
    <ds:schemaRef ds:uri="http://schemas.openxmlformats.org/package/2006/metadata/core-properties"/>
    <ds:schemaRef ds:uri="a76a5127-f089-4e91-8f33-207f6e785a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2</cp:revision>
  <dcterms:created xsi:type="dcterms:W3CDTF">2022-12-22T19:33:00Z</dcterms:created>
  <dcterms:modified xsi:type="dcterms:W3CDTF">2022-12-22T19:33:00Z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