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826EB2">
        <w:rPr>
          <w:rFonts w:ascii="Georgia" w:hAnsi="Georgia" w:cs="Arial"/>
          <w:b/>
        </w:rPr>
        <w:t>22</w:t>
      </w:r>
      <w:r w:rsidRPr="00F41D20">
        <w:rPr>
          <w:rFonts w:ascii="Georgia" w:hAnsi="Georgia" w:cs="Arial"/>
          <w:b/>
        </w:rPr>
        <w:t xml:space="preserve"> / </w:t>
      </w:r>
      <w:r w:rsidR="00826EB2">
        <w:rPr>
          <w:rFonts w:ascii="Georgia" w:hAnsi="Georgia" w:cs="Arial"/>
          <w:b/>
        </w:rPr>
        <w:t>077</w:t>
      </w:r>
    </w:p>
    <w:p w:rsidR="007C5447" w:rsidRPr="008C2B14" w:rsidRDefault="007C5447">
      <w:pPr>
        <w:rPr>
          <w:rFonts w:ascii="Georgia" w:hAnsi="Georgia" w:cs="Arial"/>
        </w:rPr>
      </w:pPr>
    </w:p>
    <w:p w:rsidR="00FD6869" w:rsidRPr="00FD6869" w:rsidRDefault="00FD6869" w:rsidP="00FD6869">
      <w:pPr>
        <w:rPr>
          <w:rFonts w:ascii="Georgia" w:hAnsi="Georgia" w:cs="Arial"/>
          <w:b/>
        </w:rPr>
      </w:pPr>
      <w:r w:rsidRPr="00FD6869">
        <w:rPr>
          <w:rFonts w:ascii="Georgia" w:hAnsi="Georgia" w:cs="Arial"/>
          <w:b/>
        </w:rPr>
        <w:t>Pražský filharmonický sbor</w:t>
      </w:r>
    </w:p>
    <w:p w:rsidR="008C2B14" w:rsidRPr="00FD6869" w:rsidRDefault="00FD6869" w:rsidP="00FD6869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 xml:space="preserve">se sídlem Melantrichova 970/17B, Praha 1, </w:t>
      </w:r>
      <w:r w:rsidR="008C2B14" w:rsidRPr="00FD6869">
        <w:rPr>
          <w:rFonts w:ascii="Georgia" w:hAnsi="Georgia" w:cs="Arial"/>
        </w:rPr>
        <w:t xml:space="preserve">Česká </w:t>
      </w:r>
      <w:r w:rsidRPr="00FD6869">
        <w:rPr>
          <w:rFonts w:ascii="Georgia" w:hAnsi="Georgia" w:cs="Arial"/>
        </w:rPr>
        <w:t>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FD6869" w:rsidRPr="00FD6869">
        <w:rPr>
          <w:rFonts w:ascii="Georgia" w:hAnsi="Georgia" w:cs="Arial"/>
        </w:rPr>
        <w:t>14450577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FD6869">
        <w:rPr>
          <w:rFonts w:ascii="Georgia" w:hAnsi="Georgia" w:cs="Arial"/>
        </w:rPr>
        <w:t>Davidem Marečkem, ředitelem</w:t>
      </w:r>
    </w:p>
    <w:p w:rsidR="008C2B14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FB38E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9D2EFE" w:rsidRPr="00F41D20" w:rsidRDefault="009D2EFE" w:rsidP="008C2B14">
      <w:pPr>
        <w:rPr>
          <w:rFonts w:ascii="Georgia" w:hAnsi="Georgia" w:cs="Arial"/>
        </w:rPr>
      </w:pPr>
    </w:p>
    <w:p w:rsidR="00BF66CE" w:rsidRDefault="009D2EFE" w:rsidP="00BF66CE">
      <w:pPr>
        <w:rPr>
          <w:rFonts w:ascii="Georgia" w:hAnsi="Georgia" w:cs="Arial"/>
        </w:rPr>
      </w:pPr>
      <w:r>
        <w:rPr>
          <w:rFonts w:ascii="Georgia" w:hAnsi="Georgia" w:cs="Arial"/>
        </w:rPr>
        <w:t>a</w:t>
      </w:r>
    </w:p>
    <w:p w:rsidR="009D2EFE" w:rsidRPr="008C2B14" w:rsidRDefault="009D2EFE" w:rsidP="00BF66CE">
      <w:pPr>
        <w:rPr>
          <w:rFonts w:ascii="Georgia" w:hAnsi="Georgia" w:cs="Arial"/>
        </w:rPr>
      </w:pPr>
    </w:p>
    <w:p w:rsidR="008C2B14" w:rsidRPr="00826EB2" w:rsidRDefault="00826EB2" w:rsidP="00826EB2">
      <w:pPr>
        <w:rPr>
          <w:rFonts w:ascii="Georgia" w:hAnsi="Georgia" w:cs="Arial"/>
        </w:rPr>
      </w:pPr>
      <w:r>
        <w:rPr>
          <w:rFonts w:ascii="Georgia" w:hAnsi="Georgia" w:cs="Arial"/>
        </w:rPr>
        <w:t>firma</w:t>
      </w:r>
      <w:r w:rsidR="008C2B14" w:rsidRPr="00826EB2">
        <w:rPr>
          <w:rFonts w:ascii="Georgia" w:hAnsi="Georgia" w:cs="Arial"/>
        </w:rPr>
        <w:t>:</w:t>
      </w:r>
      <w:r w:rsidR="008C2B14" w:rsidRPr="00826EB2">
        <w:rPr>
          <w:rFonts w:ascii="Georgia" w:hAnsi="Georgia" w:cs="Arial"/>
        </w:rPr>
        <w:tab/>
      </w:r>
      <w:r w:rsidRPr="00826EB2">
        <w:rPr>
          <w:rFonts w:ascii="Georgia" w:hAnsi="Georgia" w:cs="Arial"/>
          <w:b/>
        </w:rPr>
        <w:t xml:space="preserve">MAXIMUM </w:t>
      </w:r>
      <w:proofErr w:type="spellStart"/>
      <w:r w:rsidRPr="00826EB2">
        <w:rPr>
          <w:rFonts w:ascii="Georgia" w:hAnsi="Georgia" w:cs="Arial"/>
          <w:b/>
        </w:rPr>
        <w:t>Services</w:t>
      </w:r>
      <w:proofErr w:type="spellEnd"/>
      <w:r w:rsidRPr="00826EB2">
        <w:rPr>
          <w:rFonts w:ascii="Georgia" w:hAnsi="Georgia" w:cs="Arial"/>
          <w:b/>
        </w:rPr>
        <w:t xml:space="preserve"> s.r.o. </w:t>
      </w:r>
      <w:r w:rsidRPr="00826EB2">
        <w:rPr>
          <w:rFonts w:ascii="Georgia" w:hAnsi="Georgia" w:cs="Arial"/>
          <w:b/>
          <w:highlight w:val="yellow"/>
        </w:rPr>
        <w:br/>
      </w:r>
      <w:r w:rsidRPr="00826EB2">
        <w:rPr>
          <w:rFonts w:ascii="Georgia" w:hAnsi="Georgia" w:cs="Arial"/>
        </w:rPr>
        <w:t>se sídlem</w:t>
      </w:r>
      <w:r w:rsidR="008C2B14" w:rsidRPr="00826EB2">
        <w:rPr>
          <w:rFonts w:ascii="Georgia" w:hAnsi="Georgia" w:cs="Arial"/>
        </w:rPr>
        <w:t>:</w:t>
      </w:r>
      <w:r w:rsidRPr="00826EB2">
        <w:rPr>
          <w:rFonts w:ascii="Georgia" w:hAnsi="Georgia" w:cs="Arial"/>
        </w:rPr>
        <w:t xml:space="preserve"> </w:t>
      </w:r>
      <w:proofErr w:type="spellStart"/>
      <w:r w:rsidRPr="00826EB2">
        <w:rPr>
          <w:rFonts w:ascii="Georgia" w:hAnsi="Georgia"/>
        </w:rPr>
        <w:t>Slaviborské</w:t>
      </w:r>
      <w:proofErr w:type="spellEnd"/>
      <w:r w:rsidRPr="00826EB2">
        <w:rPr>
          <w:rFonts w:ascii="Georgia" w:hAnsi="Georgia"/>
        </w:rPr>
        <w:t xml:space="preserve"> náměstí 20/1, 196 00  Praha 9</w:t>
      </w:r>
    </w:p>
    <w:p w:rsidR="008C2B14" w:rsidRPr="00826EB2" w:rsidRDefault="00826EB2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IČ:</w:t>
      </w:r>
      <w:r w:rsidRPr="00826EB2">
        <w:t xml:space="preserve"> </w:t>
      </w:r>
      <w:r w:rsidRPr="00826EB2">
        <w:rPr>
          <w:rFonts w:ascii="Georgia" w:hAnsi="Georgia" w:cs="Arial"/>
        </w:rPr>
        <w:t>05574064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26EB2">
        <w:rPr>
          <w:rFonts w:ascii="Georgia" w:hAnsi="Georgia" w:cs="Arial"/>
        </w:rPr>
        <w:t xml:space="preserve">DIČ: </w:t>
      </w:r>
      <w:r w:rsidR="00826EB2" w:rsidRPr="00826EB2">
        <w:rPr>
          <w:rFonts w:ascii="Georgia" w:hAnsi="Georgia" w:cs="Arial"/>
        </w:rPr>
        <w:t>CZ5574064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9D2EFE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7C5447" w:rsidRPr="008C2B14" w:rsidRDefault="00B32CF8" w:rsidP="009D2EFE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FB38E4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4C76AB" w:rsidRDefault="00B32CF8" w:rsidP="004C76A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9D2EFE" w:rsidRPr="009D2EFE">
        <w:rPr>
          <w:rFonts w:ascii="Georgia" w:hAnsi="Georgia" w:cs="Arial"/>
        </w:rPr>
        <w:t xml:space="preserve">Příprava občerstvení a pohoštění pro účastníky </w:t>
      </w:r>
      <w:r w:rsidR="00577EFD">
        <w:rPr>
          <w:rFonts w:ascii="Georgia" w:hAnsi="Georgia" w:cs="Arial"/>
        </w:rPr>
        <w:t>společenského setkání</w:t>
      </w:r>
      <w:r w:rsidR="009D2EFE" w:rsidRPr="009D2EFE">
        <w:rPr>
          <w:rFonts w:ascii="Georgia" w:hAnsi="Georgia" w:cs="Arial"/>
        </w:rPr>
        <w:t xml:space="preserve"> 1</w:t>
      </w:r>
      <w:r w:rsidR="00577EFD">
        <w:rPr>
          <w:rFonts w:ascii="Georgia" w:hAnsi="Georgia" w:cs="Arial"/>
        </w:rPr>
        <w:t>5</w:t>
      </w:r>
      <w:r w:rsidR="009D2EFE" w:rsidRPr="009D2EFE">
        <w:rPr>
          <w:rFonts w:ascii="Georgia" w:hAnsi="Georgia" w:cs="Arial"/>
        </w:rPr>
        <w:t xml:space="preserve">. </w:t>
      </w:r>
      <w:r w:rsidR="00577EFD">
        <w:rPr>
          <w:rFonts w:ascii="Georgia" w:hAnsi="Georgia" w:cs="Arial"/>
        </w:rPr>
        <w:t>12</w:t>
      </w:r>
      <w:r w:rsidR="009D2EFE" w:rsidRPr="009D2EFE">
        <w:rPr>
          <w:rFonts w:ascii="Georgia" w:hAnsi="Georgia" w:cs="Arial"/>
        </w:rPr>
        <w:t xml:space="preserve">. 2022 (max. </w:t>
      </w:r>
      <w:r w:rsidR="004C76AB">
        <w:rPr>
          <w:rFonts w:ascii="Georgia" w:hAnsi="Georgia" w:cs="Arial"/>
        </w:rPr>
        <w:t>90</w:t>
      </w:r>
      <w:r w:rsidR="009D2EFE" w:rsidRPr="004C76AB">
        <w:rPr>
          <w:rFonts w:ascii="Georgia" w:hAnsi="Georgia" w:cs="Arial"/>
        </w:rPr>
        <w:t xml:space="preserve"> hostů)</w:t>
      </w:r>
    </w:p>
    <w:p w:rsidR="00134A7C" w:rsidRPr="008C2B14" w:rsidRDefault="00B32CF8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826EB2">
        <w:rPr>
          <w:rFonts w:ascii="Georgia" w:hAnsi="Georgia" w:cs="Arial"/>
        </w:rPr>
        <w:t>1</w:t>
      </w:r>
      <w:r w:rsidR="004C76AB">
        <w:rPr>
          <w:rFonts w:ascii="Georgia" w:hAnsi="Georgia" w:cs="Arial"/>
        </w:rPr>
        <w:t>5</w:t>
      </w:r>
      <w:r w:rsidR="00826EB2">
        <w:rPr>
          <w:rFonts w:ascii="Georgia" w:hAnsi="Georgia" w:cs="Arial"/>
        </w:rPr>
        <w:t>. 12. 2022</w:t>
      </w:r>
    </w:p>
    <w:p w:rsidR="00B32CF8" w:rsidRPr="008C2B14" w:rsidRDefault="00134A7C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826EB2">
        <w:rPr>
          <w:rFonts w:ascii="Georgia" w:hAnsi="Georgia" w:cs="Arial"/>
        </w:rPr>
        <w:t>Praha</w:t>
      </w:r>
    </w:p>
    <w:p w:rsidR="00B32CF8" w:rsidRDefault="00EA27F4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Cena díla: </w:t>
      </w:r>
      <w:r w:rsidR="004C76AB">
        <w:rPr>
          <w:rFonts w:ascii="Georgia" w:hAnsi="Georgia" w:cs="Arial"/>
        </w:rPr>
        <w:t>93 926</w:t>
      </w:r>
      <w:r w:rsidR="00826EB2">
        <w:rPr>
          <w:rFonts w:ascii="Georgia" w:hAnsi="Georgia" w:cs="Arial"/>
        </w:rPr>
        <w:t>,-</w:t>
      </w:r>
      <w:r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="004C76AB">
        <w:rPr>
          <w:rFonts w:ascii="Georgia" w:hAnsi="Georgia" w:cs="Arial"/>
        </w:rPr>
        <w:t>+</w:t>
      </w:r>
      <w:r w:rsidR="00826EB2">
        <w:rPr>
          <w:rFonts w:ascii="Georgia" w:hAnsi="Georgia" w:cs="Arial"/>
        </w:rPr>
        <w:t xml:space="preserve"> DPH </w:t>
      </w:r>
      <w:r w:rsidR="00A65803" w:rsidRPr="00EA27F4">
        <w:rPr>
          <w:rFonts w:ascii="Georgia" w:hAnsi="Georgia" w:cs="Arial"/>
        </w:rPr>
        <w:t xml:space="preserve">(slovy: </w:t>
      </w:r>
      <w:r w:rsidR="004C76AB">
        <w:rPr>
          <w:rFonts w:ascii="Georgia" w:hAnsi="Georgia" w:cs="Arial"/>
        </w:rPr>
        <w:t>devadesát tři tisíc devět set dvacet šest</w:t>
      </w:r>
      <w:r w:rsidR="00B32CF8" w:rsidRPr="00EA27F4">
        <w:rPr>
          <w:rFonts w:ascii="Georgia" w:hAnsi="Georgia" w:cs="Arial"/>
        </w:rPr>
        <w:t>)</w:t>
      </w:r>
    </w:p>
    <w:p w:rsidR="00AB671F" w:rsidRPr="00EA27F4" w:rsidRDefault="00AB671F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826EB2" w:rsidRPr="00D45650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D45650">
        <w:rPr>
          <w:rFonts w:ascii="Georgia" w:hAnsi="Georgia" w:cs="Arial"/>
        </w:rPr>
        <w:t>PFS zaplatí zhotoviteli cenu díla do 14 dnů od dodání faktury, a to na bankovní účet zhotovitele uvedený v této faktuře.</w:t>
      </w:r>
    </w:p>
    <w:p w:rsidR="00826EB2" w:rsidRPr="00D45650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D45650">
        <w:rPr>
          <w:rFonts w:ascii="Georgia" w:hAnsi="Georgia" w:cs="Arial"/>
        </w:rPr>
        <w:t>Zhotovitel je povinen doručit PFS na cenu díla fakturu s náležitostmi daňového dokladu, jinak se cena díla nestane splatnou.</w:t>
      </w:r>
    </w:p>
    <w:p w:rsidR="00322EB7" w:rsidRDefault="00BC3485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F2791A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, souhlasí s tím, že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a subjekty s 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</w:t>
      </w:r>
      <w:r w:rsidRPr="008C2B14">
        <w:rPr>
          <w:rFonts w:ascii="Georgia" w:hAnsi="Georgia" w:cs="Arial"/>
        </w:rPr>
        <w:lastRenderedPageBreak/>
        <w:t>s nimi je zohledněno ve sjednané ceně díla a vzhledem k tomu nemá právo na jakoukoli další odměnu za ně.</w:t>
      </w:r>
    </w:p>
    <w:p w:rsidR="002300CC" w:rsidRDefault="002300CC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F2791A">
      <w:pPr>
        <w:jc w:val="both"/>
        <w:rPr>
          <w:rFonts w:ascii="Georgia" w:hAnsi="Georgia" w:cs="Arial"/>
        </w:rPr>
      </w:pPr>
      <w:r w:rsidRPr="00826EB2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826EB2">
        <w:rPr>
          <w:rFonts w:ascii="Georgia" w:hAnsi="Georgia" w:cs="Arial"/>
        </w:rPr>
        <w:t>PFS</w:t>
      </w:r>
      <w:r w:rsidRPr="00826EB2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401864" w:rsidRDefault="0040186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4C76AB" w:rsidRPr="008C2B14" w:rsidRDefault="004C76AB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826EB2">
        <w:rPr>
          <w:rFonts w:ascii="Georgia" w:hAnsi="Georgia" w:cs="Arial"/>
        </w:rPr>
        <w:t>1</w:t>
      </w:r>
      <w:r w:rsidR="004C76AB">
        <w:rPr>
          <w:rFonts w:ascii="Georgia" w:hAnsi="Georgia" w:cs="Arial"/>
        </w:rPr>
        <w:t>4</w:t>
      </w:r>
      <w:r w:rsidR="00826EB2">
        <w:rPr>
          <w:rFonts w:ascii="Georgia" w:hAnsi="Georgia" w:cs="Arial"/>
        </w:rPr>
        <w:t>. 12. 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</w:p>
    <w:p w:rsidR="004C76AB" w:rsidRDefault="004C76AB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FB38E4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4C76AB" w:rsidRDefault="004C76AB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826EB2" w:rsidRDefault="00F66A71" w:rsidP="00826EB2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826EB2">
        <w:rPr>
          <w:rFonts w:ascii="Georgia" w:hAnsi="Georgia" w:cs="Arial"/>
        </w:rPr>
        <w:t>Hana Barylová</w:t>
      </w:r>
    </w:p>
    <w:p w:rsidR="004C76AB" w:rsidRDefault="004C76AB" w:rsidP="00826EB2">
      <w:pPr>
        <w:rPr>
          <w:rFonts w:ascii="Georgia" w:hAnsi="Georgia" w:cs="Arial"/>
        </w:rPr>
      </w:pPr>
    </w:p>
    <w:p w:rsidR="008B4F10" w:rsidRDefault="00F66A71" w:rsidP="00826EB2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proofErr w:type="gramEnd"/>
      <w:r w:rsidR="00826EB2">
        <w:rPr>
          <w:rFonts w:ascii="Georgia" w:hAnsi="Georgia" w:cs="Arial"/>
        </w:rPr>
        <w:t xml:space="preserve"> Hana Barylová</w:t>
      </w:r>
    </w:p>
    <w:p w:rsidR="00B25CD0" w:rsidRDefault="00B25CD0" w:rsidP="00826EB2">
      <w:pPr>
        <w:rPr>
          <w:rFonts w:ascii="Georgia" w:hAnsi="Georgia" w:cs="Arial"/>
        </w:rPr>
      </w:pPr>
    </w:p>
    <w:p w:rsidR="00B25CD0" w:rsidRDefault="00B25CD0" w:rsidP="00826EB2">
      <w:pPr>
        <w:rPr>
          <w:rFonts w:ascii="Georgia" w:hAnsi="Georgia" w:cs="Arial"/>
        </w:rPr>
      </w:pPr>
    </w:p>
    <w:p w:rsidR="00B25CD0" w:rsidRDefault="00B25CD0" w:rsidP="00B25CD0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lastRenderedPageBreak/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>
        <w:rPr>
          <w:rFonts w:ascii="Georgia" w:hAnsi="Georgia" w:cs="Arial"/>
          <w:b/>
          <w:sz w:val="22"/>
          <w:szCs w:val="22"/>
        </w:rPr>
        <w:t>2</w:t>
      </w:r>
      <w:r w:rsidRPr="007502F2">
        <w:rPr>
          <w:rFonts w:ascii="Georgia" w:hAnsi="Georgia" w:cs="Arial"/>
          <w:b/>
          <w:sz w:val="22"/>
          <w:szCs w:val="22"/>
        </w:rPr>
        <w:t>/</w:t>
      </w:r>
      <w:r>
        <w:rPr>
          <w:rFonts w:ascii="Georgia" w:hAnsi="Georgia" w:cs="Arial"/>
          <w:b/>
          <w:sz w:val="22"/>
          <w:szCs w:val="22"/>
        </w:rPr>
        <w:t>07</w:t>
      </w:r>
      <w:r>
        <w:rPr>
          <w:rFonts w:ascii="Georgia" w:hAnsi="Georgia" w:cs="Arial"/>
          <w:b/>
          <w:sz w:val="22"/>
          <w:szCs w:val="22"/>
        </w:rPr>
        <w:t>7</w:t>
      </w:r>
    </w:p>
    <w:p w:rsidR="00B25CD0" w:rsidRDefault="00B25CD0" w:rsidP="00826EB2">
      <w:pPr>
        <w:rPr>
          <w:rFonts w:ascii="Georgia" w:hAnsi="Georgia" w:cs="Arial"/>
        </w:rPr>
      </w:pPr>
    </w:p>
    <w:p w:rsidR="00B25CD0" w:rsidRDefault="00B25CD0" w:rsidP="00826EB2">
      <w:pPr>
        <w:rPr>
          <w:rFonts w:ascii="Georgia" w:hAnsi="Georgia" w:cs="Arial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84"/>
        <w:gridCol w:w="708"/>
        <w:gridCol w:w="841"/>
        <w:gridCol w:w="1350"/>
        <w:gridCol w:w="1338"/>
        <w:gridCol w:w="680"/>
      </w:tblGrid>
      <w:tr w:rsidR="00B25CD0" w:rsidTr="00B25CD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76200</wp:posOffset>
                  </wp:positionV>
                  <wp:extent cx="1028700" cy="1257300"/>
                  <wp:effectExtent l="0" t="0" r="0" b="0"/>
                  <wp:wrapNone/>
                  <wp:docPr id="1125" name="Obrázek 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0"/>
            </w:tblGrid>
            <w:tr w:rsidR="00B25CD0">
              <w:trPr>
                <w:trHeight w:val="300"/>
                <w:tblCellSpacing w:w="0" w:type="dxa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5CD0" w:rsidRDefault="00B25CD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25CD0" w:rsidRDefault="00B25C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</w:tr>
      <w:tr w:rsidR="00B25CD0" w:rsidTr="00B25CD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jc w:val="right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Pražský filharmonický sbor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jc w:val="right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EQUIP" w:hAnsi="EQUIP" w:cs="Calibri"/>
                <w:color w:val="000000"/>
                <w:sz w:val="22"/>
                <w:szCs w:val="22"/>
              </w:rPr>
              <w:t>15.12.2022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jc w:val="right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Kontakt: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Hana Barylová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jc w:val="right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jc w:val="right"/>
              <w:rPr>
                <w:rFonts w:ascii="EQUIP" w:hAnsi="EQUIP" w:cs="Calibr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</w:tr>
      <w:tr w:rsidR="00B25CD0" w:rsidTr="00B25CD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CD0" w:rsidRDefault="00B25CD0">
            <w:pPr>
              <w:rPr>
                <w:sz w:val="20"/>
                <w:szCs w:val="20"/>
              </w:rPr>
            </w:pPr>
          </w:p>
        </w:tc>
      </w:tr>
      <w:tr w:rsidR="00B25CD0" w:rsidTr="00B25CD0">
        <w:trPr>
          <w:trHeight w:val="4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 xml:space="preserve"> CENA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 xml:space="preserve"> TOTAL bez DPH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 xml:space="preserve"> TOTAL včetně DPH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SAZBA DPH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MENU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649,00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53 100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58 410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NÁPOJOVÝ BALÍČEK - 10%DPH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120,00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   8 926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10 800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NÁPOJOVÝ BALÍČEK - 21%DPH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190,00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14 132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17 100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OBSLUHUJÍCÍ PERSONÁL 5x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2 500,00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12 397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15 000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 xml:space="preserve">BISTRO STŮL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350,00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   2 893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   3 500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</w:tr>
      <w:tr w:rsidR="00B25CD0" w:rsidTr="00B25CD0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 w:rsidP="00B25CD0">
            <w:pPr>
              <w:jc w:val="right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000,00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   2 479 Kč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 xml:space="preserve">           3 000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</w:tr>
      <w:tr w:rsidR="00B25CD0" w:rsidTr="00B25CD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93 926 Kč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107 810 Kč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25CD0" w:rsidRDefault="00B25CD0">
            <w:pPr>
              <w:rPr>
                <w:rFonts w:ascii="EQUIP" w:hAnsi="EQUIP" w:cs="Calibri"/>
                <w:b/>
                <w:bCs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sz w:val="14"/>
                <w:szCs w:val="14"/>
              </w:rPr>
              <w:t> </w:t>
            </w:r>
          </w:p>
        </w:tc>
      </w:tr>
    </w:tbl>
    <w:p w:rsidR="00B25CD0" w:rsidRPr="008C2B14" w:rsidRDefault="00B25CD0" w:rsidP="00826EB2">
      <w:pPr>
        <w:rPr>
          <w:rFonts w:ascii="Georgia" w:hAnsi="Georgia" w:cs="Arial"/>
        </w:rPr>
      </w:pPr>
      <w:bookmarkStart w:id="0" w:name="_GoBack"/>
      <w:bookmarkEnd w:id="0"/>
    </w:p>
    <w:sectPr w:rsidR="00B25CD0" w:rsidRPr="008C2B14" w:rsidSect="008C2B14">
      <w:footerReference w:type="default" r:id="rId8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3A" w:rsidRDefault="0067083A" w:rsidP="008C2B14">
      <w:r>
        <w:separator/>
      </w:r>
    </w:p>
  </w:endnote>
  <w:endnote w:type="continuationSeparator" w:id="0">
    <w:p w:rsidR="0067083A" w:rsidRDefault="0067083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B25CD0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 xml:space="preserve">Smlouva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3A" w:rsidRDefault="0067083A" w:rsidP="008C2B14">
      <w:r>
        <w:separator/>
      </w:r>
    </w:p>
  </w:footnote>
  <w:footnote w:type="continuationSeparator" w:id="0">
    <w:p w:rsidR="0067083A" w:rsidRDefault="0067083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63DC"/>
    <w:rsid w:val="000E2C82"/>
    <w:rsid w:val="00124357"/>
    <w:rsid w:val="00134A7C"/>
    <w:rsid w:val="00162E43"/>
    <w:rsid w:val="001E349C"/>
    <w:rsid w:val="00215170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C68F4"/>
    <w:rsid w:val="003E0898"/>
    <w:rsid w:val="00401864"/>
    <w:rsid w:val="00485403"/>
    <w:rsid w:val="004C76AB"/>
    <w:rsid w:val="00537181"/>
    <w:rsid w:val="00577EFD"/>
    <w:rsid w:val="00634D73"/>
    <w:rsid w:val="006368D2"/>
    <w:rsid w:val="0067083A"/>
    <w:rsid w:val="00681379"/>
    <w:rsid w:val="006B2D37"/>
    <w:rsid w:val="006C1481"/>
    <w:rsid w:val="006F4536"/>
    <w:rsid w:val="0075048E"/>
    <w:rsid w:val="00782E65"/>
    <w:rsid w:val="007C5447"/>
    <w:rsid w:val="007C70B5"/>
    <w:rsid w:val="007D3CCA"/>
    <w:rsid w:val="0081261E"/>
    <w:rsid w:val="00826EB2"/>
    <w:rsid w:val="00885866"/>
    <w:rsid w:val="008B4AF0"/>
    <w:rsid w:val="008B4F10"/>
    <w:rsid w:val="008C2B14"/>
    <w:rsid w:val="008E43C3"/>
    <w:rsid w:val="008F3BA6"/>
    <w:rsid w:val="008F6061"/>
    <w:rsid w:val="009005AE"/>
    <w:rsid w:val="009A1503"/>
    <w:rsid w:val="009D2EFE"/>
    <w:rsid w:val="00A65803"/>
    <w:rsid w:val="00AB671F"/>
    <w:rsid w:val="00AC20ED"/>
    <w:rsid w:val="00AE3257"/>
    <w:rsid w:val="00AF45B2"/>
    <w:rsid w:val="00B22D8D"/>
    <w:rsid w:val="00B25CD0"/>
    <w:rsid w:val="00B32CF8"/>
    <w:rsid w:val="00B62878"/>
    <w:rsid w:val="00BB14C4"/>
    <w:rsid w:val="00BC3485"/>
    <w:rsid w:val="00BF66CE"/>
    <w:rsid w:val="00C866CC"/>
    <w:rsid w:val="00C96170"/>
    <w:rsid w:val="00CE5C80"/>
    <w:rsid w:val="00D401FF"/>
    <w:rsid w:val="00D70F6C"/>
    <w:rsid w:val="00DF6012"/>
    <w:rsid w:val="00EA27F4"/>
    <w:rsid w:val="00ED21A4"/>
    <w:rsid w:val="00F2791A"/>
    <w:rsid w:val="00F53E8E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A1E8"/>
  <w15:chartTrackingRefBased/>
  <w15:docId w15:val="{EE5F43A2-B5D0-40DC-95A7-6CF517E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EB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2014-04-28T11:21:00Z</cp:lastPrinted>
  <dcterms:created xsi:type="dcterms:W3CDTF">2022-12-21T14:59:00Z</dcterms:created>
  <dcterms:modified xsi:type="dcterms:W3CDTF">2022-12-21T15:07:00Z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ab5da3b14b52fd4a0483a5fdcf5d6a46f4810be09f7bab9570c2979f1fc79fec</vt:lpwstr>
  </property>
</Properties>
</file>