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9A4425" w:rsidP="0096148E">
      <w:pPr>
        <w:jc w:val="center"/>
        <w:rPr>
          <w:rFonts w:ascii="Arial" w:hAnsi="Arial" w:cs="Arial"/>
          <w:b/>
          <w:szCs w:val="24"/>
        </w:rPr>
      </w:pPr>
      <w:r>
        <w:rPr>
          <w:rFonts w:ascii="Arial" w:hAnsi="Arial" w:cs="Arial"/>
          <w:b/>
          <w:szCs w:val="24"/>
        </w:rPr>
        <w:t>SMLOUVA O POSKYTOVÁNÍ BEZPEČNOSTNÍCH SLUŽEB</w:t>
      </w:r>
    </w:p>
    <w:p w:rsidR="009A4425" w:rsidRPr="009A4425" w:rsidRDefault="009A4425" w:rsidP="0096148E">
      <w:pPr>
        <w:jc w:val="center"/>
        <w:rPr>
          <w:rFonts w:ascii="Arial" w:hAnsi="Arial" w:cs="Arial"/>
          <w:sz w:val="22"/>
          <w:szCs w:val="22"/>
        </w:rPr>
      </w:pPr>
      <w:r w:rsidRPr="009A4425">
        <w:rPr>
          <w:rFonts w:ascii="Arial" w:hAnsi="Arial" w:cs="Arial"/>
          <w:sz w:val="22"/>
          <w:szCs w:val="22"/>
        </w:rPr>
        <w:t xml:space="preserve">„PD Teplice – zajištění provozu zabezpečovacího systému včetně řízení vstupního </w:t>
      </w:r>
      <w:r>
        <w:rPr>
          <w:rFonts w:ascii="Arial" w:hAnsi="Arial" w:cs="Arial"/>
          <w:sz w:val="22"/>
          <w:szCs w:val="22"/>
        </w:rPr>
        <w:br/>
      </w:r>
      <w:r w:rsidRPr="009A4425">
        <w:rPr>
          <w:rFonts w:ascii="Arial" w:hAnsi="Arial" w:cs="Arial"/>
          <w:sz w:val="22"/>
          <w:szCs w:val="22"/>
        </w:rPr>
        <w:t>systému do objektu a revizní činnosti“</w:t>
      </w:r>
    </w:p>
    <w:p w:rsidR="009A4425" w:rsidRPr="009A4425" w:rsidRDefault="009A4425" w:rsidP="0096148E">
      <w:pPr>
        <w:jc w:val="center"/>
        <w:rPr>
          <w:rFonts w:ascii="Arial" w:hAnsi="Arial" w:cs="Arial"/>
          <w:b/>
          <w:sz w:val="22"/>
          <w:szCs w:val="22"/>
        </w:rPr>
      </w:pPr>
    </w:p>
    <w:p w:rsidR="0096148E" w:rsidRPr="00386410" w:rsidRDefault="009A4425" w:rsidP="0096148E">
      <w:pPr>
        <w:jc w:val="center"/>
        <w:rPr>
          <w:rFonts w:ascii="Arial" w:hAnsi="Arial" w:cs="Arial"/>
          <w:b/>
          <w:sz w:val="22"/>
          <w:szCs w:val="22"/>
        </w:rPr>
      </w:pPr>
      <w:proofErr w:type="spellStart"/>
      <w:r>
        <w:rPr>
          <w:rFonts w:ascii="Arial" w:hAnsi="Arial" w:cs="Arial"/>
          <w:b/>
          <w:sz w:val="22"/>
          <w:szCs w:val="22"/>
        </w:rPr>
        <w:t>ev.</w:t>
      </w:r>
      <w:r w:rsidR="0096148E" w:rsidRPr="00386410">
        <w:rPr>
          <w:rFonts w:ascii="Arial" w:hAnsi="Arial" w:cs="Arial"/>
          <w:b/>
          <w:sz w:val="22"/>
          <w:szCs w:val="22"/>
        </w:rPr>
        <w:t>č</w:t>
      </w:r>
      <w:proofErr w:type="spellEnd"/>
      <w:r w:rsidR="0096148E" w:rsidRPr="00386410">
        <w:rPr>
          <w:rFonts w:ascii="Arial" w:hAnsi="Arial" w:cs="Arial"/>
          <w:b/>
          <w:sz w:val="22"/>
          <w:szCs w:val="22"/>
        </w:rPr>
        <w:t xml:space="preserve">. objednatele: </w:t>
      </w:r>
      <w:r w:rsidR="000E32A8">
        <w:rPr>
          <w:rFonts w:ascii="Arial" w:hAnsi="Arial" w:cs="Arial"/>
          <w:b/>
          <w:sz w:val="22"/>
          <w:szCs w:val="22"/>
        </w:rPr>
        <w:t>1</w:t>
      </w:r>
      <w:r w:rsidR="00DD4AF1">
        <w:rPr>
          <w:rFonts w:ascii="Arial" w:hAnsi="Arial" w:cs="Arial"/>
          <w:b/>
          <w:sz w:val="22"/>
          <w:szCs w:val="22"/>
        </w:rPr>
        <w:t>409</w:t>
      </w:r>
      <w:r w:rsidR="0096148E" w:rsidRPr="00386410">
        <w:rPr>
          <w:rFonts w:ascii="Arial" w:hAnsi="Arial" w:cs="Arial"/>
          <w:b/>
          <w:sz w:val="22"/>
          <w:szCs w:val="22"/>
        </w:rPr>
        <w:t>/20</w:t>
      </w:r>
      <w:r w:rsidR="000E4864">
        <w:rPr>
          <w:rFonts w:ascii="Arial" w:hAnsi="Arial" w:cs="Arial"/>
          <w:b/>
          <w:sz w:val="22"/>
          <w:szCs w:val="22"/>
        </w:rPr>
        <w:t>2</w:t>
      </w:r>
      <w:r w:rsidR="00345EAD">
        <w:rPr>
          <w:rFonts w:ascii="Arial" w:hAnsi="Arial" w:cs="Arial"/>
          <w:b/>
          <w:sz w:val="22"/>
          <w:szCs w:val="22"/>
        </w:rPr>
        <w:t>2</w:t>
      </w:r>
    </w:p>
    <w:p w:rsidR="00D85DC2" w:rsidRPr="00386410" w:rsidRDefault="009A4425" w:rsidP="00D85DC2">
      <w:pPr>
        <w:ind w:left="1416" w:hanging="1416"/>
        <w:jc w:val="center"/>
        <w:rPr>
          <w:rFonts w:ascii="Arial" w:hAnsi="Arial" w:cs="Arial"/>
          <w:b/>
          <w:sz w:val="22"/>
          <w:szCs w:val="22"/>
        </w:rPr>
      </w:pPr>
      <w:r>
        <w:rPr>
          <w:rFonts w:ascii="Arial" w:hAnsi="Arial" w:cs="Arial"/>
          <w:b/>
          <w:sz w:val="22"/>
          <w:szCs w:val="22"/>
        </w:rPr>
        <w:t>ev</w:t>
      </w:r>
      <w:r w:rsidR="00D85DC2" w:rsidRPr="00386410">
        <w:rPr>
          <w:rFonts w:ascii="Arial" w:hAnsi="Arial" w:cs="Arial"/>
          <w:b/>
          <w:sz w:val="22"/>
          <w:szCs w:val="22"/>
        </w:rPr>
        <w:t>.</w:t>
      </w:r>
      <w:r>
        <w:rPr>
          <w:rFonts w:ascii="Arial" w:hAnsi="Arial" w:cs="Arial"/>
          <w:b/>
          <w:sz w:val="22"/>
          <w:szCs w:val="22"/>
        </w:rPr>
        <w:t xml:space="preserve"> č.</w:t>
      </w:r>
      <w:r w:rsidR="00D85DC2" w:rsidRPr="00386410">
        <w:rPr>
          <w:rFonts w:ascii="Arial" w:hAnsi="Arial" w:cs="Arial"/>
          <w:b/>
          <w:sz w:val="22"/>
          <w:szCs w:val="22"/>
        </w:rPr>
        <w:t xml:space="preserve"> </w:t>
      </w:r>
      <w:r w:rsidR="00161496">
        <w:rPr>
          <w:rFonts w:ascii="Arial" w:hAnsi="Arial" w:cs="Arial"/>
          <w:b/>
          <w:sz w:val="22"/>
          <w:szCs w:val="22"/>
        </w:rPr>
        <w:t>dodavatele</w:t>
      </w:r>
      <w:r w:rsidR="00D85DC2" w:rsidRPr="00386410">
        <w:rPr>
          <w:rFonts w:ascii="Arial" w:hAnsi="Arial" w:cs="Arial"/>
          <w:b/>
          <w:sz w:val="22"/>
          <w:szCs w:val="22"/>
        </w:rPr>
        <w:t xml:space="preserve">: </w:t>
      </w:r>
      <w:r w:rsidR="00BE2F31">
        <w:rPr>
          <w:rFonts w:ascii="Arial" w:hAnsi="Arial" w:cs="Arial"/>
          <w:b/>
          <w:sz w:val="22"/>
          <w:szCs w:val="22"/>
        </w:rPr>
        <w:tab/>
      </w:r>
      <w:r w:rsidR="00D85DC2" w:rsidRPr="00386410">
        <w:rPr>
          <w:rFonts w:ascii="Arial" w:hAnsi="Arial" w:cs="Arial"/>
          <w:b/>
          <w:sz w:val="22"/>
          <w:szCs w:val="22"/>
        </w:rPr>
        <w:t>/20</w:t>
      </w:r>
      <w:r w:rsidR="000E4864">
        <w:rPr>
          <w:rFonts w:ascii="Arial" w:hAnsi="Arial" w:cs="Arial"/>
          <w:b/>
          <w:sz w:val="22"/>
          <w:szCs w:val="22"/>
        </w:rPr>
        <w:t>2</w:t>
      </w:r>
      <w:r w:rsidR="00345EAD">
        <w:rPr>
          <w:rFonts w:ascii="Arial" w:hAnsi="Arial" w:cs="Arial"/>
          <w:b/>
          <w:sz w:val="22"/>
          <w:szCs w:val="22"/>
        </w:rPr>
        <w:t>2</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831A0E"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316474">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9A4425" w:rsidP="003755DC">
      <w:pPr>
        <w:tabs>
          <w:tab w:val="left" w:pos="3960"/>
        </w:tabs>
        <w:jc w:val="both"/>
        <w:rPr>
          <w:rFonts w:ascii="Arial" w:hAnsi="Arial" w:cs="Arial"/>
          <w:b/>
          <w:sz w:val="22"/>
          <w:szCs w:val="22"/>
        </w:rPr>
      </w:pPr>
      <w:r>
        <w:rPr>
          <w:rFonts w:ascii="Arial" w:hAnsi="Arial" w:cs="Arial"/>
          <w:b/>
          <w:sz w:val="22"/>
          <w:szCs w:val="22"/>
        </w:rPr>
        <w:t>Dodavatel</w:t>
      </w:r>
      <w:r w:rsidR="003755DC" w:rsidRPr="00386410">
        <w:rPr>
          <w:rFonts w:ascii="Arial" w:hAnsi="Arial" w:cs="Arial"/>
          <w:b/>
          <w:sz w:val="22"/>
          <w:szCs w:val="22"/>
        </w:rPr>
        <w:t>:</w:t>
      </w:r>
      <w:r w:rsidR="003755DC" w:rsidRPr="00386410">
        <w:rPr>
          <w:rFonts w:ascii="Arial" w:hAnsi="Arial" w:cs="Arial"/>
          <w:b/>
          <w:sz w:val="22"/>
          <w:szCs w:val="22"/>
        </w:rPr>
        <w:tab/>
      </w:r>
      <w:r w:rsidR="00BE2F31">
        <w:rPr>
          <w:rFonts w:ascii="Arial" w:hAnsi="Arial" w:cs="Arial"/>
          <w:b/>
          <w:sz w:val="22"/>
          <w:szCs w:val="22"/>
        </w:rPr>
        <w:t>HEROS servis s.r.o.</w:t>
      </w:r>
    </w:p>
    <w:p w:rsidR="003755DC" w:rsidRPr="00BE2F31" w:rsidRDefault="00BE2F31" w:rsidP="003755DC">
      <w:pPr>
        <w:tabs>
          <w:tab w:val="left" w:pos="3960"/>
        </w:tabs>
        <w:jc w:val="both"/>
        <w:rPr>
          <w:rFonts w:ascii="Arial" w:hAnsi="Arial" w:cs="Arial"/>
          <w:sz w:val="22"/>
          <w:szCs w:val="22"/>
        </w:rPr>
      </w:pPr>
      <w:r>
        <w:rPr>
          <w:rFonts w:ascii="Arial" w:hAnsi="Arial" w:cs="Arial"/>
          <w:sz w:val="22"/>
          <w:szCs w:val="22"/>
        </w:rPr>
        <w:tab/>
        <w:t>Na Moráni 5357, 430 01 Chomutov</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BE2F31">
        <w:rPr>
          <w:rFonts w:ascii="Arial" w:hAnsi="Arial" w:cs="Arial"/>
          <w:sz w:val="22"/>
          <w:szCs w:val="22"/>
        </w:rPr>
        <w:t>28725557</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BE2F31">
        <w:rPr>
          <w:rFonts w:ascii="Arial" w:hAnsi="Arial" w:cs="Arial"/>
          <w:sz w:val="22"/>
          <w:szCs w:val="22"/>
        </w:rPr>
        <w:t>CZ28725557</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BE2F31" w:rsidRPr="00BE2F31">
        <w:rPr>
          <w:rFonts w:ascii="Arial" w:hAnsi="Arial" w:cs="Arial"/>
          <w:sz w:val="22"/>
          <w:szCs w:val="22"/>
        </w:rPr>
        <w:t xml:space="preserve"> </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BE2F31">
        <w:rPr>
          <w:rFonts w:ascii="Arial" w:hAnsi="Arial" w:cs="Arial"/>
          <w:sz w:val="22"/>
          <w:szCs w:val="22"/>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BE2F31" w:rsidRDefault="00BE2F31" w:rsidP="00BE2F31">
      <w:pPr>
        <w:tabs>
          <w:tab w:val="left" w:pos="1260"/>
          <w:tab w:val="left" w:pos="3969"/>
        </w:tabs>
        <w:spacing w:before="120"/>
        <w:ind w:left="3969"/>
        <w:rPr>
          <w:rFonts w:ascii="Arial" w:hAnsi="Arial" w:cs="Arial"/>
          <w:bCs/>
          <w:color w:val="000000"/>
          <w:sz w:val="22"/>
          <w:szCs w:val="22"/>
        </w:rPr>
      </w:pP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3A3CEB">
        <w:rPr>
          <w:rFonts w:ascii="Arial" w:hAnsi="Arial" w:cs="Arial"/>
          <w:sz w:val="22"/>
          <w:szCs w:val="22"/>
        </w:rPr>
        <w:t>Česká Spořitelna a.s.</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bookmarkStart w:id="0" w:name="_GoBack"/>
      <w:bookmarkEnd w:id="0"/>
    </w:p>
    <w:p w:rsidR="003755DC" w:rsidRPr="00386410" w:rsidRDefault="003755DC" w:rsidP="003755DC">
      <w:pPr>
        <w:tabs>
          <w:tab w:val="left" w:pos="3960"/>
        </w:tabs>
        <w:jc w:val="both"/>
        <w:rPr>
          <w:rFonts w:ascii="Arial" w:hAnsi="Arial" w:cs="Arial"/>
          <w:sz w:val="22"/>
          <w:szCs w:val="22"/>
        </w:rPr>
      </w:pPr>
    </w:p>
    <w:p w:rsidR="003755DC" w:rsidRPr="00386410" w:rsidRDefault="00161496" w:rsidP="003755DC">
      <w:pPr>
        <w:jc w:val="both"/>
        <w:rPr>
          <w:rFonts w:ascii="Arial" w:hAnsi="Arial" w:cs="Arial"/>
          <w:sz w:val="22"/>
          <w:szCs w:val="22"/>
        </w:rPr>
      </w:pPr>
      <w:r>
        <w:rPr>
          <w:rFonts w:ascii="Arial" w:hAnsi="Arial" w:cs="Arial"/>
          <w:sz w:val="22"/>
          <w:szCs w:val="22"/>
        </w:rPr>
        <w:t>Dodavatel</w:t>
      </w:r>
      <w:r w:rsidR="003755DC" w:rsidRPr="00386410">
        <w:rPr>
          <w:rFonts w:ascii="Arial" w:hAnsi="Arial" w:cs="Arial"/>
          <w:sz w:val="22"/>
          <w:szCs w:val="22"/>
        </w:rPr>
        <w:t xml:space="preserve"> je zapsán v Obchodním rejstříku</w:t>
      </w:r>
      <w:r w:rsidR="003A3CEB">
        <w:rPr>
          <w:rFonts w:ascii="Arial" w:hAnsi="Arial" w:cs="Arial"/>
          <w:sz w:val="22"/>
          <w:szCs w:val="22"/>
        </w:rPr>
        <w:t xml:space="preserve"> u Krajského soudu v Ústí nad Labem v oddílu C</w:t>
      </w:r>
      <w:r w:rsidR="003755DC" w:rsidRPr="00386410">
        <w:rPr>
          <w:rFonts w:ascii="Arial" w:hAnsi="Arial" w:cs="Arial"/>
          <w:sz w:val="22"/>
          <w:szCs w:val="22"/>
        </w:rPr>
        <w:t xml:space="preserve">, vložce č. </w:t>
      </w:r>
      <w:r w:rsidR="003A3CEB">
        <w:rPr>
          <w:rFonts w:ascii="Arial" w:hAnsi="Arial" w:cs="Arial"/>
          <w:sz w:val="22"/>
          <w:szCs w:val="22"/>
        </w:rPr>
        <w:t>28925</w:t>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sz w:val="22"/>
          <w:szCs w:val="22"/>
        </w:rPr>
      </w:pPr>
      <w:r>
        <w:rPr>
          <w:rFonts w:ascii="Arial" w:hAnsi="Arial" w:cs="Arial"/>
          <w:sz w:val="22"/>
          <w:szCs w:val="22"/>
        </w:rPr>
        <w:t>(dále jen „</w:t>
      </w:r>
      <w:r w:rsidR="009A4425">
        <w:rPr>
          <w:rFonts w:ascii="Arial" w:hAnsi="Arial" w:cs="Arial"/>
          <w:sz w:val="22"/>
          <w:szCs w:val="22"/>
        </w:rPr>
        <w:t>dodavatel</w:t>
      </w:r>
      <w:r w:rsidR="003755DC">
        <w:rPr>
          <w:rFonts w:ascii="Arial" w:hAnsi="Arial" w:cs="Arial"/>
          <w:sz w:val="22"/>
          <w:szCs w:val="22"/>
        </w:rPr>
        <w:t>“) na straně druhé.</w:t>
      </w:r>
    </w:p>
    <w:p w:rsidR="009A4425" w:rsidRDefault="009A4425" w:rsidP="003755DC">
      <w:pPr>
        <w:widowControl w:val="0"/>
        <w:spacing w:line="240" w:lineRule="atLeast"/>
        <w:rPr>
          <w:rFonts w:ascii="Arial" w:hAnsi="Arial" w:cs="Arial"/>
          <w:color w:val="000000"/>
          <w:sz w:val="22"/>
          <w:szCs w:val="22"/>
        </w:rPr>
      </w:pPr>
    </w:p>
    <w:p w:rsidR="008174C4" w:rsidRDefault="009A4425" w:rsidP="00BD226A">
      <w:pPr>
        <w:widowControl w:val="0"/>
        <w:spacing w:line="276" w:lineRule="auto"/>
        <w:jc w:val="center"/>
        <w:rPr>
          <w:rFonts w:ascii="Arial" w:hAnsi="Arial" w:cs="Arial"/>
          <w:color w:val="000000"/>
          <w:sz w:val="22"/>
          <w:szCs w:val="22"/>
        </w:rPr>
      </w:pPr>
      <w:r>
        <w:rPr>
          <w:rFonts w:ascii="Arial" w:hAnsi="Arial" w:cs="Arial"/>
          <w:color w:val="000000"/>
          <w:sz w:val="22"/>
          <w:szCs w:val="22"/>
        </w:rPr>
        <w:t>uzavřeli níže uvedeného dne, měsíce a roku následující</w:t>
      </w:r>
    </w:p>
    <w:p w:rsidR="00325FE2" w:rsidRDefault="009A4425" w:rsidP="00BD226A">
      <w:pPr>
        <w:widowControl w:val="0"/>
        <w:spacing w:line="276" w:lineRule="auto"/>
        <w:jc w:val="center"/>
        <w:rPr>
          <w:rFonts w:ascii="Arial" w:hAnsi="Arial" w:cs="Arial"/>
          <w:color w:val="000000"/>
          <w:sz w:val="22"/>
          <w:szCs w:val="22"/>
        </w:rPr>
      </w:pPr>
      <w:r>
        <w:rPr>
          <w:rFonts w:ascii="Arial" w:hAnsi="Arial" w:cs="Arial"/>
          <w:color w:val="000000"/>
          <w:sz w:val="22"/>
          <w:szCs w:val="22"/>
        </w:rPr>
        <w:br/>
        <w:t>SMLOUVU O POSKYTOVÁNÍ BEZPRČNOSTNÍCH SLUŽEB</w:t>
      </w:r>
    </w:p>
    <w:p w:rsidR="00325FE2" w:rsidRPr="009A4425" w:rsidRDefault="00325FE2" w:rsidP="00325FE2">
      <w:pPr>
        <w:jc w:val="center"/>
        <w:rPr>
          <w:rFonts w:ascii="Arial" w:hAnsi="Arial" w:cs="Arial"/>
          <w:sz w:val="22"/>
          <w:szCs w:val="22"/>
        </w:rPr>
      </w:pPr>
      <w:r w:rsidRPr="009A4425">
        <w:rPr>
          <w:rFonts w:ascii="Arial" w:hAnsi="Arial" w:cs="Arial"/>
          <w:sz w:val="22"/>
          <w:szCs w:val="22"/>
        </w:rPr>
        <w:t xml:space="preserve">„PD Teplice – zajištění provozu zabezpečovacího systému včetně řízení vstupního </w:t>
      </w:r>
      <w:r>
        <w:rPr>
          <w:rFonts w:ascii="Arial" w:hAnsi="Arial" w:cs="Arial"/>
          <w:sz w:val="22"/>
          <w:szCs w:val="22"/>
        </w:rPr>
        <w:br/>
      </w:r>
      <w:r w:rsidRPr="009A4425">
        <w:rPr>
          <w:rFonts w:ascii="Arial" w:hAnsi="Arial" w:cs="Arial"/>
          <w:sz w:val="22"/>
          <w:szCs w:val="22"/>
        </w:rPr>
        <w:t>systému do objektu a revizní činnosti“</w:t>
      </w:r>
    </w:p>
    <w:p w:rsidR="009A4425" w:rsidRDefault="009A4425" w:rsidP="00325FE2">
      <w:pPr>
        <w:widowControl w:val="0"/>
        <w:spacing w:line="276" w:lineRule="auto"/>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br/>
        <w:t>podle §1746 odst.2, zákona č.89/2012Sb., občanského zákoníku, ve znění pozdějších předpisů</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footerReference w:type="default" r:id="rId8"/>
          <w:pgSz w:w="11906" w:h="16838"/>
          <w:pgMar w:top="1134" w:right="1418" w:bottom="1134" w:left="1418" w:header="709" w:footer="709" w:gutter="0"/>
          <w:cols w:space="708"/>
        </w:sectPr>
      </w:pPr>
    </w:p>
    <w:p w:rsidR="009A4425" w:rsidRPr="009A4425" w:rsidRDefault="00661EDA" w:rsidP="009A4425">
      <w:pPr>
        <w:pStyle w:val="Zkladntext"/>
        <w:widowControl/>
        <w:spacing w:before="120" w:after="240"/>
        <w:jc w:val="center"/>
        <w:rPr>
          <w:rFonts w:cs="Arial"/>
          <w:sz w:val="22"/>
          <w:szCs w:val="22"/>
        </w:rPr>
      </w:pPr>
      <w:r w:rsidRPr="00386410">
        <w:rPr>
          <w:rFonts w:cs="Arial"/>
          <w:b/>
          <w:sz w:val="22"/>
          <w:szCs w:val="22"/>
          <w:u w:val="single"/>
        </w:rPr>
        <w:lastRenderedPageBreak/>
        <w:t xml:space="preserve">Čl. II. PŘEDMĚT </w:t>
      </w:r>
      <w:r w:rsidR="009A4425">
        <w:rPr>
          <w:rFonts w:cs="Arial"/>
          <w:b/>
          <w:sz w:val="22"/>
          <w:szCs w:val="22"/>
          <w:u w:val="single"/>
        </w:rPr>
        <w:t>PLNĚNÍ</w:t>
      </w:r>
    </w:p>
    <w:p w:rsidR="009A4425" w:rsidRPr="009A4425" w:rsidRDefault="009A4425" w:rsidP="001D61AC">
      <w:pPr>
        <w:pStyle w:val="Zkladntext"/>
        <w:widowControl/>
        <w:numPr>
          <w:ilvl w:val="0"/>
          <w:numId w:val="1"/>
        </w:numPr>
        <w:spacing w:after="240"/>
        <w:ind w:left="426" w:hanging="426"/>
        <w:jc w:val="both"/>
        <w:rPr>
          <w:rFonts w:cs="Arial"/>
          <w:b/>
          <w:color w:val="auto"/>
          <w:sz w:val="22"/>
          <w:szCs w:val="22"/>
        </w:rPr>
      </w:pPr>
      <w:r>
        <w:rPr>
          <w:rFonts w:cs="Arial"/>
          <w:color w:val="auto"/>
          <w:sz w:val="22"/>
          <w:szCs w:val="22"/>
        </w:rPr>
        <w:t>Předmětem této smlouvy je závazek zajištění bezpečnostních služeb</w:t>
      </w:r>
      <w:r w:rsidR="00D1733E">
        <w:rPr>
          <w:rFonts w:cs="Arial"/>
          <w:color w:val="auto"/>
          <w:sz w:val="22"/>
          <w:szCs w:val="22"/>
        </w:rPr>
        <w:t xml:space="preserve"> </w:t>
      </w:r>
      <w:r>
        <w:rPr>
          <w:rFonts w:cs="Arial"/>
          <w:color w:val="auto"/>
          <w:sz w:val="22"/>
          <w:szCs w:val="22"/>
        </w:rPr>
        <w:t>ostrahy</w:t>
      </w:r>
      <w:r w:rsidR="00C75D08">
        <w:rPr>
          <w:rFonts w:cs="Arial"/>
          <w:color w:val="auto"/>
          <w:sz w:val="22"/>
          <w:szCs w:val="22"/>
        </w:rPr>
        <w:t xml:space="preserve"> - ochrany majetku a osob</w:t>
      </w:r>
      <w:r w:rsidR="00D1733E">
        <w:rPr>
          <w:rFonts w:cs="Arial"/>
          <w:color w:val="auto"/>
          <w:sz w:val="22"/>
          <w:szCs w:val="22"/>
        </w:rPr>
        <w:t xml:space="preserve"> (ostraha PCO) </w:t>
      </w:r>
      <w:r w:rsidR="00C75D08">
        <w:rPr>
          <w:rFonts w:cs="Arial"/>
          <w:color w:val="auto"/>
          <w:sz w:val="22"/>
          <w:szCs w:val="22"/>
        </w:rPr>
        <w:t>dodavatelem vůči objednateli a to v rozsahu a za podmínek uvedených v této smlouvě</w:t>
      </w:r>
      <w:r w:rsidR="000A00BD">
        <w:rPr>
          <w:rFonts w:cs="Arial"/>
          <w:color w:val="auto"/>
          <w:sz w:val="22"/>
          <w:szCs w:val="22"/>
        </w:rPr>
        <w:t>.</w:t>
      </w:r>
      <w:r w:rsidR="00C75D08">
        <w:rPr>
          <w:rFonts w:cs="Arial"/>
          <w:color w:val="auto"/>
          <w:sz w:val="22"/>
          <w:szCs w:val="22"/>
        </w:rPr>
        <w:t xml:space="preserve">  </w:t>
      </w:r>
    </w:p>
    <w:p w:rsidR="00932429" w:rsidRPr="00932429" w:rsidRDefault="009E5269" w:rsidP="001D61AC">
      <w:pPr>
        <w:pStyle w:val="Zkladntext"/>
        <w:widowControl/>
        <w:numPr>
          <w:ilvl w:val="0"/>
          <w:numId w:val="1"/>
        </w:numPr>
        <w:spacing w:after="240"/>
        <w:ind w:left="426" w:hanging="426"/>
        <w:jc w:val="both"/>
        <w:rPr>
          <w:rFonts w:cs="Arial"/>
          <w:b/>
          <w:color w:val="auto"/>
          <w:sz w:val="22"/>
          <w:szCs w:val="22"/>
        </w:rPr>
      </w:pPr>
      <w:r w:rsidRPr="00E2540E">
        <w:rPr>
          <w:rFonts w:cs="Arial"/>
          <w:color w:val="auto"/>
          <w:sz w:val="22"/>
          <w:szCs w:val="22"/>
        </w:rPr>
        <w:t xml:space="preserve">Předmětem </w:t>
      </w:r>
      <w:r w:rsidR="00C75D08">
        <w:rPr>
          <w:rFonts w:cs="Arial"/>
          <w:color w:val="auto"/>
          <w:sz w:val="22"/>
          <w:szCs w:val="22"/>
        </w:rPr>
        <w:t>plnění</w:t>
      </w:r>
      <w:r w:rsidRPr="00E2540E">
        <w:rPr>
          <w:rFonts w:cs="Arial"/>
          <w:color w:val="auto"/>
          <w:sz w:val="22"/>
          <w:szCs w:val="22"/>
        </w:rPr>
        <w:t xml:space="preserve"> je zajištění NONSTOP dohledu (24/7)</w:t>
      </w:r>
      <w:r w:rsidR="00D1733E">
        <w:rPr>
          <w:rFonts w:cs="Arial"/>
          <w:color w:val="auto"/>
          <w:sz w:val="22"/>
          <w:szCs w:val="22"/>
        </w:rPr>
        <w:t xml:space="preserve"> prostřednictvím</w:t>
      </w:r>
      <w:r w:rsidRPr="00E2540E">
        <w:rPr>
          <w:rFonts w:cs="Arial"/>
          <w:color w:val="auto"/>
          <w:sz w:val="22"/>
          <w:szCs w:val="22"/>
        </w:rPr>
        <w:t xml:space="preserve"> </w:t>
      </w:r>
      <w:r w:rsidR="00D1733E">
        <w:rPr>
          <w:rFonts w:cs="Arial"/>
          <w:color w:val="auto"/>
          <w:sz w:val="22"/>
          <w:szCs w:val="22"/>
        </w:rPr>
        <w:t xml:space="preserve">PCO </w:t>
      </w:r>
      <w:r w:rsidRPr="00E2540E">
        <w:rPr>
          <w:rFonts w:cs="Arial"/>
          <w:color w:val="auto"/>
          <w:sz w:val="22"/>
          <w:szCs w:val="22"/>
        </w:rPr>
        <w:t>nad objektem PD Teplice</w:t>
      </w:r>
      <w:r w:rsidR="00D1733E">
        <w:rPr>
          <w:rFonts w:cs="Arial"/>
          <w:color w:val="auto"/>
          <w:sz w:val="22"/>
          <w:szCs w:val="22"/>
        </w:rPr>
        <w:t xml:space="preserve"> nacházející se na adrese: Povodí Ohře, </w:t>
      </w:r>
      <w:proofErr w:type="spellStart"/>
      <w:r w:rsidR="00D1733E">
        <w:rPr>
          <w:rFonts w:cs="Arial"/>
          <w:color w:val="auto"/>
          <w:sz w:val="22"/>
          <w:szCs w:val="22"/>
        </w:rPr>
        <w:t>s.p</w:t>
      </w:r>
      <w:proofErr w:type="spellEnd"/>
      <w:r w:rsidR="00D1733E">
        <w:rPr>
          <w:rFonts w:cs="Arial"/>
          <w:color w:val="auto"/>
          <w:sz w:val="22"/>
          <w:szCs w:val="22"/>
        </w:rPr>
        <w:t xml:space="preserve">., </w:t>
      </w:r>
      <w:proofErr w:type="spellStart"/>
      <w:r w:rsidR="00D1733E" w:rsidRPr="00D1733E">
        <w:rPr>
          <w:rFonts w:cs="Arial"/>
          <w:color w:val="auto"/>
          <w:sz w:val="22"/>
          <w:szCs w:val="22"/>
          <w:shd w:val="clear" w:color="auto" w:fill="FFFFFF"/>
        </w:rPr>
        <w:t>Novosedlická</w:t>
      </w:r>
      <w:proofErr w:type="spellEnd"/>
      <w:r w:rsidR="00D1733E" w:rsidRPr="00D1733E">
        <w:rPr>
          <w:rFonts w:cs="Arial"/>
          <w:color w:val="auto"/>
          <w:sz w:val="22"/>
          <w:szCs w:val="22"/>
          <w:shd w:val="clear" w:color="auto" w:fill="FFFFFF"/>
        </w:rPr>
        <w:t xml:space="preserve"> 758, 415 01 Teplice</w:t>
      </w:r>
      <w:r w:rsidR="00D1733E">
        <w:rPr>
          <w:rFonts w:cs="Arial"/>
          <w:color w:val="auto"/>
          <w:sz w:val="22"/>
          <w:szCs w:val="22"/>
          <w:shd w:val="clear" w:color="auto" w:fill="FFFFFF"/>
        </w:rPr>
        <w:t xml:space="preserve">. Dodavatel dále zajišťuje </w:t>
      </w:r>
      <w:r w:rsidRPr="00E2540E">
        <w:rPr>
          <w:rFonts w:cs="Arial"/>
          <w:color w:val="auto"/>
          <w:sz w:val="22"/>
          <w:szCs w:val="22"/>
        </w:rPr>
        <w:t>dohled nad kamerovým systémem</w:t>
      </w:r>
      <w:r w:rsidR="00FC0757">
        <w:rPr>
          <w:rFonts w:cs="Arial"/>
          <w:color w:val="auto"/>
          <w:sz w:val="22"/>
          <w:szCs w:val="22"/>
        </w:rPr>
        <w:t>,</w:t>
      </w:r>
      <w:r w:rsidR="00D1733E">
        <w:rPr>
          <w:rFonts w:cs="Arial"/>
          <w:color w:val="auto"/>
          <w:sz w:val="22"/>
          <w:szCs w:val="22"/>
        </w:rPr>
        <w:t xml:space="preserve"> realizuje</w:t>
      </w:r>
      <w:r w:rsidRPr="00E2540E">
        <w:rPr>
          <w:rFonts w:cs="Arial"/>
          <w:color w:val="auto"/>
          <w:sz w:val="22"/>
          <w:szCs w:val="22"/>
        </w:rPr>
        <w:t xml:space="preserve"> jeho kontroly</w:t>
      </w:r>
      <w:r w:rsidR="00FC0757">
        <w:rPr>
          <w:rFonts w:cs="Arial"/>
          <w:color w:val="auto"/>
          <w:sz w:val="22"/>
          <w:szCs w:val="22"/>
        </w:rPr>
        <w:t xml:space="preserve"> a revizní činnosti (</w:t>
      </w:r>
      <w:r w:rsidR="00CC5489">
        <w:rPr>
          <w:rFonts w:cs="Arial"/>
          <w:color w:val="auto"/>
          <w:sz w:val="22"/>
          <w:szCs w:val="22"/>
        </w:rPr>
        <w:t>1</w:t>
      </w:r>
      <w:r w:rsidR="00FC0757">
        <w:rPr>
          <w:rFonts w:cs="Arial"/>
          <w:color w:val="auto"/>
          <w:sz w:val="22"/>
          <w:szCs w:val="22"/>
        </w:rPr>
        <w:t xml:space="preserve">x </w:t>
      </w:r>
      <w:r w:rsidR="00CC5489">
        <w:rPr>
          <w:rFonts w:cs="Arial"/>
          <w:color w:val="auto"/>
          <w:sz w:val="22"/>
          <w:szCs w:val="22"/>
        </w:rPr>
        <w:t>6 měsíců</w:t>
      </w:r>
      <w:r w:rsidR="00FC0757">
        <w:rPr>
          <w:rFonts w:cs="Arial"/>
          <w:color w:val="auto"/>
          <w:sz w:val="22"/>
          <w:szCs w:val="22"/>
        </w:rPr>
        <w:t xml:space="preserve"> revize /funkční zkouška zabezpečovacího a vstupového systému)</w:t>
      </w:r>
      <w:r w:rsidRPr="00E2540E">
        <w:rPr>
          <w:rFonts w:cs="Arial"/>
          <w:color w:val="auto"/>
          <w:sz w:val="22"/>
          <w:szCs w:val="22"/>
        </w:rPr>
        <w:t xml:space="preserve">. </w:t>
      </w:r>
      <w:r w:rsidR="00E2540E">
        <w:rPr>
          <w:rFonts w:cs="Arial"/>
          <w:color w:val="auto"/>
          <w:sz w:val="22"/>
          <w:szCs w:val="22"/>
        </w:rPr>
        <w:t xml:space="preserve">V </w:t>
      </w:r>
      <w:r w:rsidRPr="00E2540E">
        <w:rPr>
          <w:rFonts w:cs="Arial"/>
          <w:color w:val="auto"/>
          <w:sz w:val="22"/>
          <w:szCs w:val="22"/>
        </w:rPr>
        <w:t xml:space="preserve">případě nedostupnosti kontaktových zaměstnanců </w:t>
      </w:r>
      <w:proofErr w:type="spellStart"/>
      <w:r w:rsidRPr="00E2540E">
        <w:rPr>
          <w:rFonts w:cs="Arial"/>
          <w:color w:val="auto"/>
          <w:sz w:val="22"/>
          <w:szCs w:val="22"/>
        </w:rPr>
        <w:t>POh</w:t>
      </w:r>
      <w:proofErr w:type="spellEnd"/>
      <w:r w:rsidRPr="00E2540E">
        <w:rPr>
          <w:rFonts w:cs="Arial"/>
          <w:color w:val="auto"/>
          <w:sz w:val="22"/>
          <w:szCs w:val="22"/>
        </w:rPr>
        <w:t>, zajišťuje dohledové centrum vstup do objektu</w:t>
      </w:r>
      <w:r w:rsidR="00E2540E">
        <w:rPr>
          <w:rFonts w:cs="Arial"/>
          <w:color w:val="auto"/>
          <w:sz w:val="22"/>
          <w:szCs w:val="22"/>
        </w:rPr>
        <w:t>, součinnost při řešení mimořádných situací</w:t>
      </w:r>
      <w:r w:rsidR="00DF202C">
        <w:rPr>
          <w:rFonts w:cs="Arial"/>
          <w:color w:val="auto"/>
          <w:sz w:val="22"/>
          <w:szCs w:val="22"/>
        </w:rPr>
        <w:t>,</w:t>
      </w:r>
      <w:r w:rsidR="00E2540E">
        <w:rPr>
          <w:rFonts w:cs="Arial"/>
          <w:color w:val="auto"/>
          <w:sz w:val="22"/>
          <w:szCs w:val="22"/>
        </w:rPr>
        <w:t xml:space="preserve"> vzdálenou správu systému tzn. změny uživatelských kódů, nastavení systému </w:t>
      </w:r>
      <w:proofErr w:type="gramStart"/>
      <w:r w:rsidR="00E2540E">
        <w:rPr>
          <w:rFonts w:cs="Arial"/>
          <w:color w:val="auto"/>
          <w:sz w:val="22"/>
          <w:szCs w:val="22"/>
        </w:rPr>
        <w:t>atp..</w:t>
      </w:r>
      <w:proofErr w:type="gramEnd"/>
      <w:r w:rsidR="00DF202C">
        <w:rPr>
          <w:rFonts w:cs="Arial"/>
          <w:color w:val="auto"/>
          <w:sz w:val="22"/>
          <w:szCs w:val="22"/>
        </w:rPr>
        <w:t xml:space="preserve"> Montáž komunikátoru zajišťující komunikaci mezi EZS, CCTV, a PCO, včetně jeho případné výměny v případě poruchy. Dále zajišťuje pohotovost výjezdové skupiny,</w:t>
      </w:r>
      <w:r w:rsidR="005A3409">
        <w:rPr>
          <w:rFonts w:cs="Arial"/>
          <w:color w:val="auto"/>
          <w:sz w:val="22"/>
          <w:szCs w:val="22"/>
        </w:rPr>
        <w:t xml:space="preserve"> </w:t>
      </w:r>
      <w:r w:rsidR="00DF202C">
        <w:rPr>
          <w:rFonts w:cs="Arial"/>
          <w:color w:val="auto"/>
          <w:sz w:val="22"/>
          <w:szCs w:val="22"/>
        </w:rPr>
        <w:t>odpovědnost do výše 5 000 000,- Kč</w:t>
      </w:r>
      <w:r w:rsidR="005A3409">
        <w:rPr>
          <w:rFonts w:cs="Arial"/>
          <w:color w:val="auto"/>
          <w:sz w:val="22"/>
          <w:szCs w:val="22"/>
        </w:rPr>
        <w:t>, režim náhradního plnění dle ustanovení §81 dost. 2 písm. b) zákona o zaměstnanosti</w:t>
      </w:r>
      <w:r w:rsidR="0052439C">
        <w:rPr>
          <w:rFonts w:cs="Arial"/>
          <w:color w:val="auto"/>
          <w:sz w:val="22"/>
          <w:szCs w:val="22"/>
        </w:rPr>
        <w:t>.</w:t>
      </w:r>
      <w:r w:rsidR="005A3409">
        <w:rPr>
          <w:rFonts w:cs="Arial"/>
          <w:color w:val="auto"/>
          <w:sz w:val="22"/>
          <w:szCs w:val="22"/>
        </w:rPr>
        <w:t xml:space="preserve"> </w:t>
      </w:r>
    </w:p>
    <w:p w:rsidR="00932429" w:rsidRPr="00932429" w:rsidRDefault="00932429" w:rsidP="001D61AC">
      <w:pPr>
        <w:pStyle w:val="Zkladntext"/>
        <w:widowControl/>
        <w:numPr>
          <w:ilvl w:val="0"/>
          <w:numId w:val="1"/>
        </w:numPr>
        <w:spacing w:after="240"/>
        <w:ind w:left="426" w:hanging="426"/>
        <w:jc w:val="both"/>
        <w:rPr>
          <w:rFonts w:cs="Arial"/>
          <w:b/>
          <w:color w:val="auto"/>
          <w:sz w:val="22"/>
          <w:szCs w:val="22"/>
        </w:rPr>
      </w:pPr>
      <w:r>
        <w:rPr>
          <w:rFonts w:cs="Arial"/>
          <w:color w:val="auto"/>
          <w:sz w:val="22"/>
          <w:szCs w:val="22"/>
        </w:rPr>
        <w:t>Dodavatel se zavazuje vykonávat předmět plnění tak, aby nedošlo ke škodám na předmětném majetku objednatele a prokáže, že je na tyto škody pojištěn min. vždy na období aktuálního kalendářního roku.</w:t>
      </w:r>
    </w:p>
    <w:p w:rsidR="0052439C" w:rsidRPr="0052439C" w:rsidRDefault="00932429" w:rsidP="001D61AC">
      <w:pPr>
        <w:pStyle w:val="Zkladntext"/>
        <w:widowControl/>
        <w:numPr>
          <w:ilvl w:val="0"/>
          <w:numId w:val="1"/>
        </w:numPr>
        <w:spacing w:after="240"/>
        <w:ind w:left="426" w:hanging="426"/>
        <w:jc w:val="both"/>
        <w:rPr>
          <w:rFonts w:cs="Arial"/>
          <w:b/>
          <w:color w:val="auto"/>
          <w:sz w:val="22"/>
          <w:szCs w:val="22"/>
        </w:rPr>
      </w:pPr>
      <w:r>
        <w:rPr>
          <w:rFonts w:cs="Arial"/>
          <w:color w:val="auto"/>
          <w:sz w:val="22"/>
          <w:szCs w:val="22"/>
        </w:rPr>
        <w:t>Dodavatel neprodleně oznámí písemnou formou objednateli případné překážky, které brání dodavateli v řádném plnění předmětu smlouvy.</w:t>
      </w:r>
    </w:p>
    <w:p w:rsidR="00911726" w:rsidRPr="00E2540E" w:rsidRDefault="0052439C" w:rsidP="001D61AC">
      <w:pPr>
        <w:pStyle w:val="Zkladntext"/>
        <w:widowControl/>
        <w:numPr>
          <w:ilvl w:val="0"/>
          <w:numId w:val="1"/>
        </w:numPr>
        <w:spacing w:after="240"/>
        <w:ind w:left="426" w:hanging="426"/>
        <w:jc w:val="both"/>
        <w:rPr>
          <w:rFonts w:cs="Arial"/>
          <w:b/>
          <w:color w:val="auto"/>
          <w:sz w:val="22"/>
          <w:szCs w:val="22"/>
        </w:rPr>
      </w:pPr>
      <w:r>
        <w:rPr>
          <w:rFonts w:cs="Arial"/>
          <w:color w:val="auto"/>
          <w:sz w:val="22"/>
          <w:szCs w:val="22"/>
        </w:rPr>
        <w:t xml:space="preserve">Dodavatel prohlašuje, že zaměstnává v souladu s příslušnými ustanoveními zákona č. 435/2004 Sb., o zaměstnanosti (dále jen „zákon o zaměstnanosti“), ve znění pozdějších předpisů, více než </w:t>
      </w:r>
      <w:proofErr w:type="gramStart"/>
      <w:r>
        <w:rPr>
          <w:rFonts w:cs="Arial"/>
          <w:color w:val="auto"/>
          <w:sz w:val="22"/>
          <w:szCs w:val="22"/>
        </w:rPr>
        <w:t>50%</w:t>
      </w:r>
      <w:proofErr w:type="gramEnd"/>
      <w:r>
        <w:rPr>
          <w:rFonts w:cs="Arial"/>
          <w:color w:val="auto"/>
          <w:sz w:val="22"/>
          <w:szCs w:val="22"/>
        </w:rPr>
        <w:t xml:space="preserve"> zaměstnanců se zdravotním postižením a splňuje další podmínky, pro účely výpočtu možnosti poskytování náhradního plnění dle § 81 zákona o zaměstnanosti. Dodavatel je veden v </w:t>
      </w:r>
      <w:proofErr w:type="gramStart"/>
      <w:r>
        <w:rPr>
          <w:rFonts w:cs="Arial"/>
          <w:color w:val="auto"/>
          <w:sz w:val="22"/>
          <w:szCs w:val="22"/>
        </w:rPr>
        <w:t>registru - seznamu</w:t>
      </w:r>
      <w:proofErr w:type="gramEnd"/>
      <w:r>
        <w:rPr>
          <w:rFonts w:cs="Arial"/>
          <w:color w:val="auto"/>
          <w:sz w:val="22"/>
          <w:szCs w:val="22"/>
        </w:rPr>
        <w:t xml:space="preserve"> dodavatelů náhradního plnění při MPSV a je oprávněn poskytovat třetím osobám náhradní plnění v souladu s platnými právními předpisy, zejména se zákonem o zaměstnanosti. </w:t>
      </w:r>
      <w:r w:rsidR="00932429">
        <w:rPr>
          <w:rFonts w:cs="Arial"/>
          <w:color w:val="auto"/>
          <w:sz w:val="22"/>
          <w:szCs w:val="22"/>
        </w:rPr>
        <w:t xml:space="preserve">  </w:t>
      </w:r>
      <w:r w:rsidR="00DF202C">
        <w:rPr>
          <w:rFonts w:cs="Arial"/>
          <w:color w:val="auto"/>
          <w:sz w:val="22"/>
          <w:szCs w:val="22"/>
        </w:rPr>
        <w:t xml:space="preserve"> </w:t>
      </w:r>
      <w:r w:rsidR="009E5269" w:rsidRPr="00E2540E">
        <w:rPr>
          <w:rFonts w:cs="Arial"/>
          <w:color w:val="auto"/>
          <w:sz w:val="22"/>
          <w:szCs w:val="22"/>
        </w:rPr>
        <w:t xml:space="preserve">   </w:t>
      </w: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 xml:space="preserve">Čl. III. </w:t>
      </w:r>
      <w:r w:rsidR="0052439C">
        <w:rPr>
          <w:rFonts w:cs="Arial"/>
          <w:b/>
          <w:sz w:val="22"/>
          <w:szCs w:val="22"/>
          <w:u w:val="single"/>
        </w:rPr>
        <w:t>ČAS A MÍSTO PLNĚNÍ SMLUVNÍHO ZÁVAZKU</w:t>
      </w:r>
    </w:p>
    <w:p w:rsidR="00FE1CDE" w:rsidRPr="00BF4735" w:rsidRDefault="0052439C" w:rsidP="00526132">
      <w:pPr>
        <w:pStyle w:val="Odstavecseseznamem"/>
        <w:numPr>
          <w:ilvl w:val="0"/>
          <w:numId w:val="41"/>
        </w:numPr>
        <w:overflowPunct/>
        <w:autoSpaceDE/>
        <w:autoSpaceDN/>
        <w:adjustRightInd/>
        <w:spacing w:after="240"/>
        <w:ind w:left="425" w:hanging="357"/>
        <w:contextualSpacing w:val="0"/>
        <w:jc w:val="both"/>
        <w:textAlignment w:val="auto"/>
        <w:rPr>
          <w:rFonts w:ascii="Arial" w:hAnsi="Arial" w:cs="Arial"/>
          <w:b/>
          <w:sz w:val="22"/>
          <w:szCs w:val="22"/>
        </w:rPr>
      </w:pPr>
      <w:r w:rsidRPr="00B034C5">
        <w:rPr>
          <w:rFonts w:ascii="Arial" w:hAnsi="Arial" w:cs="Arial"/>
          <w:color w:val="auto"/>
          <w:sz w:val="22"/>
          <w:szCs w:val="22"/>
        </w:rPr>
        <w:t>Předmět plnění dodavatel zabezpečí v období</w:t>
      </w:r>
      <w:r w:rsidRPr="0052439C">
        <w:rPr>
          <w:rFonts w:ascii="Arial" w:hAnsi="Arial" w:cs="Arial"/>
          <w:b/>
          <w:color w:val="auto"/>
          <w:sz w:val="22"/>
          <w:szCs w:val="22"/>
        </w:rPr>
        <w:t xml:space="preserve"> 0</w:t>
      </w:r>
      <w:r w:rsidR="00E21BE1">
        <w:rPr>
          <w:rFonts w:ascii="Arial" w:hAnsi="Arial" w:cs="Arial"/>
          <w:b/>
          <w:color w:val="auto"/>
          <w:sz w:val="22"/>
          <w:szCs w:val="22"/>
        </w:rPr>
        <w:t>1</w:t>
      </w:r>
      <w:r w:rsidRPr="0052439C">
        <w:rPr>
          <w:rFonts w:ascii="Arial" w:hAnsi="Arial" w:cs="Arial"/>
          <w:b/>
          <w:color w:val="auto"/>
          <w:sz w:val="22"/>
          <w:szCs w:val="22"/>
        </w:rPr>
        <w:t>.01.2023 – 31.12.2023</w:t>
      </w:r>
      <w:r w:rsidR="00997C7F" w:rsidRPr="0052439C">
        <w:rPr>
          <w:rFonts w:ascii="Arial" w:hAnsi="Arial" w:cs="Arial"/>
          <w:b/>
          <w:color w:val="auto"/>
          <w:sz w:val="22"/>
          <w:szCs w:val="22"/>
        </w:rPr>
        <w:t>.</w:t>
      </w:r>
    </w:p>
    <w:p w:rsidR="00BF4735" w:rsidRPr="0052439C" w:rsidRDefault="00BF4735" w:rsidP="00526132">
      <w:pPr>
        <w:pStyle w:val="Odstavecseseznamem"/>
        <w:numPr>
          <w:ilvl w:val="0"/>
          <w:numId w:val="41"/>
        </w:numPr>
        <w:overflowPunct/>
        <w:autoSpaceDE/>
        <w:autoSpaceDN/>
        <w:adjustRightInd/>
        <w:spacing w:after="240"/>
        <w:ind w:left="425" w:hanging="357"/>
        <w:contextualSpacing w:val="0"/>
        <w:jc w:val="both"/>
        <w:textAlignment w:val="auto"/>
        <w:rPr>
          <w:rFonts w:ascii="Arial" w:hAnsi="Arial" w:cs="Arial"/>
          <w:b/>
          <w:sz w:val="22"/>
          <w:szCs w:val="22"/>
        </w:rPr>
      </w:pPr>
      <w:r w:rsidRPr="00BF4735">
        <w:rPr>
          <w:rFonts w:ascii="Arial" w:hAnsi="Arial" w:cs="Arial"/>
          <w:color w:val="auto"/>
          <w:sz w:val="22"/>
          <w:szCs w:val="22"/>
        </w:rPr>
        <w:t xml:space="preserve">Místem plnění smluvního závazku je </w:t>
      </w:r>
      <w:r w:rsidRPr="00BF4735">
        <w:rPr>
          <w:rFonts w:ascii="Arial" w:hAnsi="Arial" w:cs="Arial"/>
          <w:b/>
          <w:color w:val="auto"/>
          <w:sz w:val="22"/>
          <w:szCs w:val="22"/>
        </w:rPr>
        <w:t>Povodňový dvůr Teplice</w:t>
      </w:r>
      <w:r>
        <w:rPr>
          <w:rFonts w:ascii="Arial" w:hAnsi="Arial" w:cs="Arial"/>
          <w:color w:val="auto"/>
          <w:sz w:val="22"/>
          <w:szCs w:val="22"/>
        </w:rPr>
        <w:t xml:space="preserve">. </w:t>
      </w: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r w:rsidR="00BF4735">
        <w:rPr>
          <w:rFonts w:cs="Arial"/>
          <w:b/>
          <w:sz w:val="22"/>
          <w:szCs w:val="22"/>
          <w:u w:val="single"/>
        </w:rPr>
        <w:t xml:space="preserve"> PLNĚNÍ</w:t>
      </w:r>
    </w:p>
    <w:p w:rsidR="00661EDA" w:rsidRPr="00846CCB" w:rsidRDefault="00661EDA" w:rsidP="00F97A9E">
      <w:pPr>
        <w:widowControl w:val="0"/>
        <w:numPr>
          <w:ilvl w:val="0"/>
          <w:numId w:val="13"/>
        </w:numPr>
        <w:spacing w:after="240"/>
        <w:jc w:val="both"/>
        <w:rPr>
          <w:rFonts w:ascii="Arial" w:hAnsi="Arial" w:cs="Arial"/>
          <w:sz w:val="22"/>
          <w:szCs w:val="22"/>
        </w:rPr>
      </w:pPr>
      <w:r w:rsidRPr="00846CCB">
        <w:rPr>
          <w:rFonts w:ascii="Arial" w:hAnsi="Arial" w:cs="Arial"/>
          <w:sz w:val="22"/>
          <w:szCs w:val="22"/>
        </w:rPr>
        <w:t xml:space="preserve">Cena </w:t>
      </w:r>
      <w:r w:rsidR="00BF4735">
        <w:rPr>
          <w:rFonts w:ascii="Arial" w:hAnsi="Arial" w:cs="Arial"/>
          <w:sz w:val="22"/>
          <w:szCs w:val="22"/>
        </w:rPr>
        <w:t>plnění se sjednává dohodou podle zákona č. 526/1990 Sb. o cenách, v platném znění a činí:</w:t>
      </w:r>
    </w:p>
    <w:p w:rsidR="00321D5C"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sidR="00FC0757">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C0757">
        <w:rPr>
          <w:rFonts w:ascii="Arial" w:hAnsi="Arial" w:cs="Arial"/>
          <w:b/>
          <w:sz w:val="22"/>
          <w:szCs w:val="22"/>
        </w:rPr>
        <w:t>328 500</w:t>
      </w:r>
      <w:r w:rsidR="00846CCB">
        <w:rPr>
          <w:rFonts w:ascii="Arial" w:hAnsi="Arial" w:cs="Arial"/>
          <w:b/>
          <w:sz w:val="22"/>
          <w:szCs w:val="22"/>
        </w:rPr>
        <w:t>,-</w:t>
      </w:r>
      <w:r w:rsidRPr="00D74A50">
        <w:rPr>
          <w:rFonts w:ascii="Arial" w:hAnsi="Arial" w:cs="Arial"/>
          <w:sz w:val="22"/>
          <w:szCs w:val="22"/>
        </w:rPr>
        <w:t xml:space="preserve"> Kč</w:t>
      </w:r>
    </w:p>
    <w:p w:rsidR="00846CCB" w:rsidRDefault="00846CCB" w:rsidP="00321D5C">
      <w:pPr>
        <w:ind w:firstLine="360"/>
        <w:jc w:val="both"/>
        <w:rPr>
          <w:rFonts w:ascii="Arial" w:hAnsi="Arial" w:cs="Arial"/>
          <w:sz w:val="22"/>
          <w:szCs w:val="22"/>
        </w:rPr>
      </w:pPr>
    </w:p>
    <w:p w:rsidR="00846CCB" w:rsidRDefault="00846CCB" w:rsidP="00846CCB">
      <w:pPr>
        <w:ind w:firstLine="360"/>
        <w:jc w:val="both"/>
        <w:rPr>
          <w:rFonts w:ascii="Arial" w:hAnsi="Arial" w:cs="Arial"/>
          <w:sz w:val="22"/>
          <w:szCs w:val="22"/>
        </w:rPr>
      </w:pPr>
      <w:r>
        <w:rPr>
          <w:rFonts w:ascii="Arial" w:hAnsi="Arial" w:cs="Arial"/>
          <w:sz w:val="22"/>
          <w:szCs w:val="22"/>
        </w:rPr>
        <w:t>Rozpad ceny:</w:t>
      </w:r>
    </w:p>
    <w:p w:rsidR="00846CCB" w:rsidRDefault="00FC0757" w:rsidP="00FC0757">
      <w:pPr>
        <w:ind w:firstLine="720"/>
        <w:jc w:val="both"/>
        <w:rPr>
          <w:rFonts w:ascii="Arial" w:hAnsi="Arial" w:cs="Arial"/>
          <w:sz w:val="22"/>
          <w:szCs w:val="22"/>
        </w:rPr>
      </w:pPr>
      <w:r>
        <w:rPr>
          <w:rFonts w:ascii="Arial" w:hAnsi="Arial" w:cs="Arial"/>
          <w:sz w:val="22"/>
          <w:szCs w:val="22"/>
        </w:rPr>
        <w:t>Měsíční paušál ostraha</w:t>
      </w:r>
      <w:r w:rsidR="00846CCB">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25 900</w:t>
      </w:r>
      <w:r w:rsidR="00846CCB">
        <w:rPr>
          <w:rFonts w:ascii="Arial" w:hAnsi="Arial" w:cs="Arial"/>
          <w:sz w:val="22"/>
          <w:szCs w:val="22"/>
        </w:rPr>
        <w:t>,- Kč/ měsíc</w:t>
      </w:r>
      <w:r w:rsidR="00846CCB">
        <w:rPr>
          <w:rFonts w:ascii="Arial" w:hAnsi="Arial" w:cs="Arial"/>
          <w:sz w:val="22"/>
          <w:szCs w:val="22"/>
        </w:rPr>
        <w:tab/>
      </w:r>
      <w:r w:rsidR="00846CCB">
        <w:rPr>
          <w:rFonts w:ascii="Arial" w:hAnsi="Arial" w:cs="Arial"/>
          <w:sz w:val="22"/>
          <w:szCs w:val="22"/>
        </w:rPr>
        <w:tab/>
      </w:r>
      <w:r>
        <w:rPr>
          <w:rFonts w:ascii="Arial" w:hAnsi="Arial" w:cs="Arial"/>
          <w:sz w:val="22"/>
          <w:szCs w:val="22"/>
        </w:rPr>
        <w:t>310 800</w:t>
      </w:r>
      <w:r w:rsidR="00846CCB">
        <w:rPr>
          <w:rFonts w:ascii="Arial" w:hAnsi="Arial" w:cs="Arial"/>
          <w:sz w:val="22"/>
          <w:szCs w:val="22"/>
        </w:rPr>
        <w:t>,- Kč</w:t>
      </w:r>
    </w:p>
    <w:p w:rsidR="00846CCB" w:rsidRDefault="00FC0757" w:rsidP="00FC0757">
      <w:pPr>
        <w:jc w:val="both"/>
        <w:rPr>
          <w:rFonts w:ascii="Arial" w:hAnsi="Arial" w:cs="Arial"/>
          <w:sz w:val="22"/>
          <w:szCs w:val="22"/>
        </w:rPr>
      </w:pPr>
      <w:r>
        <w:rPr>
          <w:rFonts w:ascii="Arial" w:hAnsi="Arial" w:cs="Arial"/>
          <w:sz w:val="22"/>
          <w:szCs w:val="22"/>
        </w:rPr>
        <w:tab/>
        <w:t>Půlroční revize/funkční zkouška</w:t>
      </w:r>
      <w:r w:rsidR="008D167A">
        <w:rPr>
          <w:rFonts w:ascii="Arial" w:hAnsi="Arial" w:cs="Arial"/>
          <w:sz w:val="22"/>
          <w:szCs w:val="22"/>
        </w:rPr>
        <w:tab/>
      </w:r>
      <w:r w:rsidR="00393237">
        <w:rPr>
          <w:rFonts w:ascii="Arial" w:hAnsi="Arial" w:cs="Arial"/>
          <w:sz w:val="22"/>
          <w:szCs w:val="22"/>
        </w:rPr>
        <w:t xml:space="preserve"> </w:t>
      </w:r>
      <w:r>
        <w:rPr>
          <w:rFonts w:ascii="Arial" w:hAnsi="Arial" w:cs="Arial"/>
          <w:sz w:val="22"/>
          <w:szCs w:val="22"/>
        </w:rPr>
        <w:t>8 850</w:t>
      </w:r>
      <w:r w:rsidR="00846CCB">
        <w:rPr>
          <w:rFonts w:ascii="Arial" w:hAnsi="Arial" w:cs="Arial"/>
          <w:sz w:val="22"/>
          <w:szCs w:val="22"/>
        </w:rPr>
        <w:t>,- Kč</w:t>
      </w:r>
      <w:r w:rsidR="00CF4853">
        <w:rPr>
          <w:rFonts w:ascii="Arial" w:hAnsi="Arial" w:cs="Arial"/>
          <w:sz w:val="22"/>
          <w:szCs w:val="22"/>
        </w:rPr>
        <w:t>/ 2x</w:t>
      </w:r>
      <w:r>
        <w:rPr>
          <w:rFonts w:ascii="Arial" w:hAnsi="Arial" w:cs="Arial"/>
          <w:sz w:val="22"/>
          <w:szCs w:val="22"/>
        </w:rPr>
        <w:t xml:space="preserve"> </w:t>
      </w:r>
      <w:r w:rsidR="00393237">
        <w:rPr>
          <w:rFonts w:ascii="Arial" w:hAnsi="Arial" w:cs="Arial"/>
          <w:sz w:val="22"/>
          <w:szCs w:val="22"/>
        </w:rPr>
        <w:t xml:space="preserve">    </w:t>
      </w:r>
      <w:r>
        <w:rPr>
          <w:rFonts w:ascii="Arial" w:hAnsi="Arial" w:cs="Arial"/>
          <w:sz w:val="22"/>
          <w:szCs w:val="22"/>
        </w:rPr>
        <w:tab/>
      </w:r>
      <w:r w:rsidR="00CF4853">
        <w:rPr>
          <w:rFonts w:ascii="Arial" w:hAnsi="Arial" w:cs="Arial"/>
          <w:sz w:val="22"/>
          <w:szCs w:val="22"/>
        </w:rPr>
        <w:tab/>
      </w:r>
      <w:r>
        <w:rPr>
          <w:rFonts w:ascii="Arial" w:hAnsi="Arial" w:cs="Arial"/>
          <w:sz w:val="22"/>
          <w:szCs w:val="22"/>
        </w:rPr>
        <w:t xml:space="preserve"> 17 700</w:t>
      </w:r>
      <w:r w:rsidR="00846CCB">
        <w:rPr>
          <w:rFonts w:ascii="Arial" w:hAnsi="Arial" w:cs="Arial"/>
          <w:sz w:val="22"/>
          <w:szCs w:val="22"/>
        </w:rPr>
        <w:t>,- Kč</w:t>
      </w:r>
    </w:p>
    <w:p w:rsidR="00B051A1" w:rsidRDefault="00FC0757" w:rsidP="0060531F">
      <w:pPr>
        <w:ind w:left="360"/>
        <w:jc w:val="both"/>
        <w:rPr>
          <w:rFonts w:ascii="Arial" w:hAnsi="Arial" w:cs="Arial"/>
          <w:sz w:val="22"/>
          <w:szCs w:val="22"/>
        </w:rPr>
      </w:pPr>
      <w:r>
        <w:rPr>
          <w:rFonts w:ascii="Arial" w:hAnsi="Arial" w:cs="Arial"/>
          <w:sz w:val="22"/>
          <w:szCs w:val="22"/>
        </w:rPr>
        <w:tab/>
        <w:t>zabezpeč. a vstup. systému</w:t>
      </w:r>
    </w:p>
    <w:p w:rsidR="00FC0757" w:rsidRDefault="00FC0757" w:rsidP="0060531F">
      <w:pPr>
        <w:ind w:left="360"/>
        <w:jc w:val="both"/>
        <w:rPr>
          <w:rFonts w:ascii="Arial" w:hAnsi="Arial" w:cs="Arial"/>
          <w:sz w:val="22"/>
          <w:szCs w:val="22"/>
        </w:rPr>
      </w:pPr>
    </w:p>
    <w:p w:rsidR="008D167A" w:rsidRDefault="008D167A" w:rsidP="0060531F">
      <w:pPr>
        <w:ind w:left="360"/>
        <w:jc w:val="both"/>
        <w:rPr>
          <w:rFonts w:ascii="Arial" w:hAnsi="Arial" w:cs="Arial"/>
          <w:sz w:val="22"/>
          <w:szCs w:val="22"/>
        </w:rPr>
      </w:pPr>
      <w:r>
        <w:rPr>
          <w:rFonts w:ascii="Arial" w:hAnsi="Arial" w:cs="Arial"/>
          <w:sz w:val="22"/>
          <w:szCs w:val="22"/>
        </w:rPr>
        <w:t xml:space="preserve">V případě uskutečnění výjezdu/ zásahu, budou účtovány ceny dle skutečnosti: </w:t>
      </w:r>
    </w:p>
    <w:p w:rsidR="00CF4853" w:rsidRDefault="008D167A" w:rsidP="0060531F">
      <w:pPr>
        <w:ind w:left="360"/>
        <w:jc w:val="both"/>
        <w:rPr>
          <w:rFonts w:ascii="Arial" w:hAnsi="Arial" w:cs="Arial"/>
          <w:sz w:val="22"/>
          <w:szCs w:val="22"/>
        </w:rPr>
      </w:pPr>
      <w:r>
        <w:rPr>
          <w:rFonts w:ascii="Arial" w:hAnsi="Arial" w:cs="Arial"/>
          <w:sz w:val="22"/>
          <w:szCs w:val="22"/>
        </w:rPr>
        <w:t xml:space="preserve">a) </w:t>
      </w:r>
      <w:r w:rsidR="00CF4853">
        <w:rPr>
          <w:rFonts w:ascii="Arial" w:hAnsi="Arial" w:cs="Arial"/>
          <w:sz w:val="22"/>
          <w:szCs w:val="22"/>
        </w:rPr>
        <w:t xml:space="preserve">Výjezd na objekt (ostraha PCO)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F4853">
        <w:rPr>
          <w:rFonts w:ascii="Arial" w:hAnsi="Arial" w:cs="Arial"/>
          <w:sz w:val="22"/>
          <w:szCs w:val="22"/>
        </w:rPr>
        <w:t xml:space="preserve"> </w:t>
      </w:r>
      <w:r w:rsidR="00CF4853">
        <w:rPr>
          <w:rFonts w:ascii="Arial" w:hAnsi="Arial" w:cs="Arial"/>
          <w:sz w:val="22"/>
          <w:szCs w:val="22"/>
        </w:rPr>
        <w:tab/>
        <w:t>350,- Kč/hod</w:t>
      </w:r>
    </w:p>
    <w:p w:rsidR="00CF4853" w:rsidRDefault="008D167A" w:rsidP="0060531F">
      <w:pPr>
        <w:ind w:left="360"/>
        <w:jc w:val="both"/>
        <w:rPr>
          <w:rFonts w:ascii="Arial" w:hAnsi="Arial" w:cs="Arial"/>
          <w:sz w:val="22"/>
          <w:szCs w:val="22"/>
        </w:rPr>
      </w:pPr>
      <w:r>
        <w:rPr>
          <w:rFonts w:ascii="Arial" w:hAnsi="Arial" w:cs="Arial"/>
          <w:sz w:val="22"/>
          <w:szCs w:val="22"/>
        </w:rPr>
        <w:t xml:space="preserve">b) </w:t>
      </w:r>
      <w:r w:rsidR="00CF4853">
        <w:rPr>
          <w:rFonts w:ascii="Arial" w:hAnsi="Arial" w:cs="Arial"/>
          <w:sz w:val="22"/>
          <w:szCs w:val="22"/>
        </w:rPr>
        <w:t xml:space="preserve">Servisní zásah na objektu (sazba technika) </w:t>
      </w:r>
      <w:r>
        <w:rPr>
          <w:rFonts w:ascii="Arial" w:hAnsi="Arial" w:cs="Arial"/>
          <w:sz w:val="22"/>
          <w:szCs w:val="22"/>
        </w:rPr>
        <w:tab/>
      </w:r>
      <w:r w:rsidR="00CF4853">
        <w:rPr>
          <w:rFonts w:ascii="Arial" w:hAnsi="Arial" w:cs="Arial"/>
          <w:sz w:val="22"/>
          <w:szCs w:val="22"/>
        </w:rPr>
        <w:tab/>
      </w:r>
      <w:r w:rsidR="00CF4853">
        <w:rPr>
          <w:rFonts w:ascii="Arial" w:hAnsi="Arial" w:cs="Arial"/>
          <w:sz w:val="22"/>
          <w:szCs w:val="22"/>
        </w:rPr>
        <w:tab/>
      </w:r>
      <w:r w:rsidR="00CF4853">
        <w:rPr>
          <w:rFonts w:ascii="Arial" w:hAnsi="Arial" w:cs="Arial"/>
          <w:sz w:val="22"/>
          <w:szCs w:val="22"/>
        </w:rPr>
        <w:tab/>
        <w:t>400,- Kč/hod</w:t>
      </w:r>
    </w:p>
    <w:p w:rsidR="00CF4853" w:rsidRDefault="00CF4853" w:rsidP="0060531F">
      <w:pPr>
        <w:ind w:left="360"/>
        <w:jc w:val="both"/>
        <w:rPr>
          <w:rFonts w:ascii="Arial" w:hAnsi="Arial" w:cs="Arial"/>
          <w:sz w:val="22"/>
          <w:szCs w:val="22"/>
        </w:rPr>
      </w:pP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lastRenderedPageBreak/>
        <w:t xml:space="preserve">Smluvní strany výslovně prohlašují, že touto smlouvou sjednaná cena za provedení díla není považována za skutečnost tvořící obchodní tajemství ve smyslu ustanovení § 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r w:rsidR="00DF608C">
        <w:rPr>
          <w:rFonts w:cs="Arial"/>
          <w:b/>
          <w:sz w:val="22"/>
          <w:szCs w:val="22"/>
          <w:u w:val="single"/>
        </w:rPr>
        <w:t xml:space="preserve"> A SANKCE</w:t>
      </w:r>
    </w:p>
    <w:p w:rsidR="00BF4735" w:rsidRDefault="00BF4735" w:rsidP="00184888">
      <w:pPr>
        <w:numPr>
          <w:ilvl w:val="3"/>
          <w:numId w:val="13"/>
        </w:numPr>
        <w:spacing w:after="240"/>
        <w:ind w:left="426" w:hanging="426"/>
        <w:jc w:val="both"/>
        <w:rPr>
          <w:rFonts w:ascii="Arial" w:hAnsi="Arial" w:cs="Arial"/>
          <w:sz w:val="22"/>
          <w:szCs w:val="22"/>
        </w:rPr>
      </w:pPr>
      <w:r>
        <w:rPr>
          <w:rFonts w:ascii="Arial" w:hAnsi="Arial" w:cs="Arial"/>
          <w:sz w:val="22"/>
          <w:szCs w:val="22"/>
        </w:rPr>
        <w:t xml:space="preserve">Dodavatel se zavazuje fakturovat objednateli úhradu 1x měsíčně (a to vždy k poslednímu dni v měsíci) </w:t>
      </w:r>
      <w:r w:rsidR="00C3792C">
        <w:rPr>
          <w:rFonts w:ascii="Arial" w:hAnsi="Arial" w:cs="Arial"/>
          <w:sz w:val="22"/>
          <w:szCs w:val="22"/>
        </w:rPr>
        <w:t>za</w:t>
      </w:r>
      <w:r>
        <w:rPr>
          <w:rFonts w:ascii="Arial" w:hAnsi="Arial" w:cs="Arial"/>
          <w:sz w:val="22"/>
          <w:szCs w:val="22"/>
        </w:rPr>
        <w:t xml:space="preserve"> služby dle předmětu plnění, tj. za </w:t>
      </w:r>
      <w:r w:rsidR="00C3792C">
        <w:rPr>
          <w:rFonts w:ascii="Arial" w:hAnsi="Arial" w:cs="Arial"/>
          <w:sz w:val="22"/>
          <w:szCs w:val="22"/>
        </w:rPr>
        <w:t>NONSTOP dohled nad objektem (24/7)</w:t>
      </w:r>
      <w:r>
        <w:rPr>
          <w:rFonts w:ascii="Arial" w:hAnsi="Arial" w:cs="Arial"/>
          <w:sz w:val="22"/>
          <w:szCs w:val="22"/>
        </w:rPr>
        <w:t xml:space="preserve"> a nad kamerovým systémem</w:t>
      </w:r>
      <w:r w:rsidR="00C3792C">
        <w:rPr>
          <w:rFonts w:ascii="Arial" w:hAnsi="Arial" w:cs="Arial"/>
          <w:sz w:val="22"/>
          <w:szCs w:val="22"/>
        </w:rPr>
        <w:t>.</w:t>
      </w:r>
      <w:r w:rsidR="00CF4853">
        <w:rPr>
          <w:rFonts w:ascii="Arial" w:hAnsi="Arial" w:cs="Arial"/>
          <w:sz w:val="22"/>
          <w:szCs w:val="22"/>
        </w:rPr>
        <w:t xml:space="preserve"> </w:t>
      </w:r>
      <w:r w:rsidR="00DF608C">
        <w:rPr>
          <w:rFonts w:ascii="Arial" w:hAnsi="Arial" w:cs="Arial"/>
          <w:sz w:val="22"/>
          <w:szCs w:val="22"/>
        </w:rPr>
        <w:t>Dále se d</w:t>
      </w:r>
      <w:r>
        <w:rPr>
          <w:rFonts w:ascii="Arial" w:hAnsi="Arial" w:cs="Arial"/>
          <w:sz w:val="22"/>
          <w:szCs w:val="22"/>
        </w:rPr>
        <w:t>odavatel zavazuje fakturovat</w:t>
      </w:r>
      <w:r w:rsidR="00DF608C">
        <w:rPr>
          <w:rFonts w:ascii="Arial" w:hAnsi="Arial" w:cs="Arial"/>
          <w:sz w:val="22"/>
          <w:szCs w:val="22"/>
        </w:rPr>
        <w:t xml:space="preserve"> objednateli úhradu 1x za </w:t>
      </w:r>
      <w:r w:rsidR="00DF608C">
        <w:rPr>
          <w:rFonts w:ascii="Arial" w:hAnsi="Arial" w:cs="Arial"/>
          <w:sz w:val="22"/>
          <w:szCs w:val="22"/>
        </w:rPr>
        <w:br/>
        <w:t>6 měsíců za služby dle předmětu plnění, tj. půlroční revize/funkční zkouška zabezpeč. A vstup. sytému.</w:t>
      </w:r>
      <w:r>
        <w:rPr>
          <w:rFonts w:ascii="Arial" w:hAnsi="Arial" w:cs="Arial"/>
          <w:sz w:val="22"/>
          <w:szCs w:val="22"/>
        </w:rPr>
        <w:t xml:space="preserve"> </w:t>
      </w:r>
    </w:p>
    <w:p w:rsidR="00661EDA" w:rsidRDefault="00661EDA" w:rsidP="00184888">
      <w:pPr>
        <w:numPr>
          <w:ilvl w:val="3"/>
          <w:numId w:val="13"/>
        </w:numPr>
        <w:spacing w:after="240"/>
        <w:ind w:left="426" w:hanging="426"/>
        <w:jc w:val="both"/>
        <w:rPr>
          <w:rFonts w:ascii="Arial" w:hAnsi="Arial" w:cs="Arial"/>
          <w:sz w:val="22"/>
          <w:szCs w:val="22"/>
        </w:rPr>
      </w:pP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DF608C">
        <w:rPr>
          <w:rFonts w:ascii="Arial" w:hAnsi="Arial" w:cs="Arial"/>
          <w:sz w:val="22"/>
          <w:szCs w:val="22"/>
        </w:rPr>
        <w:t>dodavatel</w:t>
      </w:r>
      <w:r w:rsidRPr="00802CE7">
        <w:rPr>
          <w:rFonts w:ascii="Arial" w:hAnsi="Arial" w:cs="Arial"/>
          <w:sz w:val="22"/>
          <w:szCs w:val="22"/>
        </w:rPr>
        <w:t xml:space="preserve"> povinen prokazatelně doručit objednateli nejpozději do 7 pracovních dnů ode dne uskutečnění plnění</w:t>
      </w:r>
      <w:r w:rsidRPr="002113D7">
        <w:rPr>
          <w:rFonts w:ascii="Arial" w:hAnsi="Arial" w:cs="Arial"/>
          <w:sz w:val="22"/>
          <w:szCs w:val="22"/>
        </w:rPr>
        <w:t>.</w:t>
      </w:r>
    </w:p>
    <w:p w:rsidR="008156E1" w:rsidRDefault="00905EAD"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161496">
        <w:rPr>
          <w:rFonts w:ascii="Arial" w:hAnsi="Arial" w:cs="Arial"/>
          <w:color w:val="auto"/>
          <w:sz w:val="22"/>
          <w:szCs w:val="22"/>
        </w:rPr>
        <w:t>dodavateli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280051" w:rsidRDefault="00280051" w:rsidP="00280051">
      <w:pPr>
        <w:pStyle w:val="Odstavecseseznamem"/>
        <w:spacing w:line="240" w:lineRule="auto"/>
        <w:ind w:left="357"/>
        <w:contextualSpacing w:val="0"/>
        <w:jc w:val="both"/>
        <w:rPr>
          <w:rFonts w:ascii="Arial" w:hAnsi="Arial" w:cs="Arial"/>
          <w:color w:val="auto"/>
          <w:sz w:val="22"/>
          <w:szCs w:val="22"/>
        </w:rPr>
      </w:pPr>
      <w:r>
        <w:rPr>
          <w:rFonts w:ascii="Arial" w:hAnsi="Arial" w:cs="Arial"/>
          <w:color w:val="auto"/>
          <w:sz w:val="22"/>
          <w:szCs w:val="22"/>
        </w:rPr>
        <w:t xml:space="preserve">Předat faktury lze i elektronicky na e-mail adresu: </w:t>
      </w:r>
      <w:hyperlink r:id="rId9" w:history="1">
        <w:r w:rsidRPr="00D548EB">
          <w:rPr>
            <w:rStyle w:val="Hypertextovodkaz"/>
            <w:rFonts w:ascii="Arial" w:hAnsi="Arial" w:cs="Arial"/>
            <w:sz w:val="22"/>
            <w:szCs w:val="22"/>
          </w:rPr>
          <w:t>faktury-zcv@poh.cz</w:t>
        </w:r>
      </w:hyperlink>
    </w:p>
    <w:p w:rsidR="00661EDA" w:rsidRPr="009B5D5A"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B5D5A">
        <w:rPr>
          <w:rFonts w:ascii="Arial" w:hAnsi="Arial" w:cs="Arial"/>
          <w:color w:val="auto"/>
          <w:sz w:val="22"/>
          <w:szCs w:val="22"/>
        </w:rPr>
        <w:t xml:space="preserve">Pokud </w:t>
      </w:r>
      <w:r w:rsidR="00DF608C">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161496">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661EDA"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F608C" w:rsidRPr="0059593F" w:rsidRDefault="00DF608C"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Pr>
          <w:rFonts w:ascii="Arial" w:hAnsi="Arial" w:cs="Arial"/>
          <w:color w:val="auto"/>
          <w:sz w:val="22"/>
          <w:szCs w:val="22"/>
        </w:rPr>
        <w:t xml:space="preserve">Pokud bude objednatel v prodlení s úhradou faktury proti sjednanému termínu, je povinen zaplatit dodavateli úrok z prodlení ve výši </w:t>
      </w:r>
      <w:proofErr w:type="gramStart"/>
      <w:r>
        <w:rPr>
          <w:rFonts w:ascii="Arial" w:hAnsi="Arial" w:cs="Arial"/>
          <w:color w:val="auto"/>
          <w:sz w:val="22"/>
          <w:szCs w:val="22"/>
        </w:rPr>
        <w:t>0,2%</w:t>
      </w:r>
      <w:proofErr w:type="gramEnd"/>
      <w:r>
        <w:rPr>
          <w:rFonts w:ascii="Arial" w:hAnsi="Arial" w:cs="Arial"/>
          <w:color w:val="auto"/>
          <w:sz w:val="22"/>
          <w:szCs w:val="22"/>
        </w:rPr>
        <w:t xml:space="preserve"> z dlužné částky za každý i započatý den prodlení.  </w:t>
      </w:r>
    </w:p>
    <w:p w:rsidR="00661EDA"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DF608C">
        <w:rPr>
          <w:rFonts w:ascii="Arial" w:hAnsi="Arial" w:cs="Arial"/>
          <w:color w:val="auto"/>
          <w:sz w:val="22"/>
          <w:szCs w:val="22"/>
        </w:rPr>
        <w:t>dodavatele</w:t>
      </w:r>
      <w:r w:rsidRPr="0059593F">
        <w:rPr>
          <w:rFonts w:ascii="Arial" w:hAnsi="Arial" w:cs="Arial"/>
          <w:color w:val="auto"/>
          <w:sz w:val="22"/>
          <w:szCs w:val="22"/>
        </w:rPr>
        <w:t>.</w:t>
      </w:r>
    </w:p>
    <w:p w:rsidR="00DF608C" w:rsidRPr="0059593F" w:rsidRDefault="00DF608C" w:rsidP="00DF608C">
      <w:pPr>
        <w:pStyle w:val="Odstavecseseznamem"/>
        <w:spacing w:line="240" w:lineRule="auto"/>
        <w:ind w:left="360"/>
        <w:jc w:val="both"/>
        <w:rPr>
          <w:rFonts w:ascii="Arial" w:hAnsi="Arial" w:cs="Arial"/>
          <w:color w:val="auto"/>
          <w:sz w:val="22"/>
          <w:szCs w:val="22"/>
        </w:rPr>
      </w:pP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 xml:space="preserve">Čl. VI. </w:t>
      </w:r>
      <w:r w:rsidR="00DF608C">
        <w:rPr>
          <w:rFonts w:cs="Arial"/>
          <w:b/>
          <w:sz w:val="22"/>
          <w:szCs w:val="22"/>
          <w:u w:val="single"/>
        </w:rPr>
        <w:t>POVINNOSTI DODAVATELE</w:t>
      </w:r>
    </w:p>
    <w:p w:rsidR="00280051" w:rsidRDefault="00E0177B" w:rsidP="002430D8">
      <w:pPr>
        <w:pStyle w:val="A-odstavecodsazensodrkami"/>
        <w:numPr>
          <w:ilvl w:val="0"/>
          <w:numId w:val="4"/>
        </w:numPr>
        <w:spacing w:after="240"/>
      </w:pPr>
      <w:r>
        <w:t>Dodavatel zajistí, že jeho zaměstnanci, budou prokazatelně splňovat zdravotní, odbornou způsobilost pro provádění bezpečnostních služeb, fyzickou zdatnost, bezúhonnost, budou proškoleni ze zásad PO a BOZP, dále musí splňovat požadavky odborných školení, nutných k zabezpečení předmětu plnění smlouvy</w:t>
      </w:r>
      <w:r w:rsidR="00661EDA" w:rsidRPr="00950E20">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 xml:space="preserve">Čl. VII. </w:t>
      </w:r>
      <w:r w:rsidR="00E0177B">
        <w:rPr>
          <w:rFonts w:cs="Arial"/>
          <w:b/>
          <w:sz w:val="22"/>
          <w:szCs w:val="22"/>
          <w:u w:val="single"/>
        </w:rPr>
        <w:t>POVINNOSTI OBJEDNATELE</w:t>
      </w:r>
    </w:p>
    <w:p w:rsidR="0002005A" w:rsidRDefault="00E0177B" w:rsidP="00C3792C">
      <w:pPr>
        <w:pStyle w:val="Zkladntext"/>
        <w:widowControl/>
        <w:numPr>
          <w:ilvl w:val="0"/>
          <w:numId w:val="19"/>
        </w:numPr>
        <w:tabs>
          <w:tab w:val="left" w:pos="360"/>
        </w:tabs>
        <w:spacing w:after="240"/>
        <w:rPr>
          <w:rFonts w:cs="Arial"/>
          <w:sz w:val="22"/>
          <w:szCs w:val="22"/>
        </w:rPr>
      </w:pPr>
      <w:r>
        <w:rPr>
          <w:rFonts w:cs="Arial"/>
          <w:sz w:val="22"/>
          <w:szCs w:val="22"/>
        </w:rPr>
        <w:t>Objednatel se zavazuje zpřístupnit dodavateli údaje potřebné pro výkon bezpečnostních služeb na předmětu plnění</w:t>
      </w:r>
      <w:r w:rsidR="00C3792C">
        <w:rPr>
          <w:rFonts w:cs="Arial"/>
          <w:sz w:val="22"/>
          <w:szCs w:val="22"/>
        </w:rPr>
        <w:t>.</w:t>
      </w:r>
    </w:p>
    <w:p w:rsidR="007E2151" w:rsidRDefault="00E0177B" w:rsidP="007E2151">
      <w:pPr>
        <w:pStyle w:val="Zkladntext"/>
        <w:widowControl/>
        <w:spacing w:after="240"/>
        <w:jc w:val="center"/>
        <w:rPr>
          <w:rFonts w:cs="Arial"/>
          <w:b/>
          <w:sz w:val="22"/>
          <w:szCs w:val="22"/>
          <w:u w:val="single"/>
        </w:rPr>
      </w:pPr>
      <w:r>
        <w:rPr>
          <w:rFonts w:cs="Arial"/>
          <w:bCs/>
          <w:sz w:val="22"/>
          <w:szCs w:val="22"/>
        </w:rPr>
        <w:t>Objednatel se zavazuje, že na základě zjištěn</w:t>
      </w:r>
      <w:r w:rsidR="00762B26">
        <w:rPr>
          <w:rFonts w:cs="Arial"/>
          <w:bCs/>
          <w:sz w:val="22"/>
          <w:szCs w:val="22"/>
        </w:rPr>
        <w:t>í dodavatele, které je tento neprodleně nahlásit odpovědným zaměstnancům objednatele, neodkladně odstraní závady na svém majetku, které znemožňují nebo znesnadňují řádně plnění výkonu služeb dle předmětu plnění.</w:t>
      </w:r>
      <w:r w:rsidR="007E2151" w:rsidRPr="007E2151">
        <w:rPr>
          <w:rFonts w:cs="Arial"/>
          <w:b/>
          <w:sz w:val="22"/>
          <w:szCs w:val="22"/>
          <w:u w:val="single"/>
        </w:rPr>
        <w:t xml:space="preserve"> </w:t>
      </w:r>
    </w:p>
    <w:p w:rsidR="007E2151" w:rsidRPr="00386410" w:rsidRDefault="007E2151" w:rsidP="007E2151">
      <w:pPr>
        <w:pStyle w:val="Zkladntext"/>
        <w:widowControl/>
        <w:spacing w:after="240"/>
        <w:jc w:val="center"/>
        <w:rPr>
          <w:rFonts w:cs="Arial"/>
          <w:b/>
          <w:sz w:val="22"/>
          <w:szCs w:val="22"/>
          <w:u w:val="single"/>
        </w:rPr>
      </w:pPr>
      <w:r w:rsidRPr="00386410">
        <w:rPr>
          <w:rFonts w:cs="Arial"/>
          <w:b/>
          <w:sz w:val="22"/>
          <w:szCs w:val="22"/>
          <w:u w:val="single"/>
        </w:rPr>
        <w:t xml:space="preserve">Čl. VIII. </w:t>
      </w:r>
      <w:r>
        <w:rPr>
          <w:rFonts w:cs="Arial"/>
          <w:b/>
          <w:sz w:val="22"/>
          <w:szCs w:val="22"/>
          <w:u w:val="single"/>
        </w:rPr>
        <w:t>DALŠÍ UJEDNÁNÍ</w:t>
      </w:r>
    </w:p>
    <w:p w:rsidR="007E2151" w:rsidRPr="007E2151" w:rsidRDefault="007E2151" w:rsidP="005150F7">
      <w:pPr>
        <w:widowControl w:val="0"/>
        <w:numPr>
          <w:ilvl w:val="0"/>
          <w:numId w:val="22"/>
        </w:numPr>
        <w:spacing w:after="240"/>
        <w:jc w:val="both"/>
        <w:rPr>
          <w:rFonts w:ascii="Arial" w:hAnsi="Arial" w:cs="Arial"/>
          <w:b/>
          <w:sz w:val="22"/>
          <w:szCs w:val="22"/>
        </w:rPr>
      </w:pPr>
      <w:r w:rsidRPr="007E2151">
        <w:rPr>
          <w:rFonts w:ascii="Arial" w:hAnsi="Arial" w:cs="Arial"/>
          <w:sz w:val="22"/>
          <w:szCs w:val="22"/>
        </w:rPr>
        <w:t>Objednatel a dodavatel určí pro vzájemný styk v rámci provozních a technických záležitostí odpovědné zaměstnance. Smluvní strany si navzájem oznámí své odpovědné osoby písemným sdělením. Případná změna odpovědné osoby u jedné, či druhé smluvní strany tak nezakládá povinnost vyhotovení a uveřejnění písemného dodatku ke smlouvě.</w:t>
      </w:r>
    </w:p>
    <w:p w:rsidR="00B034C5" w:rsidRDefault="00715401" w:rsidP="009E302C">
      <w:pPr>
        <w:pStyle w:val="Zkladntext"/>
        <w:numPr>
          <w:ilvl w:val="0"/>
          <w:numId w:val="19"/>
        </w:numPr>
        <w:tabs>
          <w:tab w:val="left" w:pos="360"/>
        </w:tabs>
        <w:spacing w:after="240"/>
        <w:rPr>
          <w:rFonts w:cs="Arial"/>
          <w:bCs/>
          <w:sz w:val="22"/>
          <w:szCs w:val="22"/>
        </w:rPr>
      </w:pPr>
      <w:r>
        <w:rPr>
          <w:rFonts w:cs="Arial"/>
          <w:bCs/>
          <w:sz w:val="22"/>
          <w:szCs w:val="22"/>
        </w:rPr>
        <w:lastRenderedPageBreak/>
        <w:t>Veškeré informace o provozu organizace, provozu ve střeženém objektu a lokalitě, pracovních režimech, osobních údajích zaměstnanců objednatele, mimořádných událostech a ostatních věcí s tímto spojených (pokud nevyplývají z veřejně dostupných informačních zdrojů), jsou pro potřeby této smlouvy považovány za důvěrné.</w:t>
      </w:r>
    </w:p>
    <w:p w:rsidR="00B034C5" w:rsidRPr="00B034C5" w:rsidRDefault="00B034C5" w:rsidP="00B034C5">
      <w:pPr>
        <w:pStyle w:val="Zkladntext"/>
        <w:numPr>
          <w:ilvl w:val="0"/>
          <w:numId w:val="19"/>
        </w:numPr>
        <w:tabs>
          <w:tab w:val="left" w:pos="360"/>
        </w:tabs>
        <w:spacing w:after="240"/>
        <w:rPr>
          <w:rFonts w:cs="Arial"/>
          <w:bCs/>
          <w:sz w:val="22"/>
          <w:szCs w:val="22"/>
        </w:rPr>
      </w:pPr>
      <w:r>
        <w:rPr>
          <w:rFonts w:cs="Arial"/>
          <w:sz w:val="22"/>
          <w:szCs w:val="22"/>
        </w:rPr>
        <w:t>Dodavatel</w:t>
      </w:r>
      <w:r w:rsidRPr="00B034C5">
        <w:rPr>
          <w:rFonts w:cs="Arial"/>
          <w:sz w:val="22"/>
          <w:szCs w:val="22"/>
        </w:rPr>
        <w:t xml:space="preserve">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661EDA"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I</w:t>
      </w:r>
      <w:r w:rsidR="00325FE2">
        <w:rPr>
          <w:rFonts w:cs="Arial"/>
          <w:b/>
          <w:sz w:val="22"/>
          <w:szCs w:val="22"/>
          <w:u w:val="single"/>
        </w:rPr>
        <w:t>X</w:t>
      </w:r>
      <w:r w:rsidRPr="00386410">
        <w:rPr>
          <w:rFonts w:cs="Arial"/>
          <w:b/>
          <w:sz w:val="22"/>
          <w:szCs w:val="22"/>
          <w:u w:val="single"/>
        </w:rPr>
        <w:t xml:space="preserve">. </w:t>
      </w:r>
      <w:r w:rsidR="00715401">
        <w:rPr>
          <w:rFonts w:cs="Arial"/>
          <w:b/>
          <w:sz w:val="22"/>
          <w:szCs w:val="22"/>
          <w:u w:val="single"/>
        </w:rPr>
        <w:t>ODPOVĚDNOST ZA ŠKODY A SOUČINNOST SMLUVNÍCH STRAN</w:t>
      </w:r>
    </w:p>
    <w:p w:rsidR="00715401" w:rsidRPr="00715401" w:rsidRDefault="004500FF" w:rsidP="00435E2B">
      <w:pPr>
        <w:pStyle w:val="Odstavecseseznamem"/>
        <w:widowControl w:val="0"/>
        <w:numPr>
          <w:ilvl w:val="0"/>
          <w:numId w:val="48"/>
        </w:numPr>
        <w:spacing w:after="240"/>
        <w:ind w:left="360"/>
        <w:jc w:val="both"/>
        <w:rPr>
          <w:rFonts w:ascii="Arial" w:hAnsi="Arial" w:cs="Arial"/>
          <w:b/>
          <w:sz w:val="22"/>
          <w:szCs w:val="22"/>
        </w:rPr>
      </w:pPr>
      <w:r>
        <w:rPr>
          <w:rFonts w:ascii="Arial" w:hAnsi="Arial" w:cs="Arial"/>
          <w:color w:val="auto"/>
          <w:sz w:val="22"/>
          <w:szCs w:val="22"/>
        </w:rPr>
        <w:t>Objednatel nebude uplatňovat náhradu škody, pokud jej dodavatel prokazatelným způsobem (písemně) upozorní na nedostatečné zajištění majetku a objednatel přesto neprovede účinná opatření k zamezení vzniku škod. V ostatním se odpovědnost za škody vzniklé při poskytování služeb specifikovaných předmětem plnění, řídí dle platných obecně závazných předpisů.</w:t>
      </w:r>
    </w:p>
    <w:p w:rsidR="00661EDA"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32325A">
        <w:rPr>
          <w:rFonts w:ascii="Arial" w:hAnsi="Arial" w:cs="Arial"/>
          <w:sz w:val="22"/>
          <w:szCs w:val="22"/>
        </w:rPr>
        <w:t>dodavatelem</w:t>
      </w:r>
      <w:r w:rsidRPr="00386410">
        <w:rPr>
          <w:rFonts w:ascii="Arial" w:hAnsi="Arial" w:cs="Arial"/>
          <w:sz w:val="22"/>
          <w:szCs w:val="22"/>
        </w:rPr>
        <w:t xml:space="preserve"> porušením povinností </w:t>
      </w:r>
      <w:r w:rsidR="00B53D99">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r w:rsidR="009E302C">
        <w:rPr>
          <w:rFonts w:ascii="Arial" w:hAnsi="Arial" w:cs="Arial"/>
          <w:sz w:val="22"/>
          <w:szCs w:val="22"/>
        </w:rPr>
        <w:t xml:space="preserve"> </w:t>
      </w:r>
      <w:r w:rsidR="009E302C" w:rsidRPr="009E302C">
        <w:rPr>
          <w:rFonts w:ascii="Arial" w:hAnsi="Arial" w:cs="Arial"/>
          <w:sz w:val="22"/>
          <w:szCs w:val="22"/>
        </w:rPr>
        <w:t xml:space="preserve">Pokud bude v důsledku porušení povinností (smluvních, zákonných) </w:t>
      </w:r>
      <w:r w:rsidR="00B53D99">
        <w:rPr>
          <w:rFonts w:ascii="Arial" w:hAnsi="Arial" w:cs="Arial"/>
          <w:sz w:val="22"/>
          <w:szCs w:val="22"/>
        </w:rPr>
        <w:t>dodavatele</w:t>
      </w:r>
      <w:r w:rsidR="009E302C" w:rsidRPr="009E302C">
        <w:rPr>
          <w:rFonts w:ascii="Arial" w:hAnsi="Arial" w:cs="Arial"/>
          <w:sz w:val="22"/>
          <w:szCs w:val="22"/>
        </w:rPr>
        <w:t xml:space="preserve">, uložena objednateli sankce ze strany správních či jiných orgánů, zavazuje se </w:t>
      </w:r>
      <w:r w:rsidR="00B53D99">
        <w:rPr>
          <w:rFonts w:ascii="Arial" w:hAnsi="Arial" w:cs="Arial"/>
          <w:sz w:val="22"/>
          <w:szCs w:val="22"/>
        </w:rPr>
        <w:t>dodavatel</w:t>
      </w:r>
      <w:r w:rsidR="009E302C" w:rsidRPr="009E302C">
        <w:rPr>
          <w:rFonts w:ascii="Arial" w:hAnsi="Arial" w:cs="Arial"/>
          <w:sz w:val="22"/>
          <w:szCs w:val="22"/>
        </w:rPr>
        <w:t xml:space="preserve"> zaplatit objednateli tuto smluvní pokutu v plné výši.</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B53D99"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Dodavatel</w:t>
      </w:r>
      <w:r w:rsidR="0058168C">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w:t>
      </w:r>
      <w:r w:rsidR="00D21589">
        <w:rPr>
          <w:rFonts w:ascii="Helv" w:hAnsi="Helv" w:cs="Helv"/>
          <w:color w:val="000000"/>
        </w:rPr>
        <w:t xml:space="preserve">(viz </w:t>
      </w:r>
      <w:hyperlink r:id="rId10"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Dodavatel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w:t>
      </w:r>
      <w:r w:rsidR="00325FE2">
        <w:rPr>
          <w:rFonts w:cs="Arial"/>
          <w:b/>
          <w:sz w:val="22"/>
          <w:szCs w:val="22"/>
          <w:u w:val="single"/>
        </w:rPr>
        <w:t>I</w:t>
      </w:r>
      <w:r>
        <w:rPr>
          <w:rFonts w:cs="Arial"/>
          <w:b/>
          <w:sz w:val="22"/>
          <w:szCs w:val="22"/>
          <w:u w:val="single"/>
        </w:rPr>
        <w:t>.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w:t>
      </w:r>
      <w:r w:rsidRPr="008646BF">
        <w:rPr>
          <w:rFonts w:cs="Arial"/>
          <w:sz w:val="22"/>
          <w:szCs w:val="22"/>
        </w:rPr>
        <w:lastRenderedPageBreak/>
        <w:t xml:space="preserve">údajů). Informace o zpracování osobních údajů, včetně účelu a důvodu zpracování, naleznete na </w:t>
      </w:r>
      <w:hyperlink r:id="rId11" w:history="1">
        <w:r w:rsidR="008646BF">
          <w:rPr>
            <w:rFonts w:ascii="Helv" w:hAnsi="Helv" w:cs="Helv"/>
            <w:color w:val="0000FF"/>
            <w:sz w:val="20"/>
          </w:rPr>
          <w:t>http://www.poh.cz/informace-o-zpracovani-osobnich-udaju/d-1369/p1=1459</w:t>
        </w:r>
      </w:hyperlink>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325FE2">
        <w:rPr>
          <w:rFonts w:cs="Arial"/>
          <w:b/>
          <w:sz w:val="22"/>
          <w:szCs w:val="22"/>
          <w:u w:val="single"/>
        </w:rPr>
        <w:t>I</w:t>
      </w:r>
      <w:r w:rsidRPr="008646BF">
        <w:rPr>
          <w:rFonts w:cs="Arial"/>
          <w:b/>
          <w:sz w:val="22"/>
          <w:szCs w:val="22"/>
          <w:u w:val="single"/>
        </w:rPr>
        <w:t>. ZÁVĚREČNÁ USTANOVENÍ</w:t>
      </w:r>
    </w:p>
    <w:p w:rsidR="009E302C" w:rsidRDefault="00661EDA" w:rsidP="009E302C">
      <w:pPr>
        <w:pStyle w:val="Zkladntext"/>
        <w:widowControl/>
        <w:numPr>
          <w:ilvl w:val="0"/>
          <w:numId w:val="25"/>
        </w:numPr>
        <w:tabs>
          <w:tab w:val="left" w:pos="360"/>
        </w:tabs>
        <w:spacing w:after="240"/>
        <w:rPr>
          <w:rFonts w:cs="Arial"/>
          <w:bCs/>
          <w:sz w:val="22"/>
          <w:szCs w:val="22"/>
        </w:rPr>
      </w:pPr>
      <w:r>
        <w:rPr>
          <w:rFonts w:cs="Arial"/>
          <w:color w:val="auto"/>
          <w:sz w:val="22"/>
          <w:szCs w:val="22"/>
        </w:rPr>
        <w:t xml:space="preserve">Pokud není ve smlouvě uvedeno jinak, </w:t>
      </w:r>
      <w:r w:rsidR="009E302C" w:rsidRPr="009E302C">
        <w:rPr>
          <w:rFonts w:cs="Arial"/>
          <w:bCs/>
          <w:sz w:val="22"/>
          <w:szCs w:val="22"/>
        </w:rPr>
        <w:t xml:space="preserve">řídí se všechny vztahy mezi smluvními stranami ustanoveními zákona č. 89/2012 Sb. (občanského zákoníku) v platném znění. Veškeré změny a dodatky této smlouvy musí být sepsány písemně formou dodatku. Návrh dodatku ke smlouvě předloží </w:t>
      </w:r>
      <w:r w:rsidR="00B034C5">
        <w:rPr>
          <w:rFonts w:cs="Arial"/>
          <w:bCs/>
          <w:sz w:val="22"/>
          <w:szCs w:val="22"/>
        </w:rPr>
        <w:t>dodavatel</w:t>
      </w:r>
      <w:r w:rsidR="009E302C" w:rsidRPr="009E302C">
        <w:rPr>
          <w:rFonts w:cs="Arial"/>
          <w:bCs/>
          <w:sz w:val="22"/>
          <w:szCs w:val="22"/>
        </w:rPr>
        <w:t xml:space="preserve"> objednateli v elektronické podobě nejpozději 14 dnů před ukončením termínu plnění dle smlouvy.</w:t>
      </w:r>
    </w:p>
    <w:p w:rsidR="00B034C5" w:rsidRDefault="00B034C5" w:rsidP="00B034C5">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a budou předmětem dodatku k této smlouvě.</w:t>
      </w:r>
    </w:p>
    <w:p w:rsidR="00611812" w:rsidRPr="00161496"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161496" w:rsidRPr="00A1279E" w:rsidRDefault="00161496"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Pr>
          <w:rFonts w:ascii="Arial" w:hAnsi="Arial" w:cs="Arial"/>
          <w:iCs/>
          <w:color w:val="000000"/>
          <w:sz w:val="22"/>
          <w:szCs w:val="22"/>
        </w:rPr>
        <w:t>Smluvní strany se dohodly, že tuto smlouvu zveřejní v registru smluv Povodí Ohře, státní podnik do 30 dnů od jejího uzavření. V případě nesplnění této smluvní povinnosti uveřejní smlouvu druhá smluvní strana.</w:t>
      </w:r>
    </w:p>
    <w:p w:rsidR="00A1279E" w:rsidRPr="00AF4E2F" w:rsidRDefault="00A1279E"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A1279E">
        <w:rPr>
          <w:rFonts w:ascii="Arial" w:hAnsi="Arial" w:cs="Arial"/>
          <w:iCs/>
          <w:color w:val="000000"/>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r>
        <w:rPr>
          <w:rFonts w:ascii="Arial" w:hAnsi="Arial" w:cs="Arial"/>
          <w:iCs/>
          <w:color w:val="000000"/>
          <w:sz w:val="22"/>
          <w:szCs w:val="22"/>
        </w:rPr>
        <w:t>.</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B034C5" w:rsidRDefault="00B034C5"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Objednatel a dodavatel se zavazují neměnit cenu za poskytování služeb související s předmětem plnění po dobu trvání této smlouvy.</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161496" w:rsidRPr="00161496" w:rsidRDefault="00611812" w:rsidP="00161496">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161496" w:rsidRDefault="00661EDA" w:rsidP="00FE639D">
      <w:pPr>
        <w:pStyle w:val="Zkladntext"/>
        <w:keepNext/>
        <w:widowControl/>
        <w:numPr>
          <w:ilvl w:val="0"/>
          <w:numId w:val="25"/>
        </w:numPr>
        <w:tabs>
          <w:tab w:val="left" w:pos="360"/>
        </w:tabs>
        <w:jc w:val="both"/>
        <w:rPr>
          <w:rFonts w:cs="Arial"/>
          <w:sz w:val="22"/>
          <w:szCs w:val="22"/>
        </w:rPr>
      </w:pPr>
      <w:r w:rsidRPr="00161496">
        <w:rPr>
          <w:rFonts w:cs="Arial"/>
          <w:sz w:val="22"/>
          <w:szCs w:val="22"/>
        </w:rPr>
        <w:t xml:space="preserve">Na svědectví tohoto smluvní strany tímto podepisují smlouvu. Tato smlouva je vyhotovena ve </w:t>
      </w:r>
      <w:r w:rsidR="00104D42" w:rsidRPr="00161496">
        <w:rPr>
          <w:rFonts w:cs="Arial"/>
          <w:b/>
          <w:sz w:val="22"/>
          <w:szCs w:val="22"/>
        </w:rPr>
        <w:t>dvou</w:t>
      </w:r>
      <w:r w:rsidRPr="00161496">
        <w:rPr>
          <w:rFonts w:cs="Arial"/>
          <w:sz w:val="22"/>
          <w:szCs w:val="22"/>
        </w:rPr>
        <w:t xml:space="preserve"> vyhotoveních, z nichž každé má platnost originálu. </w:t>
      </w:r>
      <w:r w:rsidRPr="00161496">
        <w:rPr>
          <w:rFonts w:cs="Arial"/>
          <w:bCs/>
          <w:sz w:val="22"/>
          <w:szCs w:val="22"/>
        </w:rPr>
        <w:t xml:space="preserve">Každá ze smluvních stran obdrží </w:t>
      </w:r>
      <w:r w:rsidR="00104D42" w:rsidRPr="00161496">
        <w:rPr>
          <w:rFonts w:cs="Arial"/>
          <w:b/>
          <w:bCs/>
          <w:sz w:val="22"/>
          <w:szCs w:val="22"/>
        </w:rPr>
        <w:t>jedno</w:t>
      </w:r>
      <w:r w:rsidR="00104D42" w:rsidRPr="00161496">
        <w:rPr>
          <w:rFonts w:cs="Arial"/>
          <w:bCs/>
          <w:sz w:val="22"/>
          <w:szCs w:val="22"/>
        </w:rPr>
        <w:t xml:space="preserve"> </w:t>
      </w:r>
      <w:r w:rsidRPr="00161496">
        <w:rPr>
          <w:rFonts w:cs="Arial"/>
          <w:bCs/>
          <w:sz w:val="22"/>
          <w:szCs w:val="22"/>
        </w:rPr>
        <w:t>vyhotovení smlouvy.</w:t>
      </w:r>
    </w:p>
    <w:p w:rsidR="00161496" w:rsidRPr="00161496" w:rsidRDefault="00161496" w:rsidP="008D37F0">
      <w:pPr>
        <w:pStyle w:val="Zkladntext"/>
        <w:keepNext/>
        <w:widowControl/>
        <w:tabs>
          <w:tab w:val="left" w:pos="360"/>
        </w:tabs>
        <w:ind w:left="360"/>
        <w:jc w:val="both"/>
        <w:rPr>
          <w:rFonts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161496">
        <w:rPr>
          <w:rFonts w:ascii="Arial" w:hAnsi="Arial" w:cs="Arial"/>
          <w:sz w:val="22"/>
          <w:szCs w:val="22"/>
        </w:rPr>
        <w:t>dodavatel</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sectPr w:rsidR="00661EDA" w:rsidRPr="00386410" w:rsidSect="00B051A1">
      <w:footerReference w:type="default" r:id="rId12"/>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63A" w:rsidRDefault="0066663A">
      <w:r>
        <w:separator/>
      </w:r>
    </w:p>
  </w:endnote>
  <w:endnote w:type="continuationSeparator" w:id="0">
    <w:p w:rsidR="0066663A" w:rsidRDefault="0066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723566779"/>
      <w:docPartObj>
        <w:docPartGallery w:val="Page Numbers (Bottom of Page)"/>
        <w:docPartUnique/>
      </w:docPartObj>
    </w:sdtPr>
    <w:sdtEndPr>
      <w:rPr>
        <w:rFonts w:ascii="Arial" w:hAnsi="Arial"/>
        <w:sz w:val="20"/>
      </w:rPr>
    </w:sdtEndPr>
    <w:sdtContent>
      <w:p w:rsidR="007F486B" w:rsidRPr="007F486B" w:rsidRDefault="007F486B">
        <w:pPr>
          <w:pStyle w:val="Zpat"/>
          <w:jc w:val="right"/>
          <w:rPr>
            <w:rFonts w:ascii="Arial" w:eastAsiaTheme="majorEastAsia" w:hAnsi="Arial" w:cstheme="majorBidi"/>
            <w:sz w:val="20"/>
            <w:szCs w:val="28"/>
          </w:rPr>
        </w:pPr>
        <w:r w:rsidRPr="007F486B">
          <w:rPr>
            <w:rFonts w:ascii="Arial" w:eastAsiaTheme="majorEastAsia" w:hAnsi="Arial" w:cstheme="majorBidi"/>
            <w:sz w:val="20"/>
            <w:szCs w:val="28"/>
          </w:rPr>
          <w:t xml:space="preserve">Str. </w:t>
        </w:r>
        <w:r w:rsidRPr="007F486B">
          <w:rPr>
            <w:rFonts w:ascii="Arial" w:eastAsiaTheme="minorEastAsia" w:hAnsi="Arial" w:cstheme="minorBidi"/>
            <w:sz w:val="20"/>
            <w:szCs w:val="21"/>
          </w:rPr>
          <w:fldChar w:fldCharType="begin"/>
        </w:r>
        <w:r w:rsidRPr="007F486B">
          <w:rPr>
            <w:rFonts w:ascii="Arial" w:hAnsi="Arial"/>
            <w:sz w:val="20"/>
          </w:rPr>
          <w:instrText>PAGE    \* MERGEFORMAT</w:instrText>
        </w:r>
        <w:r w:rsidRPr="007F486B">
          <w:rPr>
            <w:rFonts w:ascii="Arial" w:eastAsiaTheme="minorEastAsia" w:hAnsi="Arial" w:cstheme="minorBidi"/>
            <w:sz w:val="20"/>
            <w:szCs w:val="21"/>
          </w:rPr>
          <w:fldChar w:fldCharType="separate"/>
        </w:r>
        <w:r w:rsidR="00831A0E" w:rsidRPr="00831A0E">
          <w:rPr>
            <w:rFonts w:ascii="Arial" w:eastAsiaTheme="majorEastAsia" w:hAnsi="Arial" w:cstheme="majorBidi"/>
            <w:noProof/>
            <w:sz w:val="20"/>
            <w:szCs w:val="28"/>
          </w:rPr>
          <w:t>8</w:t>
        </w:r>
        <w:r w:rsidRPr="007F486B">
          <w:rPr>
            <w:rFonts w:ascii="Arial" w:eastAsiaTheme="majorEastAsia" w:hAnsi="Arial" w:cstheme="majorBidi"/>
            <w:sz w:val="20"/>
            <w:szCs w:val="28"/>
          </w:rPr>
          <w:fldChar w:fldCharType="end"/>
        </w:r>
      </w:p>
    </w:sdtContent>
  </w:sdt>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845796"/>
      <w:docPartObj>
        <w:docPartGallery w:val="Page Numbers (Bottom of Page)"/>
        <w:docPartUnique/>
      </w:docPartObj>
    </w:sdtPr>
    <w:sdtEndPr/>
    <w:sdtContent>
      <w:p w:rsidR="00A1279E" w:rsidRDefault="00A1279E">
        <w:pPr>
          <w:pStyle w:val="Zpat"/>
          <w:jc w:val="right"/>
        </w:pPr>
        <w:r>
          <w:fldChar w:fldCharType="begin"/>
        </w:r>
        <w:r>
          <w:instrText>PAGE   \* MERGEFORMAT</w:instrText>
        </w:r>
        <w:r>
          <w:fldChar w:fldCharType="separate"/>
        </w:r>
        <w:r>
          <w:t>2</w:t>
        </w:r>
        <w:r>
          <w:fldChar w:fldCharType="end"/>
        </w:r>
      </w:p>
    </w:sdtContent>
  </w:sdt>
  <w:p w:rsidR="00111BAD" w:rsidRPr="0068009D" w:rsidRDefault="00111BAD"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63A" w:rsidRDefault="0066663A">
      <w:r>
        <w:separator/>
      </w:r>
    </w:p>
  </w:footnote>
  <w:footnote w:type="continuationSeparator" w:id="0">
    <w:p w:rsidR="0066663A" w:rsidRDefault="0066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2FBA353C"/>
    <w:multiLevelType w:val="hybridMultilevel"/>
    <w:tmpl w:val="3EC80742"/>
    <w:lvl w:ilvl="0" w:tplc="A8B4B5B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6503DE"/>
    <w:multiLevelType w:val="hybridMultilevel"/>
    <w:tmpl w:val="BB043C9A"/>
    <w:lvl w:ilvl="0" w:tplc="59DA8352">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7"/>
  </w:num>
  <w:num w:numId="2">
    <w:abstractNumId w:val="14"/>
  </w:num>
  <w:num w:numId="3">
    <w:abstractNumId w:val="34"/>
  </w:num>
  <w:num w:numId="4">
    <w:abstractNumId w:val="31"/>
  </w:num>
  <w:num w:numId="5">
    <w:abstractNumId w:val="32"/>
  </w:num>
  <w:num w:numId="6">
    <w:abstractNumId w:val="22"/>
  </w:num>
  <w:num w:numId="7">
    <w:abstractNumId w:val="23"/>
  </w:num>
  <w:num w:numId="8">
    <w:abstractNumId w:val="27"/>
  </w:num>
  <w:num w:numId="9">
    <w:abstractNumId w:val="13"/>
  </w:num>
  <w:num w:numId="10">
    <w:abstractNumId w:val="37"/>
  </w:num>
  <w:num w:numId="11">
    <w:abstractNumId w:val="5"/>
  </w:num>
  <w:num w:numId="12">
    <w:abstractNumId w:val="38"/>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5"/>
  </w:num>
  <w:num w:numId="20">
    <w:abstractNumId w:val="6"/>
  </w:num>
  <w:num w:numId="21">
    <w:abstractNumId w:val="3"/>
  </w:num>
  <w:num w:numId="22">
    <w:abstractNumId w:val="9"/>
  </w:num>
  <w:num w:numId="23">
    <w:abstractNumId w:val="19"/>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9"/>
  </w:num>
  <w:num w:numId="40">
    <w:abstractNumId w:val="24"/>
  </w:num>
  <w:num w:numId="41">
    <w:abstractNumId w:val="29"/>
  </w:num>
  <w:num w:numId="42">
    <w:abstractNumId w:val="8"/>
  </w:num>
  <w:num w:numId="43">
    <w:abstractNumId w:val="4"/>
  </w:num>
  <w:num w:numId="44">
    <w:abstractNumId w:val="24"/>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129F0"/>
    <w:rsid w:val="0001739A"/>
    <w:rsid w:val="0002005A"/>
    <w:rsid w:val="000270DF"/>
    <w:rsid w:val="00027761"/>
    <w:rsid w:val="00032AD0"/>
    <w:rsid w:val="000432F7"/>
    <w:rsid w:val="000456A7"/>
    <w:rsid w:val="00051F75"/>
    <w:rsid w:val="00053346"/>
    <w:rsid w:val="000539C8"/>
    <w:rsid w:val="0005646F"/>
    <w:rsid w:val="000903EA"/>
    <w:rsid w:val="00091338"/>
    <w:rsid w:val="000914C6"/>
    <w:rsid w:val="000927E7"/>
    <w:rsid w:val="00093AD2"/>
    <w:rsid w:val="000A00BD"/>
    <w:rsid w:val="000A10CD"/>
    <w:rsid w:val="000A1CB8"/>
    <w:rsid w:val="000A6BD5"/>
    <w:rsid w:val="000B0E7E"/>
    <w:rsid w:val="000B1EB9"/>
    <w:rsid w:val="000B2E4B"/>
    <w:rsid w:val="000C0B96"/>
    <w:rsid w:val="000D02A9"/>
    <w:rsid w:val="000E32A8"/>
    <w:rsid w:val="000E4864"/>
    <w:rsid w:val="000E61A3"/>
    <w:rsid w:val="000F367C"/>
    <w:rsid w:val="000F7037"/>
    <w:rsid w:val="00104D42"/>
    <w:rsid w:val="001059B7"/>
    <w:rsid w:val="0011076F"/>
    <w:rsid w:val="00111BAD"/>
    <w:rsid w:val="0011390C"/>
    <w:rsid w:val="00113926"/>
    <w:rsid w:val="00114CFD"/>
    <w:rsid w:val="00123974"/>
    <w:rsid w:val="00124574"/>
    <w:rsid w:val="00140C3A"/>
    <w:rsid w:val="00145445"/>
    <w:rsid w:val="00150913"/>
    <w:rsid w:val="00151C33"/>
    <w:rsid w:val="00154837"/>
    <w:rsid w:val="001556E2"/>
    <w:rsid w:val="00161496"/>
    <w:rsid w:val="0016532D"/>
    <w:rsid w:val="00184888"/>
    <w:rsid w:val="00191A3B"/>
    <w:rsid w:val="001B4D78"/>
    <w:rsid w:val="001C04BD"/>
    <w:rsid w:val="001D3524"/>
    <w:rsid w:val="001D6A35"/>
    <w:rsid w:val="001D6BE7"/>
    <w:rsid w:val="001F7612"/>
    <w:rsid w:val="0020184F"/>
    <w:rsid w:val="002039CD"/>
    <w:rsid w:val="002044E5"/>
    <w:rsid w:val="002113D7"/>
    <w:rsid w:val="002157FE"/>
    <w:rsid w:val="00241CC6"/>
    <w:rsid w:val="002430D8"/>
    <w:rsid w:val="00255B29"/>
    <w:rsid w:val="00266BE7"/>
    <w:rsid w:val="00271C67"/>
    <w:rsid w:val="00280051"/>
    <w:rsid w:val="002841E7"/>
    <w:rsid w:val="00287DE7"/>
    <w:rsid w:val="00294428"/>
    <w:rsid w:val="002A43BA"/>
    <w:rsid w:val="002A59FE"/>
    <w:rsid w:val="002B32CB"/>
    <w:rsid w:val="002B4360"/>
    <w:rsid w:val="002C50E0"/>
    <w:rsid w:val="002D1039"/>
    <w:rsid w:val="002D299B"/>
    <w:rsid w:val="002E73A1"/>
    <w:rsid w:val="002F4882"/>
    <w:rsid w:val="002F6A7D"/>
    <w:rsid w:val="00302394"/>
    <w:rsid w:val="00302DD8"/>
    <w:rsid w:val="00312227"/>
    <w:rsid w:val="00312AFD"/>
    <w:rsid w:val="00312BF9"/>
    <w:rsid w:val="00316474"/>
    <w:rsid w:val="00321D5C"/>
    <w:rsid w:val="0032245B"/>
    <w:rsid w:val="0032325A"/>
    <w:rsid w:val="00325FE2"/>
    <w:rsid w:val="00327DB4"/>
    <w:rsid w:val="00343E31"/>
    <w:rsid w:val="00345EAD"/>
    <w:rsid w:val="00346C0D"/>
    <w:rsid w:val="00353A3F"/>
    <w:rsid w:val="003541EC"/>
    <w:rsid w:val="0035651C"/>
    <w:rsid w:val="003755DC"/>
    <w:rsid w:val="00386410"/>
    <w:rsid w:val="00393237"/>
    <w:rsid w:val="003A15B7"/>
    <w:rsid w:val="003A3CEB"/>
    <w:rsid w:val="003A7BC6"/>
    <w:rsid w:val="003B2A08"/>
    <w:rsid w:val="003C0CAD"/>
    <w:rsid w:val="003D38EF"/>
    <w:rsid w:val="003F1C8E"/>
    <w:rsid w:val="0040604C"/>
    <w:rsid w:val="00410CB9"/>
    <w:rsid w:val="004167CE"/>
    <w:rsid w:val="004237EB"/>
    <w:rsid w:val="00423DE0"/>
    <w:rsid w:val="004258CF"/>
    <w:rsid w:val="00431AB2"/>
    <w:rsid w:val="004335FB"/>
    <w:rsid w:val="00437893"/>
    <w:rsid w:val="00440A31"/>
    <w:rsid w:val="00440BDC"/>
    <w:rsid w:val="00441A52"/>
    <w:rsid w:val="00443206"/>
    <w:rsid w:val="004433D8"/>
    <w:rsid w:val="00443C5D"/>
    <w:rsid w:val="004500FF"/>
    <w:rsid w:val="00450296"/>
    <w:rsid w:val="00450F16"/>
    <w:rsid w:val="0045109B"/>
    <w:rsid w:val="004736F3"/>
    <w:rsid w:val="00480209"/>
    <w:rsid w:val="00486B7F"/>
    <w:rsid w:val="00486C03"/>
    <w:rsid w:val="004971DC"/>
    <w:rsid w:val="004A2984"/>
    <w:rsid w:val="004C02C0"/>
    <w:rsid w:val="004D36BC"/>
    <w:rsid w:val="004E7D23"/>
    <w:rsid w:val="004F1EDB"/>
    <w:rsid w:val="00510AC7"/>
    <w:rsid w:val="00512F40"/>
    <w:rsid w:val="0051317C"/>
    <w:rsid w:val="00516E1F"/>
    <w:rsid w:val="00520647"/>
    <w:rsid w:val="0052439C"/>
    <w:rsid w:val="005247CA"/>
    <w:rsid w:val="005302CD"/>
    <w:rsid w:val="005323F9"/>
    <w:rsid w:val="005338F0"/>
    <w:rsid w:val="00547B4B"/>
    <w:rsid w:val="00563146"/>
    <w:rsid w:val="005668D0"/>
    <w:rsid w:val="00576552"/>
    <w:rsid w:val="00576DB7"/>
    <w:rsid w:val="0058168C"/>
    <w:rsid w:val="00595DCE"/>
    <w:rsid w:val="005A3409"/>
    <w:rsid w:val="005A5D07"/>
    <w:rsid w:val="005B1728"/>
    <w:rsid w:val="005B2F97"/>
    <w:rsid w:val="005B4233"/>
    <w:rsid w:val="005B53AA"/>
    <w:rsid w:val="005C10DB"/>
    <w:rsid w:val="005C1C2D"/>
    <w:rsid w:val="005C2FD1"/>
    <w:rsid w:val="005C6983"/>
    <w:rsid w:val="005D71F9"/>
    <w:rsid w:val="005E3866"/>
    <w:rsid w:val="005F217B"/>
    <w:rsid w:val="005F34D9"/>
    <w:rsid w:val="00602394"/>
    <w:rsid w:val="0060531F"/>
    <w:rsid w:val="00611812"/>
    <w:rsid w:val="00661EDA"/>
    <w:rsid w:val="0066663A"/>
    <w:rsid w:val="0067189F"/>
    <w:rsid w:val="006727B3"/>
    <w:rsid w:val="0068009D"/>
    <w:rsid w:val="00687E88"/>
    <w:rsid w:val="006919FB"/>
    <w:rsid w:val="006A302C"/>
    <w:rsid w:val="006B4040"/>
    <w:rsid w:val="006C0EF7"/>
    <w:rsid w:val="006C64E2"/>
    <w:rsid w:val="006D4CF2"/>
    <w:rsid w:val="006E4CC3"/>
    <w:rsid w:val="006E5F9A"/>
    <w:rsid w:val="006F74DC"/>
    <w:rsid w:val="006F7A8F"/>
    <w:rsid w:val="00703861"/>
    <w:rsid w:val="007111BD"/>
    <w:rsid w:val="00714263"/>
    <w:rsid w:val="00715401"/>
    <w:rsid w:val="00734FF3"/>
    <w:rsid w:val="007455E1"/>
    <w:rsid w:val="0074616E"/>
    <w:rsid w:val="00756019"/>
    <w:rsid w:val="00762B26"/>
    <w:rsid w:val="00771122"/>
    <w:rsid w:val="00790434"/>
    <w:rsid w:val="007A75A7"/>
    <w:rsid w:val="007D5107"/>
    <w:rsid w:val="007E2151"/>
    <w:rsid w:val="007F14CA"/>
    <w:rsid w:val="007F1936"/>
    <w:rsid w:val="007F486B"/>
    <w:rsid w:val="007F5319"/>
    <w:rsid w:val="007F60BA"/>
    <w:rsid w:val="007F7071"/>
    <w:rsid w:val="00810F3F"/>
    <w:rsid w:val="00811B43"/>
    <w:rsid w:val="008156E1"/>
    <w:rsid w:val="008174C4"/>
    <w:rsid w:val="00817C0B"/>
    <w:rsid w:val="00824E46"/>
    <w:rsid w:val="00830AC2"/>
    <w:rsid w:val="00831A0E"/>
    <w:rsid w:val="0083454E"/>
    <w:rsid w:val="008347C2"/>
    <w:rsid w:val="0084398F"/>
    <w:rsid w:val="00843E13"/>
    <w:rsid w:val="00844FF1"/>
    <w:rsid w:val="00846CCB"/>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59E9"/>
    <w:rsid w:val="008B60D8"/>
    <w:rsid w:val="008B6A76"/>
    <w:rsid w:val="008B75A6"/>
    <w:rsid w:val="008D07D7"/>
    <w:rsid w:val="008D167A"/>
    <w:rsid w:val="008D36CC"/>
    <w:rsid w:val="008D37F0"/>
    <w:rsid w:val="008F5DBB"/>
    <w:rsid w:val="008F6D2E"/>
    <w:rsid w:val="00905EAD"/>
    <w:rsid w:val="00911726"/>
    <w:rsid w:val="0091481A"/>
    <w:rsid w:val="00914A84"/>
    <w:rsid w:val="009177F7"/>
    <w:rsid w:val="00917F5B"/>
    <w:rsid w:val="00921CCC"/>
    <w:rsid w:val="00922D59"/>
    <w:rsid w:val="009231A4"/>
    <w:rsid w:val="0092548D"/>
    <w:rsid w:val="00930D2E"/>
    <w:rsid w:val="00932429"/>
    <w:rsid w:val="00937EF3"/>
    <w:rsid w:val="00941195"/>
    <w:rsid w:val="00941A42"/>
    <w:rsid w:val="00947371"/>
    <w:rsid w:val="00947CB1"/>
    <w:rsid w:val="009505E5"/>
    <w:rsid w:val="00950948"/>
    <w:rsid w:val="00951F19"/>
    <w:rsid w:val="0095255A"/>
    <w:rsid w:val="0095748D"/>
    <w:rsid w:val="00960A5B"/>
    <w:rsid w:val="0096148E"/>
    <w:rsid w:val="00963F3F"/>
    <w:rsid w:val="0098025D"/>
    <w:rsid w:val="009843E0"/>
    <w:rsid w:val="00984678"/>
    <w:rsid w:val="00985B9D"/>
    <w:rsid w:val="00991B86"/>
    <w:rsid w:val="00995E3E"/>
    <w:rsid w:val="00996588"/>
    <w:rsid w:val="00997C7F"/>
    <w:rsid w:val="009A120B"/>
    <w:rsid w:val="009A39F9"/>
    <w:rsid w:val="009A4425"/>
    <w:rsid w:val="009A6F49"/>
    <w:rsid w:val="009A73CF"/>
    <w:rsid w:val="009B05CD"/>
    <w:rsid w:val="009D2E1E"/>
    <w:rsid w:val="009D5612"/>
    <w:rsid w:val="009D6105"/>
    <w:rsid w:val="009D711E"/>
    <w:rsid w:val="009E302C"/>
    <w:rsid w:val="009E5269"/>
    <w:rsid w:val="009F46E9"/>
    <w:rsid w:val="009F5C41"/>
    <w:rsid w:val="00A10E83"/>
    <w:rsid w:val="00A1279E"/>
    <w:rsid w:val="00A1328C"/>
    <w:rsid w:val="00A231E1"/>
    <w:rsid w:val="00A43B3A"/>
    <w:rsid w:val="00A6238E"/>
    <w:rsid w:val="00A71E04"/>
    <w:rsid w:val="00A72B4B"/>
    <w:rsid w:val="00A80EB8"/>
    <w:rsid w:val="00A8568B"/>
    <w:rsid w:val="00A8777A"/>
    <w:rsid w:val="00A903B8"/>
    <w:rsid w:val="00A9214F"/>
    <w:rsid w:val="00A930F6"/>
    <w:rsid w:val="00AA0137"/>
    <w:rsid w:val="00AA34D6"/>
    <w:rsid w:val="00AB1358"/>
    <w:rsid w:val="00AB3ADF"/>
    <w:rsid w:val="00AB507D"/>
    <w:rsid w:val="00AD1BFF"/>
    <w:rsid w:val="00AD1CF0"/>
    <w:rsid w:val="00AD4C10"/>
    <w:rsid w:val="00AE6E47"/>
    <w:rsid w:val="00AF22BA"/>
    <w:rsid w:val="00AF4E2F"/>
    <w:rsid w:val="00B015A5"/>
    <w:rsid w:val="00B034C5"/>
    <w:rsid w:val="00B051A1"/>
    <w:rsid w:val="00B10B2F"/>
    <w:rsid w:val="00B20CF7"/>
    <w:rsid w:val="00B24021"/>
    <w:rsid w:val="00B251AD"/>
    <w:rsid w:val="00B40642"/>
    <w:rsid w:val="00B43B3C"/>
    <w:rsid w:val="00B53D99"/>
    <w:rsid w:val="00B5631E"/>
    <w:rsid w:val="00B607DF"/>
    <w:rsid w:val="00B619E9"/>
    <w:rsid w:val="00B63BF5"/>
    <w:rsid w:val="00B640F3"/>
    <w:rsid w:val="00B76C65"/>
    <w:rsid w:val="00B83EB6"/>
    <w:rsid w:val="00B85804"/>
    <w:rsid w:val="00B90F61"/>
    <w:rsid w:val="00B91057"/>
    <w:rsid w:val="00B92AF5"/>
    <w:rsid w:val="00BA00D6"/>
    <w:rsid w:val="00BA6C30"/>
    <w:rsid w:val="00BB77F0"/>
    <w:rsid w:val="00BC6B58"/>
    <w:rsid w:val="00BD0D06"/>
    <w:rsid w:val="00BD226A"/>
    <w:rsid w:val="00BD5E01"/>
    <w:rsid w:val="00BD7FB6"/>
    <w:rsid w:val="00BE2F31"/>
    <w:rsid w:val="00BF3D9B"/>
    <w:rsid w:val="00BF4735"/>
    <w:rsid w:val="00BF4CCC"/>
    <w:rsid w:val="00C16025"/>
    <w:rsid w:val="00C20C4F"/>
    <w:rsid w:val="00C221A2"/>
    <w:rsid w:val="00C3792C"/>
    <w:rsid w:val="00C516BF"/>
    <w:rsid w:val="00C51F24"/>
    <w:rsid w:val="00C53AB1"/>
    <w:rsid w:val="00C56345"/>
    <w:rsid w:val="00C60709"/>
    <w:rsid w:val="00C66556"/>
    <w:rsid w:val="00C75D08"/>
    <w:rsid w:val="00C85BA5"/>
    <w:rsid w:val="00C9156E"/>
    <w:rsid w:val="00C96F6D"/>
    <w:rsid w:val="00CB7B50"/>
    <w:rsid w:val="00CC5489"/>
    <w:rsid w:val="00CE0AAC"/>
    <w:rsid w:val="00CE4CBB"/>
    <w:rsid w:val="00CF4853"/>
    <w:rsid w:val="00CF67F4"/>
    <w:rsid w:val="00D055EE"/>
    <w:rsid w:val="00D14A75"/>
    <w:rsid w:val="00D1733E"/>
    <w:rsid w:val="00D21589"/>
    <w:rsid w:val="00D276F7"/>
    <w:rsid w:val="00D41B2F"/>
    <w:rsid w:val="00D42100"/>
    <w:rsid w:val="00D533AF"/>
    <w:rsid w:val="00D710EA"/>
    <w:rsid w:val="00D7581A"/>
    <w:rsid w:val="00D75EBF"/>
    <w:rsid w:val="00D85DC2"/>
    <w:rsid w:val="00D87104"/>
    <w:rsid w:val="00D90AD2"/>
    <w:rsid w:val="00D94469"/>
    <w:rsid w:val="00D968F8"/>
    <w:rsid w:val="00DA0C6E"/>
    <w:rsid w:val="00DA1280"/>
    <w:rsid w:val="00DC10D8"/>
    <w:rsid w:val="00DD0E1B"/>
    <w:rsid w:val="00DD4AF1"/>
    <w:rsid w:val="00DD77CC"/>
    <w:rsid w:val="00DE2E32"/>
    <w:rsid w:val="00DE3DEC"/>
    <w:rsid w:val="00DE5B97"/>
    <w:rsid w:val="00DE675A"/>
    <w:rsid w:val="00DF202C"/>
    <w:rsid w:val="00DF41F7"/>
    <w:rsid w:val="00DF608C"/>
    <w:rsid w:val="00E0177B"/>
    <w:rsid w:val="00E10428"/>
    <w:rsid w:val="00E132E9"/>
    <w:rsid w:val="00E15728"/>
    <w:rsid w:val="00E21BE1"/>
    <w:rsid w:val="00E2540E"/>
    <w:rsid w:val="00E327CE"/>
    <w:rsid w:val="00E610AD"/>
    <w:rsid w:val="00E616A3"/>
    <w:rsid w:val="00E705B8"/>
    <w:rsid w:val="00E83DA6"/>
    <w:rsid w:val="00E8418F"/>
    <w:rsid w:val="00E8734A"/>
    <w:rsid w:val="00E90C35"/>
    <w:rsid w:val="00E97587"/>
    <w:rsid w:val="00EB418C"/>
    <w:rsid w:val="00EB6A5C"/>
    <w:rsid w:val="00ED0651"/>
    <w:rsid w:val="00ED1285"/>
    <w:rsid w:val="00ED1664"/>
    <w:rsid w:val="00ED2006"/>
    <w:rsid w:val="00ED33E2"/>
    <w:rsid w:val="00EE43D6"/>
    <w:rsid w:val="00EE4466"/>
    <w:rsid w:val="00EF157C"/>
    <w:rsid w:val="00EF1E4B"/>
    <w:rsid w:val="00EF4213"/>
    <w:rsid w:val="00EF744B"/>
    <w:rsid w:val="00F14075"/>
    <w:rsid w:val="00F14630"/>
    <w:rsid w:val="00F22DC0"/>
    <w:rsid w:val="00F25381"/>
    <w:rsid w:val="00F25697"/>
    <w:rsid w:val="00F328A6"/>
    <w:rsid w:val="00F352E0"/>
    <w:rsid w:val="00F3570B"/>
    <w:rsid w:val="00F503E9"/>
    <w:rsid w:val="00F50B0A"/>
    <w:rsid w:val="00F52D0A"/>
    <w:rsid w:val="00F54D46"/>
    <w:rsid w:val="00F5552E"/>
    <w:rsid w:val="00F67B02"/>
    <w:rsid w:val="00F70F94"/>
    <w:rsid w:val="00F72329"/>
    <w:rsid w:val="00F73E42"/>
    <w:rsid w:val="00F90ABF"/>
    <w:rsid w:val="00F94ACC"/>
    <w:rsid w:val="00FA10CE"/>
    <w:rsid w:val="00FA775D"/>
    <w:rsid w:val="00FB285F"/>
    <w:rsid w:val="00FC0757"/>
    <w:rsid w:val="00FC43D3"/>
    <w:rsid w:val="00FC51E1"/>
    <w:rsid w:val="00FC54A2"/>
    <w:rsid w:val="00FC7DB7"/>
    <w:rsid w:val="00FE1CDE"/>
    <w:rsid w:val="00FE1ED0"/>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E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3413821">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zcv@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6E98-FDC4-485F-A34D-8559456F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2025</Words>
  <Characters>11954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4</cp:revision>
  <cp:lastPrinted>2022-12-21T08:22:00Z</cp:lastPrinted>
  <dcterms:created xsi:type="dcterms:W3CDTF">2022-12-21T12:06:00Z</dcterms:created>
  <dcterms:modified xsi:type="dcterms:W3CDTF">2022-12-22T05:30:00Z</dcterms:modified>
</cp:coreProperties>
</file>