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3A9D4" w14:textId="77777777" w:rsidR="00B047CC" w:rsidRDefault="00266F43">
      <w:pPr>
        <w:framePr w:wrap="none" w:vAnchor="page" w:hAnchor="page" w:x="1092" w:y="1367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2022/media/image1.jpeg" \* MERGEFORMATINET </w:instrText>
      </w:r>
      <w:r>
        <w:fldChar w:fldCharType="separate"/>
      </w:r>
      <w:r w:rsidR="004F41F5">
        <w:fldChar w:fldCharType="begin"/>
      </w:r>
      <w:r w:rsidR="004F41F5">
        <w:instrText xml:space="preserve"> INCLUDEPICTURE  "https://hdkarlin-my.sharepoint.com/personal/simona_wagenknechtova_hdk_cz/Documents/Plocha/SMLOUVY OneSoft/OBJEDNÁVKY 2022/media/image1.jpeg" \* MERGEFORMATINET </w:instrText>
      </w:r>
      <w:r w:rsidR="004F41F5">
        <w:fldChar w:fldCharType="separate"/>
      </w:r>
      <w:r w:rsidR="00000000">
        <w:fldChar w:fldCharType="begin"/>
      </w:r>
      <w:r w:rsidR="00000000">
        <w:instrText xml:space="preserve"> INCLUDEPICTURE  "C:\\Users\\Markétka\\Downloads\\media\\image1.jpeg" \* MERGEFORMATINET </w:instrText>
      </w:r>
      <w:r w:rsidR="00000000">
        <w:fldChar w:fldCharType="separate"/>
      </w:r>
      <w:r w:rsidR="00000000">
        <w:pict w14:anchorId="08E3AA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4pt;height:38.4pt">
            <v:imagedata r:id="rId7" r:href="rId8"/>
          </v:shape>
        </w:pict>
      </w:r>
      <w:r w:rsidR="00000000">
        <w:fldChar w:fldCharType="end"/>
      </w:r>
      <w:r w:rsidR="004F41F5">
        <w:fldChar w:fldCharType="end"/>
      </w:r>
      <w:r>
        <w:fldChar w:fldCharType="end"/>
      </w:r>
    </w:p>
    <w:p w14:paraId="08E3A9D5" w14:textId="77777777" w:rsidR="00B047CC" w:rsidRDefault="00266F43">
      <w:pPr>
        <w:pStyle w:val="Bodytext30"/>
        <w:framePr w:wrap="none" w:vAnchor="page" w:hAnchor="page" w:x="996" w:y="1552"/>
        <w:shd w:val="clear" w:color="auto" w:fill="auto"/>
        <w:spacing w:after="0"/>
        <w:ind w:left="994"/>
      </w:pPr>
      <w:r>
        <w:rPr>
          <w:rStyle w:val="Bodytext31"/>
          <w:b/>
          <w:bCs/>
        </w:rPr>
        <w:t>GORDIC</w:t>
      </w:r>
    </w:p>
    <w:p w14:paraId="08E3A9D6" w14:textId="77777777" w:rsidR="00B047CC" w:rsidRDefault="00266F43">
      <w:pPr>
        <w:pStyle w:val="Heading10"/>
        <w:framePr w:w="10022" w:h="2749" w:hRule="exact" w:wrap="none" w:vAnchor="page" w:hAnchor="page" w:x="996" w:y="2516"/>
        <w:shd w:val="clear" w:color="auto" w:fill="auto"/>
        <w:spacing w:before="0" w:after="602"/>
      </w:pPr>
      <w:bookmarkStart w:id="0" w:name="bookmark1"/>
      <w:r>
        <w:t>Cenová nabídka dodávky programového vybavení GORDIC® produktové řady GINIS® Express</w:t>
      </w:r>
      <w:bookmarkEnd w:id="0"/>
    </w:p>
    <w:p w14:paraId="08E3A9D7" w14:textId="5B950401" w:rsidR="00B047CC" w:rsidRDefault="00266F43">
      <w:pPr>
        <w:pStyle w:val="Heading30"/>
        <w:framePr w:w="10022" w:h="2749" w:hRule="exact" w:wrap="none" w:vAnchor="page" w:hAnchor="page" w:x="996" w:y="2516"/>
        <w:shd w:val="clear" w:color="auto" w:fill="auto"/>
        <w:spacing w:before="0" w:after="0"/>
        <w:ind w:right="1900"/>
      </w:pPr>
      <w:bookmarkStart w:id="1" w:name="bookmark2"/>
      <w:r>
        <w:rPr>
          <w:rStyle w:val="Heading31"/>
          <w:b/>
          <w:bCs/>
        </w:rPr>
        <w:t>Hudební divadlo v Karlíně, Křižíkova 283/10,186 00 Praha 8 - Karlín příspěvková organizace</w:t>
      </w:r>
      <w:bookmarkEnd w:id="1"/>
    </w:p>
    <w:p w14:paraId="08E3A9D8" w14:textId="77777777" w:rsidR="00B047CC" w:rsidRDefault="00266F43">
      <w:pPr>
        <w:pStyle w:val="Bodytext20"/>
        <w:framePr w:w="10022" w:h="2300" w:hRule="exact" w:wrap="none" w:vAnchor="page" w:hAnchor="page" w:x="996" w:y="5762"/>
        <w:shd w:val="clear" w:color="auto" w:fill="auto"/>
        <w:spacing w:before="0"/>
        <w:ind w:left="560"/>
      </w:pPr>
      <w:r>
        <w:t>Vážený pane Šilhák,</w:t>
      </w:r>
    </w:p>
    <w:p w14:paraId="08E3A9D9" w14:textId="77777777" w:rsidR="00B047CC" w:rsidRDefault="00266F43">
      <w:pPr>
        <w:pStyle w:val="Bodytext20"/>
        <w:framePr w:w="10022" w:h="2300" w:hRule="exact" w:wrap="none" w:vAnchor="page" w:hAnchor="page" w:x="996" w:y="5762"/>
        <w:shd w:val="clear" w:color="auto" w:fill="auto"/>
        <w:spacing w:before="0"/>
        <w:ind w:firstLine="760"/>
      </w:pPr>
      <w:r>
        <w:t xml:space="preserve">na základě poptávky Vám zasílám cenovou kalkulaci na rozšíření modulů </w:t>
      </w:r>
      <w:proofErr w:type="gramStart"/>
      <w:r>
        <w:rPr>
          <w:rStyle w:val="Bodytext2Bold"/>
        </w:rPr>
        <w:t>UCR - Účetnictví</w:t>
      </w:r>
      <w:proofErr w:type="gramEnd"/>
      <w:r>
        <w:rPr>
          <w:rStyle w:val="Bodytext2Bold"/>
        </w:rPr>
        <w:t xml:space="preserve"> a rozpočet </w:t>
      </w:r>
      <w:r>
        <w:t xml:space="preserve">(dále též </w:t>
      </w:r>
      <w:r w:rsidRPr="00266F43">
        <w:rPr>
          <w:rStyle w:val="Bodytext2Bold"/>
          <w:b w:val="0"/>
        </w:rPr>
        <w:t>„UCR"),</w:t>
      </w:r>
      <w:r>
        <w:rPr>
          <w:rStyle w:val="Bodytext2Bold"/>
        </w:rPr>
        <w:t xml:space="preserve"> EMA- Evidence majetku </w:t>
      </w:r>
      <w:r>
        <w:t xml:space="preserve">(dále též „EMA"), </w:t>
      </w:r>
      <w:r>
        <w:rPr>
          <w:rStyle w:val="Bodytext2Bold"/>
        </w:rPr>
        <w:t xml:space="preserve">KDF - Kniha došlých faktur </w:t>
      </w:r>
      <w:r>
        <w:t xml:space="preserve">(dále též „KDF"), </w:t>
      </w:r>
      <w:r w:rsidRPr="00266F43">
        <w:rPr>
          <w:b/>
        </w:rPr>
        <w:t>KOF -</w:t>
      </w:r>
      <w:r>
        <w:t xml:space="preserve"> </w:t>
      </w:r>
      <w:r>
        <w:rPr>
          <w:rStyle w:val="Bodytext2Bold"/>
        </w:rPr>
        <w:t xml:space="preserve">Kniha odeslaných faktur </w:t>
      </w:r>
      <w:r>
        <w:t xml:space="preserve">(dále též „KOF"), </w:t>
      </w:r>
      <w:r>
        <w:rPr>
          <w:rStyle w:val="Bodytext2Bold"/>
        </w:rPr>
        <w:t xml:space="preserve">KXF - Komunikace s bankou </w:t>
      </w:r>
      <w:r>
        <w:t xml:space="preserve">(dále též „KXF") a </w:t>
      </w:r>
      <w:r>
        <w:rPr>
          <w:rStyle w:val="Bodytext2Bold"/>
        </w:rPr>
        <w:t xml:space="preserve">POK - Pokladna </w:t>
      </w:r>
      <w:r>
        <w:t xml:space="preserve">(dále též „POK"), </w:t>
      </w:r>
      <w:r>
        <w:rPr>
          <w:rStyle w:val="Bodytext2Bold"/>
        </w:rPr>
        <w:t xml:space="preserve">VYK - Výkaznictví </w:t>
      </w:r>
      <w:r>
        <w:rPr>
          <w:lang w:val="en-US" w:eastAsia="en-US" w:bidi="en-US"/>
        </w:rPr>
        <w:t xml:space="preserve">(dale </w:t>
      </w:r>
      <w:r>
        <w:t>též „VYK"),</w:t>
      </w:r>
    </w:p>
    <w:p w14:paraId="08E3A9DA" w14:textId="77777777" w:rsidR="00B047CC" w:rsidRDefault="00266F43">
      <w:pPr>
        <w:pStyle w:val="Bodytext40"/>
        <w:framePr w:w="10022" w:h="2300" w:hRule="exact" w:wrap="none" w:vAnchor="page" w:hAnchor="page" w:x="996" w:y="5762"/>
        <w:shd w:val="clear" w:color="auto" w:fill="auto"/>
      </w:pPr>
      <w:r>
        <w:rPr>
          <w:rStyle w:val="Bodytext41"/>
          <w:b/>
          <w:bCs/>
        </w:rPr>
        <w:t>na řadu GINIS® Express SQL</w:t>
      </w:r>
      <w:r>
        <w:t xml:space="preserve"> </w:t>
      </w:r>
      <w:r>
        <w:rPr>
          <w:rStyle w:val="Bodytext4NotBold"/>
        </w:rPr>
        <w:t xml:space="preserve">a nákup nového programu </w:t>
      </w:r>
      <w:proofErr w:type="gramStart"/>
      <w:r>
        <w:t>ESU - Externí</w:t>
      </w:r>
      <w:proofErr w:type="gramEnd"/>
      <w:r>
        <w:t xml:space="preserve"> subjekty </w:t>
      </w:r>
      <w:r>
        <w:rPr>
          <w:rStyle w:val="Bodytext4NotBold"/>
        </w:rPr>
        <w:t xml:space="preserve">(dále též </w:t>
      </w:r>
      <w:r w:rsidRPr="00266F43">
        <w:rPr>
          <w:b w:val="0"/>
        </w:rPr>
        <w:t>„ESU").</w:t>
      </w:r>
      <w:r>
        <w:t xml:space="preserve"> </w:t>
      </w:r>
      <w:r>
        <w:rPr>
          <w:rStyle w:val="Bodytext4NotBold"/>
        </w:rPr>
        <w:t xml:space="preserve">Dále </w:t>
      </w:r>
      <w:r>
        <w:t xml:space="preserve">rozšíření modulu UCR o automatické pořizování </w:t>
      </w:r>
      <w:r>
        <w:rPr>
          <w:lang w:val="en-US" w:eastAsia="en-US" w:bidi="en-US"/>
        </w:rPr>
        <w:t xml:space="preserve">PAP </w:t>
      </w:r>
      <w:r>
        <w:t xml:space="preserve">a dokladové kontroly </w:t>
      </w:r>
      <w:r>
        <w:rPr>
          <w:lang w:val="en-US" w:eastAsia="en-US" w:bidi="en-US"/>
        </w:rPr>
        <w:t xml:space="preserve">PAP </w:t>
      </w:r>
      <w:r>
        <w:t xml:space="preserve">a rozšíření modulu </w:t>
      </w:r>
      <w:r>
        <w:rPr>
          <w:rStyle w:val="Bodytext4Italic"/>
          <w:b/>
          <w:bCs/>
        </w:rPr>
        <w:t xml:space="preserve">KDF </w:t>
      </w:r>
      <w:r>
        <w:rPr>
          <w:rStyle w:val="Bodytext4NotBoldItalic"/>
        </w:rPr>
        <w:t>o</w:t>
      </w:r>
    </w:p>
    <w:p w14:paraId="08E3A9DB" w14:textId="77777777" w:rsidR="00B047CC" w:rsidRDefault="00266F43">
      <w:pPr>
        <w:pStyle w:val="Bodytext50"/>
        <w:framePr w:w="10022" w:h="2300" w:hRule="exact" w:wrap="none" w:vAnchor="page" w:hAnchor="page" w:x="996" w:y="5762"/>
        <w:shd w:val="clear" w:color="auto" w:fill="auto"/>
        <w:spacing w:after="0"/>
      </w:pPr>
      <w:r>
        <w:t>rozšíření-</w:t>
      </w:r>
      <w:proofErr w:type="spellStart"/>
      <w:proofErr w:type="gramStart"/>
      <w:r>
        <w:t>el.písemnosti</w:t>
      </w:r>
      <w:proofErr w:type="spellEnd"/>
      <w:proofErr w:type="gramEnd"/>
      <w:r>
        <w:t>-plátce DPH-spolehlivost plátců.</w:t>
      </w:r>
    </w:p>
    <w:p w14:paraId="08E3A9DC" w14:textId="77777777" w:rsidR="00B047CC" w:rsidRDefault="00266F43">
      <w:pPr>
        <w:pStyle w:val="Bodytext20"/>
        <w:framePr w:w="10022" w:h="894" w:hRule="exact" w:wrap="none" w:vAnchor="page" w:hAnchor="page" w:x="996" w:y="8565"/>
        <w:shd w:val="clear" w:color="auto" w:fill="auto"/>
        <w:spacing w:before="0"/>
        <w:ind w:firstLine="0"/>
      </w:pPr>
      <w:r>
        <w:t>Přechod na GINIS Express SQL je z pohledu uživatele současného GINIS Express tzv. systémový upgrade, jde o „povýšení stávající verze na verzi vyšší". GINIS Express SQL se implementuje na volně dostupné databázi Microsoft SQL Express 2014 a vyšší.</w:t>
      </w:r>
    </w:p>
    <w:p w14:paraId="08E3A9DD" w14:textId="77777777" w:rsidR="00B047CC" w:rsidRDefault="00266F43">
      <w:pPr>
        <w:pStyle w:val="Heading30"/>
        <w:framePr w:w="10022" w:h="5260" w:hRule="exact" w:wrap="none" w:vAnchor="page" w:hAnchor="page" w:x="996" w:y="10108"/>
        <w:shd w:val="clear" w:color="auto" w:fill="auto"/>
        <w:spacing w:before="0" w:after="185" w:line="268" w:lineRule="exact"/>
      </w:pPr>
      <w:bookmarkStart w:id="2" w:name="bookmark3"/>
      <w:r>
        <w:t>Popis dodávky</w:t>
      </w:r>
      <w:bookmarkEnd w:id="2"/>
    </w:p>
    <w:p w14:paraId="08E3A9DE" w14:textId="134C536D" w:rsidR="00B047CC" w:rsidRDefault="00266F43">
      <w:pPr>
        <w:pStyle w:val="Bodytext20"/>
        <w:framePr w:w="10022" w:h="5260" w:hRule="exact" w:wrap="none" w:vAnchor="page" w:hAnchor="page" w:x="996" w:y="10108"/>
        <w:numPr>
          <w:ilvl w:val="0"/>
          <w:numId w:val="1"/>
        </w:numPr>
        <w:shd w:val="clear" w:color="auto" w:fill="auto"/>
        <w:tabs>
          <w:tab w:val="left" w:pos="586"/>
        </w:tabs>
        <w:spacing w:before="0" w:after="87" w:line="212" w:lineRule="exact"/>
        <w:ind w:left="560"/>
      </w:pPr>
      <w:r>
        <w:t xml:space="preserve">Rozšíření současné licence UCR </w:t>
      </w:r>
      <w:proofErr w:type="gramStart"/>
      <w:r>
        <w:rPr>
          <w:lang w:val="en-US" w:eastAsia="en-US" w:bidi="en-US"/>
        </w:rPr>
        <w:t>NET(</w:t>
      </w:r>
      <w:proofErr w:type="gramEnd"/>
      <w:r>
        <w:rPr>
          <w:lang w:val="en-US" w:eastAsia="en-US" w:bidi="en-US"/>
        </w:rPr>
        <w:t xml:space="preserve">*) </w:t>
      </w:r>
      <w:r>
        <w:t>- v. WIN do 15 000 zápisů/měsíc + server + 5 klientů na verzi</w:t>
      </w:r>
    </w:p>
    <w:p w14:paraId="08E3A9DF" w14:textId="4BF98802" w:rsidR="00B047CC" w:rsidRDefault="00266F43">
      <w:pPr>
        <w:pStyle w:val="Bodytext20"/>
        <w:framePr w:w="10022" w:h="5260" w:hRule="exact" w:wrap="none" w:vAnchor="page" w:hAnchor="page" w:x="996" w:y="10108"/>
        <w:shd w:val="clear" w:color="auto" w:fill="auto"/>
        <w:spacing w:before="0" w:after="140"/>
        <w:ind w:left="560" w:firstLine="0"/>
        <w:jc w:val="both"/>
      </w:pPr>
      <w:r>
        <w:t xml:space="preserve">UCR </w:t>
      </w:r>
      <w:proofErr w:type="gramStart"/>
      <w:r>
        <w:rPr>
          <w:lang w:val="en-US" w:eastAsia="en-US" w:bidi="en-US"/>
        </w:rPr>
        <w:t>NET(</w:t>
      </w:r>
      <w:proofErr w:type="gramEnd"/>
      <w:r>
        <w:rPr>
          <w:lang w:val="en-US" w:eastAsia="en-US" w:bidi="en-US"/>
        </w:rPr>
        <w:t xml:space="preserve">*) </w:t>
      </w:r>
      <w:r>
        <w:t>- v. SQL do 15 000 zápisů/měsíc + server + 5 klientů + rozšíření - automatické pořízení PAP + dokladové kontroly PAP</w:t>
      </w:r>
    </w:p>
    <w:p w14:paraId="08E3A9E0" w14:textId="3C41FA1D" w:rsidR="00B047CC" w:rsidRDefault="00266F43">
      <w:pPr>
        <w:pStyle w:val="Bodytext20"/>
        <w:framePr w:w="10022" w:h="5260" w:hRule="exact" w:wrap="none" w:vAnchor="page" w:hAnchor="page" w:x="996" w:y="10108"/>
        <w:numPr>
          <w:ilvl w:val="0"/>
          <w:numId w:val="1"/>
        </w:numPr>
        <w:shd w:val="clear" w:color="auto" w:fill="auto"/>
        <w:tabs>
          <w:tab w:val="left" w:pos="586"/>
        </w:tabs>
        <w:spacing w:before="0" w:after="136"/>
        <w:ind w:left="560"/>
      </w:pPr>
      <w:r>
        <w:t xml:space="preserve">Rozšíření současné licence EMA </w:t>
      </w:r>
      <w:proofErr w:type="gramStart"/>
      <w:r>
        <w:t>LOC(</w:t>
      </w:r>
      <w:proofErr w:type="gramEnd"/>
      <w:r>
        <w:t xml:space="preserve">*), - </w:t>
      </w:r>
      <w:proofErr w:type="spellStart"/>
      <w:r>
        <w:t>v.WIN</w:t>
      </w:r>
      <w:proofErr w:type="spellEnd"/>
      <w:r>
        <w:t xml:space="preserve"> do 10 000 karet + Automatizace inventur doplatek na verzi EMA </w:t>
      </w:r>
      <w:r>
        <w:rPr>
          <w:lang w:val="en-US" w:eastAsia="en-US" w:bidi="en-US"/>
        </w:rPr>
        <w:t xml:space="preserve">NET(*) </w:t>
      </w:r>
      <w:r>
        <w:t xml:space="preserve">- </w:t>
      </w:r>
      <w:proofErr w:type="spellStart"/>
      <w:r>
        <w:t>v.SQL</w:t>
      </w:r>
      <w:proofErr w:type="spellEnd"/>
      <w:r>
        <w:t xml:space="preserve"> do 10 000 karet + server + 5 klientů + Automatizace inventur doplatek</w:t>
      </w:r>
    </w:p>
    <w:p w14:paraId="08E3A9E1" w14:textId="4BCD6E40" w:rsidR="00B047CC" w:rsidRDefault="00266F43">
      <w:pPr>
        <w:pStyle w:val="Bodytext20"/>
        <w:framePr w:w="10022" w:h="5260" w:hRule="exact" w:wrap="none" w:vAnchor="page" w:hAnchor="page" w:x="996" w:y="10108"/>
        <w:numPr>
          <w:ilvl w:val="0"/>
          <w:numId w:val="1"/>
        </w:numPr>
        <w:shd w:val="clear" w:color="auto" w:fill="auto"/>
        <w:tabs>
          <w:tab w:val="left" w:pos="586"/>
        </w:tabs>
        <w:spacing w:before="0" w:after="140" w:line="283" w:lineRule="exact"/>
        <w:ind w:left="560"/>
      </w:pPr>
      <w:r>
        <w:t xml:space="preserve">Rozšíření současné licence KDF </w:t>
      </w:r>
      <w:proofErr w:type="gramStart"/>
      <w:r>
        <w:t>LOC(</w:t>
      </w:r>
      <w:proofErr w:type="gramEnd"/>
      <w:r>
        <w:t xml:space="preserve">*) - </w:t>
      </w:r>
      <w:proofErr w:type="spellStart"/>
      <w:r>
        <w:t>v.WIN</w:t>
      </w:r>
      <w:proofErr w:type="spellEnd"/>
      <w:r>
        <w:t xml:space="preserve"> do 2 000 faktur/rok na verzi KDF </w:t>
      </w:r>
      <w:r>
        <w:rPr>
          <w:lang w:val="en-US" w:eastAsia="en-US" w:bidi="en-US"/>
        </w:rPr>
        <w:t xml:space="preserve">NET(*) </w:t>
      </w:r>
      <w:r>
        <w:t xml:space="preserve">- </w:t>
      </w:r>
      <w:proofErr w:type="spellStart"/>
      <w:r>
        <w:t>v.SQL</w:t>
      </w:r>
      <w:proofErr w:type="spellEnd"/>
      <w:r>
        <w:t xml:space="preserve"> do 2 000 faktur/rok + server + 5 klientů + el. písemnosti (ověřování spolehlivosti plátců).</w:t>
      </w:r>
    </w:p>
    <w:p w14:paraId="08E3A9E2" w14:textId="113C8A56" w:rsidR="00B047CC" w:rsidRDefault="00266F43">
      <w:pPr>
        <w:pStyle w:val="Bodytext20"/>
        <w:framePr w:w="10022" w:h="5260" w:hRule="exact" w:wrap="none" w:vAnchor="page" w:hAnchor="page" w:x="996" w:y="10108"/>
        <w:numPr>
          <w:ilvl w:val="0"/>
          <w:numId w:val="1"/>
        </w:numPr>
        <w:shd w:val="clear" w:color="auto" w:fill="auto"/>
        <w:tabs>
          <w:tab w:val="left" w:pos="586"/>
        </w:tabs>
        <w:spacing w:before="0" w:after="140" w:line="283" w:lineRule="exact"/>
        <w:ind w:left="560"/>
      </w:pPr>
      <w:r>
        <w:t xml:space="preserve">Rozšíření současné licence KOF </w:t>
      </w:r>
      <w:proofErr w:type="gramStart"/>
      <w:r>
        <w:t>LOC(</w:t>
      </w:r>
      <w:proofErr w:type="gramEnd"/>
      <w:r>
        <w:t xml:space="preserve">*) - </w:t>
      </w:r>
      <w:proofErr w:type="spellStart"/>
      <w:r>
        <w:t>v.WIN</w:t>
      </w:r>
      <w:proofErr w:type="spellEnd"/>
      <w:r>
        <w:t xml:space="preserve"> do 2 000 faktur/rok na verzi KOF </w:t>
      </w:r>
      <w:r>
        <w:rPr>
          <w:lang w:val="en-US" w:eastAsia="en-US" w:bidi="en-US"/>
        </w:rPr>
        <w:t xml:space="preserve">NET(*) </w:t>
      </w:r>
      <w:r>
        <w:t xml:space="preserve">- </w:t>
      </w:r>
      <w:proofErr w:type="spellStart"/>
      <w:r>
        <w:t>v.SQL</w:t>
      </w:r>
      <w:proofErr w:type="spellEnd"/>
      <w:r>
        <w:t xml:space="preserve"> do 2 000 faktur/rok + server + 5 klientů</w:t>
      </w:r>
    </w:p>
    <w:p w14:paraId="08E3A9E3" w14:textId="09FB96E8" w:rsidR="00B047CC" w:rsidRDefault="00266F43">
      <w:pPr>
        <w:pStyle w:val="Bodytext20"/>
        <w:framePr w:w="10022" w:h="5260" w:hRule="exact" w:wrap="none" w:vAnchor="page" w:hAnchor="page" w:x="996" w:y="10108"/>
        <w:numPr>
          <w:ilvl w:val="0"/>
          <w:numId w:val="1"/>
        </w:numPr>
        <w:shd w:val="clear" w:color="auto" w:fill="auto"/>
        <w:tabs>
          <w:tab w:val="left" w:pos="586"/>
        </w:tabs>
        <w:spacing w:before="0" w:after="144" w:line="283" w:lineRule="exact"/>
        <w:ind w:left="560"/>
      </w:pPr>
      <w:r>
        <w:t xml:space="preserve">Rozšíření současné licence KXF </w:t>
      </w:r>
      <w:proofErr w:type="gramStart"/>
      <w:r>
        <w:t>LOC(</w:t>
      </w:r>
      <w:proofErr w:type="gramEnd"/>
      <w:r>
        <w:t xml:space="preserve">*) </w:t>
      </w:r>
      <w:proofErr w:type="spellStart"/>
      <w:r>
        <w:t>v.WIN</w:t>
      </w:r>
      <w:proofErr w:type="spellEnd"/>
      <w:r>
        <w:t xml:space="preserve"> do 2 000 příkazů/rok na verzi KXF </w:t>
      </w:r>
      <w:r>
        <w:rPr>
          <w:lang w:val="en-US" w:eastAsia="en-US" w:bidi="en-US"/>
        </w:rPr>
        <w:t xml:space="preserve">NET(*) </w:t>
      </w:r>
      <w:r>
        <w:t xml:space="preserve">- </w:t>
      </w:r>
      <w:proofErr w:type="spellStart"/>
      <w:r>
        <w:t>v.SQL</w:t>
      </w:r>
      <w:proofErr w:type="spellEnd"/>
      <w:r>
        <w:t xml:space="preserve"> do 2 000 příkazů/rok + server + 5 klientů</w:t>
      </w:r>
    </w:p>
    <w:p w14:paraId="08E3A9E4" w14:textId="3F2414C0" w:rsidR="00B047CC" w:rsidRDefault="00266F43">
      <w:pPr>
        <w:pStyle w:val="Bodytext20"/>
        <w:framePr w:w="10022" w:h="5260" w:hRule="exact" w:wrap="none" w:vAnchor="page" w:hAnchor="page" w:x="996" w:y="10108"/>
        <w:shd w:val="clear" w:color="auto" w:fill="auto"/>
        <w:spacing w:before="0" w:after="193"/>
        <w:ind w:left="560"/>
      </w:pPr>
      <w:r>
        <w:t xml:space="preserve">« Rozšíření současné licence POK </w:t>
      </w:r>
      <w:proofErr w:type="gramStart"/>
      <w:r>
        <w:t>LOC(</w:t>
      </w:r>
      <w:proofErr w:type="gramEnd"/>
      <w:r>
        <w:t xml:space="preserve">*) </w:t>
      </w:r>
      <w:proofErr w:type="spellStart"/>
      <w:r>
        <w:t>v.WIN</w:t>
      </w:r>
      <w:proofErr w:type="spellEnd"/>
      <w:r>
        <w:t xml:space="preserve"> do 5 000 položek na verzi POK </w:t>
      </w:r>
      <w:r>
        <w:rPr>
          <w:lang w:val="en-US" w:eastAsia="en-US" w:bidi="en-US"/>
        </w:rPr>
        <w:t xml:space="preserve">NET(*) </w:t>
      </w:r>
      <w:r>
        <w:t xml:space="preserve">- </w:t>
      </w:r>
      <w:proofErr w:type="spellStart"/>
      <w:r>
        <w:t>v.SQL</w:t>
      </w:r>
      <w:proofErr w:type="spellEnd"/>
      <w:r>
        <w:t xml:space="preserve"> do 5 000 položek + server + 5 klientů</w:t>
      </w:r>
    </w:p>
    <w:p w14:paraId="08E3A9E5" w14:textId="6282CDCC" w:rsidR="00B047CC" w:rsidRDefault="00266F43">
      <w:pPr>
        <w:pStyle w:val="Bodytext20"/>
        <w:framePr w:w="10022" w:h="5260" w:hRule="exact" w:wrap="none" w:vAnchor="page" w:hAnchor="page" w:x="996" w:y="10108"/>
        <w:shd w:val="clear" w:color="auto" w:fill="auto"/>
        <w:spacing w:before="0" w:line="212" w:lineRule="exact"/>
        <w:ind w:left="560" w:firstLine="0"/>
        <w:jc w:val="both"/>
      </w:pPr>
      <w:r>
        <w:t xml:space="preserve">• Rozšíření současné licence VYK </w:t>
      </w:r>
      <w:proofErr w:type="gramStart"/>
      <w:r>
        <w:t>LOC</w:t>
      </w:r>
      <w:r w:rsidR="00367A59">
        <w:t>(</w:t>
      </w:r>
      <w:proofErr w:type="gramEnd"/>
      <w:r>
        <w:t>*</w:t>
      </w:r>
      <w:r w:rsidR="00367A59">
        <w:t>)</w:t>
      </w:r>
      <w:r>
        <w:t xml:space="preserve"> </w:t>
      </w:r>
      <w:proofErr w:type="spellStart"/>
      <w:r>
        <w:t>v.WIN</w:t>
      </w:r>
      <w:proofErr w:type="spellEnd"/>
      <w:r>
        <w:t xml:space="preserve"> na verzi VYK LOC</w:t>
      </w:r>
      <w:r w:rsidR="00367A59">
        <w:t>(</w:t>
      </w:r>
      <w:r>
        <w:t>*</w:t>
      </w:r>
      <w:r w:rsidR="00367A59">
        <w:t>)</w:t>
      </w:r>
      <w:r>
        <w:t xml:space="preserve"> - </w:t>
      </w:r>
      <w:proofErr w:type="spellStart"/>
      <w:r>
        <w:t>v.S</w:t>
      </w:r>
      <w:r w:rsidR="00367A59">
        <w:t>Q</w:t>
      </w:r>
      <w:r>
        <w:t>L</w:t>
      </w:r>
      <w:proofErr w:type="spellEnd"/>
    </w:p>
    <w:p w14:paraId="08E3A9E6" w14:textId="77777777" w:rsidR="00B047CC" w:rsidRDefault="00B047CC">
      <w:pPr>
        <w:rPr>
          <w:sz w:val="2"/>
          <w:szCs w:val="2"/>
        </w:rPr>
        <w:sectPr w:rsidR="00B047C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8E3A9E7" w14:textId="31C5EA23" w:rsidR="00B047CC" w:rsidRDefault="00266F43" w:rsidP="00367A59">
      <w:pPr>
        <w:pStyle w:val="Heading40"/>
        <w:framePr w:w="10147" w:h="2866" w:hRule="exact" w:wrap="none" w:vAnchor="page" w:hAnchor="page" w:x="1006" w:y="1591"/>
        <w:numPr>
          <w:ilvl w:val="0"/>
          <w:numId w:val="1"/>
        </w:numPr>
        <w:shd w:val="clear" w:color="auto" w:fill="auto"/>
        <w:tabs>
          <w:tab w:val="left" w:pos="582"/>
        </w:tabs>
        <w:ind w:left="560"/>
      </w:pPr>
      <w:bookmarkStart w:id="3" w:name="bookmark4"/>
      <w:r>
        <w:lastRenderedPageBreak/>
        <w:t xml:space="preserve">Dodání licence doplňkového modulu ESU </w:t>
      </w:r>
      <w:proofErr w:type="gramStart"/>
      <w:r>
        <w:rPr>
          <w:lang w:val="en-US" w:eastAsia="en-US" w:bidi="en-US"/>
        </w:rPr>
        <w:t>NET</w:t>
      </w:r>
      <w:r w:rsidR="00367A59">
        <w:rPr>
          <w:lang w:val="en-US" w:eastAsia="en-US" w:bidi="en-US"/>
        </w:rPr>
        <w:t>(</w:t>
      </w:r>
      <w:proofErr w:type="gramEnd"/>
      <w:r>
        <w:rPr>
          <w:lang w:val="en-US" w:eastAsia="en-US" w:bidi="en-US"/>
        </w:rPr>
        <w:t>*</w:t>
      </w:r>
      <w:r w:rsidR="00367A59">
        <w:rPr>
          <w:lang w:val="en-US" w:eastAsia="en-US" w:bidi="en-US"/>
        </w:rPr>
        <w:t>)</w:t>
      </w:r>
      <w:r>
        <w:rPr>
          <w:lang w:val="en-US" w:eastAsia="en-US" w:bidi="en-US"/>
        </w:rPr>
        <w:t xml:space="preserve"> </w:t>
      </w:r>
      <w:proofErr w:type="spellStart"/>
      <w:r>
        <w:t>v.SQL</w:t>
      </w:r>
      <w:proofErr w:type="spellEnd"/>
      <w:r w:rsidR="00367A59">
        <w:t xml:space="preserve"> </w:t>
      </w:r>
      <w:r>
        <w:t>-</w:t>
      </w:r>
      <w:r w:rsidR="00367A59">
        <w:t xml:space="preserve"> </w:t>
      </w:r>
      <w:r>
        <w:t xml:space="preserve">Společný číselník externích subjektů, </w:t>
      </w:r>
      <w:proofErr w:type="spellStart"/>
      <w:r>
        <w:t>v.SQL</w:t>
      </w:r>
      <w:proofErr w:type="spellEnd"/>
      <w:r>
        <w:t xml:space="preserve"> do 1000 subjektů + server + 5 klientů</w:t>
      </w:r>
      <w:bookmarkEnd w:id="3"/>
    </w:p>
    <w:p w14:paraId="08E3A9E8" w14:textId="77777777" w:rsidR="00B047CC" w:rsidRDefault="00266F43" w:rsidP="00367A59">
      <w:pPr>
        <w:pStyle w:val="Heading40"/>
        <w:framePr w:w="10147" w:h="2866" w:hRule="exact" w:wrap="none" w:vAnchor="page" w:hAnchor="page" w:x="1006" w:y="1591"/>
        <w:numPr>
          <w:ilvl w:val="0"/>
          <w:numId w:val="1"/>
        </w:numPr>
        <w:shd w:val="clear" w:color="auto" w:fill="auto"/>
        <w:tabs>
          <w:tab w:val="left" w:pos="582"/>
        </w:tabs>
        <w:spacing w:line="754" w:lineRule="exact"/>
        <w:ind w:left="560"/>
      </w:pPr>
      <w:bookmarkStart w:id="4" w:name="bookmark5"/>
      <w:r>
        <w:t>Implementace (instalace, nastavení, konfigurace, propojení modulů a převody dat), základní zaškolení.</w:t>
      </w:r>
      <w:bookmarkEnd w:id="4"/>
    </w:p>
    <w:p w14:paraId="08E3A9E9" w14:textId="77777777" w:rsidR="00B047CC" w:rsidRDefault="00266F43" w:rsidP="00367A59">
      <w:pPr>
        <w:pStyle w:val="Bodytext60"/>
        <w:framePr w:w="10147" w:h="2866" w:hRule="exact" w:wrap="none" w:vAnchor="page" w:hAnchor="page" w:x="1006" w:y="1591"/>
        <w:shd w:val="clear" w:color="auto" w:fill="auto"/>
        <w:tabs>
          <w:tab w:val="left" w:pos="838"/>
        </w:tabs>
        <w:ind w:left="560"/>
      </w:pPr>
      <w:r>
        <w:t>(</w:t>
      </w:r>
      <w:proofErr w:type="gramStart"/>
      <w:r>
        <w:t>*)NET</w:t>
      </w:r>
      <w:proofErr w:type="gramEnd"/>
      <w:r>
        <w:t xml:space="preserve"> = síťová verze umožňující práci až 5 uživatelům současně, LOC = lokální verze určená pro jednoho uživatele)</w:t>
      </w:r>
    </w:p>
    <w:p w14:paraId="08E3A9EA" w14:textId="77777777" w:rsidR="00B047CC" w:rsidRDefault="00266F43">
      <w:pPr>
        <w:pStyle w:val="Heading30"/>
        <w:framePr w:wrap="none" w:vAnchor="page" w:hAnchor="page" w:x="1020" w:y="4682"/>
        <w:shd w:val="clear" w:color="auto" w:fill="auto"/>
        <w:spacing w:before="0" w:after="0" w:line="268" w:lineRule="exact"/>
      </w:pPr>
      <w:bookmarkStart w:id="5" w:name="bookmark6"/>
      <w:r>
        <w:t>Cena za rozšíření</w:t>
      </w:r>
      <w:bookmarkEnd w:id="5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3"/>
        <w:gridCol w:w="1166"/>
        <w:gridCol w:w="1901"/>
      </w:tblGrid>
      <w:tr w:rsidR="00B047CC" w14:paraId="08E3A9EE" w14:textId="77777777">
        <w:trPr>
          <w:trHeight w:hRule="exact" w:val="1104"/>
        </w:trPr>
        <w:tc>
          <w:tcPr>
            <w:tcW w:w="7013" w:type="dxa"/>
            <w:shd w:val="clear" w:color="auto" w:fill="FFFFFF"/>
          </w:tcPr>
          <w:p w14:paraId="08E3A9EB" w14:textId="77777777" w:rsidR="00B047CC" w:rsidRDefault="00266F43">
            <w:pPr>
              <w:pStyle w:val="Bodytext20"/>
              <w:framePr w:w="10080" w:h="7675" w:wrap="none" w:vAnchor="page" w:hAnchor="page" w:x="1087" w:y="5109"/>
              <w:shd w:val="clear" w:color="auto" w:fill="auto"/>
              <w:spacing w:before="0" w:line="212" w:lineRule="exact"/>
              <w:ind w:left="240" w:firstLine="0"/>
            </w:pPr>
            <w:r>
              <w:rPr>
                <w:rStyle w:val="Bodytext2Bold0"/>
              </w:rPr>
              <w:t>Popis</w:t>
            </w:r>
          </w:p>
        </w:tc>
        <w:tc>
          <w:tcPr>
            <w:tcW w:w="1166" w:type="dxa"/>
            <w:shd w:val="clear" w:color="auto" w:fill="FFFFFF"/>
          </w:tcPr>
          <w:p w14:paraId="08E3A9EC" w14:textId="77777777" w:rsidR="00B047CC" w:rsidRDefault="00B047CC">
            <w:pPr>
              <w:framePr w:w="10080" w:h="7675" w:wrap="none" w:vAnchor="page" w:hAnchor="page" w:x="1087" w:y="5109"/>
              <w:rPr>
                <w:sz w:val="10"/>
                <w:szCs w:val="10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14:paraId="08E3A9ED" w14:textId="77777777" w:rsidR="00B047CC" w:rsidRDefault="00266F43">
            <w:pPr>
              <w:pStyle w:val="Bodytext20"/>
              <w:framePr w:w="10080" w:h="7675" w:wrap="none" w:vAnchor="page" w:hAnchor="page" w:x="1087" w:y="5109"/>
              <w:shd w:val="clear" w:color="auto" w:fill="auto"/>
              <w:spacing w:before="0" w:line="394" w:lineRule="exact"/>
              <w:ind w:left="720" w:firstLine="0"/>
            </w:pPr>
            <w:r>
              <w:rPr>
                <w:rStyle w:val="Bodytext2Bold0"/>
              </w:rPr>
              <w:t xml:space="preserve">Cena v </w:t>
            </w:r>
            <w:r>
              <w:rPr>
                <w:rStyle w:val="Bodytext295ptBold"/>
              </w:rPr>
              <w:t xml:space="preserve">Kč </w:t>
            </w:r>
            <w:r>
              <w:rPr>
                <w:rStyle w:val="Bodytext2Bold0"/>
              </w:rPr>
              <w:t>bez DPH</w:t>
            </w:r>
          </w:p>
        </w:tc>
      </w:tr>
      <w:tr w:rsidR="00B047CC" w14:paraId="08E3A9F2" w14:textId="77777777">
        <w:trPr>
          <w:trHeight w:hRule="exact" w:val="835"/>
        </w:trPr>
        <w:tc>
          <w:tcPr>
            <w:tcW w:w="7013" w:type="dxa"/>
            <w:shd w:val="clear" w:color="auto" w:fill="FFFFFF"/>
            <w:vAlign w:val="center"/>
          </w:tcPr>
          <w:p w14:paraId="08E3A9EF" w14:textId="39B2609D" w:rsidR="00B047CC" w:rsidRDefault="00266F43">
            <w:pPr>
              <w:pStyle w:val="Bodytext20"/>
              <w:framePr w:w="10080" w:h="7675" w:wrap="none" w:vAnchor="page" w:hAnchor="page" w:x="1087" w:y="5109"/>
              <w:shd w:val="clear" w:color="auto" w:fill="auto"/>
              <w:spacing w:before="0" w:line="370" w:lineRule="exact"/>
              <w:ind w:left="240" w:firstLine="0"/>
            </w:pPr>
            <w:r>
              <w:rPr>
                <w:rStyle w:val="Bodytext295pt"/>
              </w:rPr>
              <w:t xml:space="preserve">UCR </w:t>
            </w:r>
            <w:r>
              <w:rPr>
                <w:rStyle w:val="Bodytext295pt"/>
                <w:lang w:val="en-US" w:eastAsia="en-US" w:bidi="en-US"/>
              </w:rPr>
              <w:t xml:space="preserve">NET </w:t>
            </w:r>
            <w:r>
              <w:rPr>
                <w:rStyle w:val="Bodytext295pt"/>
              </w:rPr>
              <w:t>SQL - síťová verze - server + 5 klientů - do 15 00 zápisů/</w:t>
            </w:r>
            <w:proofErr w:type="gramStart"/>
            <w:r>
              <w:rPr>
                <w:rStyle w:val="Bodytext295pt"/>
              </w:rPr>
              <w:t xml:space="preserve">měsíc, </w:t>
            </w:r>
            <w:r w:rsidR="00367A59">
              <w:rPr>
                <w:rStyle w:val="Bodytext295pt"/>
              </w:rPr>
              <w:t xml:space="preserve">  </w:t>
            </w:r>
            <w:proofErr w:type="gramEnd"/>
            <w:r w:rsidR="00367A59">
              <w:rPr>
                <w:rStyle w:val="Bodytext295pt"/>
              </w:rPr>
              <w:t xml:space="preserve">                                </w:t>
            </w:r>
            <w:r>
              <w:rPr>
                <w:rStyle w:val="Bodytext295pt"/>
              </w:rPr>
              <w:t>+ rozšíření - automatické pořizování PAP, dokladové kontroly PAP</w:t>
            </w:r>
          </w:p>
        </w:tc>
        <w:tc>
          <w:tcPr>
            <w:tcW w:w="1166" w:type="dxa"/>
            <w:shd w:val="clear" w:color="auto" w:fill="FFFFFF"/>
          </w:tcPr>
          <w:p w14:paraId="08E3A9F0" w14:textId="77777777" w:rsidR="00B047CC" w:rsidRDefault="00B047CC">
            <w:pPr>
              <w:framePr w:w="10080" w:h="7675" w:wrap="none" w:vAnchor="page" w:hAnchor="page" w:x="1087" w:y="5109"/>
              <w:rPr>
                <w:sz w:val="10"/>
                <w:szCs w:val="10"/>
              </w:rPr>
            </w:pPr>
          </w:p>
        </w:tc>
        <w:tc>
          <w:tcPr>
            <w:tcW w:w="1901" w:type="dxa"/>
            <w:shd w:val="clear" w:color="auto" w:fill="FFFFFF"/>
          </w:tcPr>
          <w:p w14:paraId="08E3A9F1" w14:textId="77777777" w:rsidR="00B047CC" w:rsidRDefault="00266F43">
            <w:pPr>
              <w:pStyle w:val="Bodytext20"/>
              <w:framePr w:w="10080" w:h="7675" w:wrap="none" w:vAnchor="page" w:hAnchor="page" w:x="1087" w:y="5109"/>
              <w:shd w:val="clear" w:color="auto" w:fill="auto"/>
              <w:spacing w:before="0" w:line="190" w:lineRule="exact"/>
              <w:ind w:right="200" w:firstLine="0"/>
              <w:jc w:val="right"/>
            </w:pPr>
            <w:r>
              <w:rPr>
                <w:rStyle w:val="Bodytext295pt"/>
              </w:rPr>
              <w:t>25 904,00</w:t>
            </w:r>
          </w:p>
        </w:tc>
      </w:tr>
      <w:tr w:rsidR="00B047CC" w14:paraId="08E3A9F6" w14:textId="77777777">
        <w:trPr>
          <w:trHeight w:hRule="exact" w:val="566"/>
        </w:trPr>
        <w:tc>
          <w:tcPr>
            <w:tcW w:w="70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8E3A9F3" w14:textId="6FC1027B" w:rsidR="00B047CC" w:rsidRDefault="00266F43" w:rsidP="00367A59">
            <w:pPr>
              <w:pStyle w:val="Bodytext20"/>
              <w:framePr w:w="10080" w:h="7675" w:wrap="none" w:vAnchor="page" w:hAnchor="page" w:x="1087" w:y="5109"/>
              <w:shd w:val="clear" w:color="auto" w:fill="auto"/>
              <w:spacing w:before="0" w:line="190" w:lineRule="exact"/>
              <w:ind w:left="240" w:firstLine="0"/>
            </w:pPr>
            <w:r>
              <w:rPr>
                <w:rStyle w:val="Bodytext295pt"/>
              </w:rPr>
              <w:t xml:space="preserve">EMA SQL </w:t>
            </w:r>
            <w:r w:rsidR="00367A59">
              <w:rPr>
                <w:rStyle w:val="Bodytext295pt"/>
              </w:rPr>
              <w:t xml:space="preserve">– </w:t>
            </w:r>
            <w:r>
              <w:rPr>
                <w:rStyle w:val="Bodytext295pt"/>
              </w:rPr>
              <w:t xml:space="preserve">síťová </w:t>
            </w:r>
            <w:proofErr w:type="gramStart"/>
            <w:r>
              <w:rPr>
                <w:rStyle w:val="Bodytext295pt"/>
              </w:rPr>
              <w:t>verze - do</w:t>
            </w:r>
            <w:proofErr w:type="gramEnd"/>
            <w:r>
              <w:rPr>
                <w:rStyle w:val="Bodytext295pt"/>
              </w:rPr>
              <w:t xml:space="preserve"> 10 000 karet + automatizace inventur doplatek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14:paraId="08E3A9F4" w14:textId="77777777" w:rsidR="00B047CC" w:rsidRDefault="00B047CC">
            <w:pPr>
              <w:framePr w:w="10080" w:h="7675" w:wrap="none" w:vAnchor="page" w:hAnchor="page" w:x="1087" w:y="5109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8E3A9F5" w14:textId="77777777" w:rsidR="00B047CC" w:rsidRDefault="00266F43">
            <w:pPr>
              <w:pStyle w:val="Bodytext20"/>
              <w:framePr w:w="10080" w:h="7675" w:wrap="none" w:vAnchor="page" w:hAnchor="page" w:x="1087" w:y="5109"/>
              <w:shd w:val="clear" w:color="auto" w:fill="auto"/>
              <w:spacing w:before="0" w:line="190" w:lineRule="exact"/>
              <w:ind w:right="200" w:firstLine="0"/>
              <w:jc w:val="right"/>
            </w:pPr>
            <w:r>
              <w:rPr>
                <w:rStyle w:val="Bodytext295pt"/>
              </w:rPr>
              <w:t>16.976,00</w:t>
            </w:r>
          </w:p>
        </w:tc>
      </w:tr>
      <w:tr w:rsidR="00B047CC" w14:paraId="08E3A9FA" w14:textId="77777777">
        <w:trPr>
          <w:trHeight w:hRule="exact" w:val="787"/>
        </w:trPr>
        <w:tc>
          <w:tcPr>
            <w:tcW w:w="70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8E3A9F7" w14:textId="67009733" w:rsidR="00B047CC" w:rsidRDefault="00367A59" w:rsidP="00367A59">
            <w:pPr>
              <w:pStyle w:val="Bodytext20"/>
              <w:framePr w:w="10080" w:h="7675" w:wrap="none" w:vAnchor="page" w:hAnchor="page" w:x="1087" w:y="5109"/>
              <w:shd w:val="clear" w:color="auto" w:fill="auto"/>
              <w:spacing w:before="0" w:line="370" w:lineRule="exact"/>
              <w:ind w:firstLine="0"/>
            </w:pPr>
            <w:r>
              <w:rPr>
                <w:rStyle w:val="Bodytext295pt"/>
              </w:rPr>
              <w:t xml:space="preserve">     </w:t>
            </w:r>
            <w:r w:rsidR="00266F43">
              <w:rPr>
                <w:rStyle w:val="Bodytext295pt"/>
              </w:rPr>
              <w:t xml:space="preserve">KDF </w:t>
            </w:r>
            <w:proofErr w:type="gramStart"/>
            <w:r w:rsidR="00266F43">
              <w:rPr>
                <w:rStyle w:val="Bodytext295pt"/>
              </w:rPr>
              <w:t xml:space="preserve">SQL </w:t>
            </w:r>
            <w:r w:rsidR="00266F43">
              <w:rPr>
                <w:rStyle w:val="Bodytext295ptBold0"/>
              </w:rPr>
              <w:t xml:space="preserve">- </w:t>
            </w:r>
            <w:r w:rsidR="00266F43">
              <w:rPr>
                <w:rStyle w:val="Bodytext295pt"/>
              </w:rPr>
              <w:t>síťová</w:t>
            </w:r>
            <w:proofErr w:type="gramEnd"/>
            <w:r w:rsidR="00266F43">
              <w:rPr>
                <w:rStyle w:val="Bodytext295pt"/>
              </w:rPr>
              <w:t xml:space="preserve"> verze </w:t>
            </w:r>
            <w:r w:rsidR="00266F43">
              <w:rPr>
                <w:rStyle w:val="Bodytext295ptBold0"/>
              </w:rPr>
              <w:t xml:space="preserve">- </w:t>
            </w:r>
            <w:r w:rsidR="00266F43">
              <w:rPr>
                <w:rStyle w:val="Bodytext295pt"/>
              </w:rPr>
              <w:t>do 2 000 faktur/rok, včetně el. písemností (spolehlivost plátců)</w:t>
            </w:r>
          </w:p>
        </w:tc>
        <w:tc>
          <w:tcPr>
            <w:tcW w:w="1166" w:type="dxa"/>
            <w:shd w:val="clear" w:color="auto" w:fill="FFFFFF"/>
          </w:tcPr>
          <w:p w14:paraId="08E3A9F8" w14:textId="77777777" w:rsidR="00B047CC" w:rsidRDefault="00B047CC">
            <w:pPr>
              <w:framePr w:w="10080" w:h="7675" w:wrap="none" w:vAnchor="page" w:hAnchor="page" w:x="1087" w:y="5109"/>
              <w:rPr>
                <w:sz w:val="10"/>
                <w:szCs w:val="10"/>
              </w:rPr>
            </w:pPr>
          </w:p>
        </w:tc>
        <w:tc>
          <w:tcPr>
            <w:tcW w:w="1901" w:type="dxa"/>
            <w:shd w:val="clear" w:color="auto" w:fill="FFFFFF"/>
          </w:tcPr>
          <w:p w14:paraId="2A87CBF2" w14:textId="77777777" w:rsidR="00367A59" w:rsidRDefault="00367A59">
            <w:pPr>
              <w:pStyle w:val="Bodytext20"/>
              <w:framePr w:w="10080" w:h="7675" w:wrap="none" w:vAnchor="page" w:hAnchor="page" w:x="1087" w:y="5109"/>
              <w:shd w:val="clear" w:color="auto" w:fill="auto"/>
              <w:spacing w:before="0" w:line="190" w:lineRule="exact"/>
              <w:ind w:right="200" w:firstLine="0"/>
              <w:jc w:val="right"/>
              <w:rPr>
                <w:rStyle w:val="Bodytext295pt"/>
              </w:rPr>
            </w:pPr>
          </w:p>
          <w:p w14:paraId="7682622D" w14:textId="77777777" w:rsidR="00367A59" w:rsidRDefault="00367A59">
            <w:pPr>
              <w:pStyle w:val="Bodytext20"/>
              <w:framePr w:w="10080" w:h="7675" w:wrap="none" w:vAnchor="page" w:hAnchor="page" w:x="1087" w:y="5109"/>
              <w:shd w:val="clear" w:color="auto" w:fill="auto"/>
              <w:spacing w:before="0" w:line="190" w:lineRule="exact"/>
              <w:ind w:right="200" w:firstLine="0"/>
              <w:jc w:val="right"/>
              <w:rPr>
                <w:rStyle w:val="Bodytext295pt"/>
              </w:rPr>
            </w:pPr>
          </w:p>
          <w:p w14:paraId="4B6BF448" w14:textId="77777777" w:rsidR="00367A59" w:rsidRDefault="00367A59">
            <w:pPr>
              <w:pStyle w:val="Bodytext20"/>
              <w:framePr w:w="10080" w:h="7675" w:wrap="none" w:vAnchor="page" w:hAnchor="page" w:x="1087" w:y="5109"/>
              <w:shd w:val="clear" w:color="auto" w:fill="auto"/>
              <w:spacing w:before="0" w:line="190" w:lineRule="exact"/>
              <w:ind w:right="200" w:firstLine="0"/>
              <w:jc w:val="right"/>
              <w:rPr>
                <w:rStyle w:val="Bodytext295pt"/>
              </w:rPr>
            </w:pPr>
          </w:p>
          <w:p w14:paraId="08E3A9F9" w14:textId="02FD5329" w:rsidR="00B047CC" w:rsidRDefault="00266F43">
            <w:pPr>
              <w:pStyle w:val="Bodytext20"/>
              <w:framePr w:w="10080" w:h="7675" w:wrap="none" w:vAnchor="page" w:hAnchor="page" w:x="1087" w:y="5109"/>
              <w:shd w:val="clear" w:color="auto" w:fill="auto"/>
              <w:spacing w:before="0" w:line="190" w:lineRule="exact"/>
              <w:ind w:right="200" w:firstLine="0"/>
              <w:jc w:val="right"/>
            </w:pPr>
            <w:r>
              <w:rPr>
                <w:rStyle w:val="Bodytext295pt"/>
              </w:rPr>
              <w:t>11 052,00</w:t>
            </w:r>
          </w:p>
        </w:tc>
      </w:tr>
      <w:tr w:rsidR="00B047CC" w14:paraId="08E3A9FE" w14:textId="77777777">
        <w:trPr>
          <w:trHeight w:hRule="exact" w:val="619"/>
        </w:trPr>
        <w:tc>
          <w:tcPr>
            <w:tcW w:w="70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8E3A9FB" w14:textId="77777777" w:rsidR="00B047CC" w:rsidRDefault="00266F43">
            <w:pPr>
              <w:pStyle w:val="Bodytext20"/>
              <w:framePr w:w="10080" w:h="7675" w:wrap="none" w:vAnchor="page" w:hAnchor="page" w:x="1087" w:y="5109"/>
              <w:shd w:val="clear" w:color="auto" w:fill="auto"/>
              <w:spacing w:before="0" w:line="190" w:lineRule="exact"/>
              <w:ind w:left="240" w:firstLine="0"/>
            </w:pPr>
            <w:r>
              <w:rPr>
                <w:rStyle w:val="Bodytext295pt"/>
              </w:rPr>
              <w:t xml:space="preserve">KOF </w:t>
            </w:r>
            <w:proofErr w:type="gramStart"/>
            <w:r>
              <w:rPr>
                <w:rStyle w:val="Bodytext295pt"/>
              </w:rPr>
              <w:t xml:space="preserve">SQL </w:t>
            </w:r>
            <w:r>
              <w:rPr>
                <w:rStyle w:val="Bodytext295ptBold0"/>
              </w:rPr>
              <w:t xml:space="preserve">- </w:t>
            </w:r>
            <w:r>
              <w:rPr>
                <w:rStyle w:val="Bodytext295pt"/>
              </w:rPr>
              <w:t>síťová</w:t>
            </w:r>
            <w:proofErr w:type="gramEnd"/>
            <w:r>
              <w:rPr>
                <w:rStyle w:val="Bodytext295pt"/>
              </w:rPr>
              <w:t xml:space="preserve"> verze </w:t>
            </w:r>
            <w:r>
              <w:rPr>
                <w:rStyle w:val="Bodytext295ptBold0"/>
              </w:rPr>
              <w:t xml:space="preserve">- </w:t>
            </w:r>
            <w:r>
              <w:rPr>
                <w:rStyle w:val="Bodytext295pt"/>
              </w:rPr>
              <w:t>do 2 000 faktur/rok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14:paraId="08E3A9FC" w14:textId="77777777" w:rsidR="00B047CC" w:rsidRDefault="00B047CC">
            <w:pPr>
              <w:framePr w:w="10080" w:h="7675" w:wrap="none" w:vAnchor="page" w:hAnchor="page" w:x="1087" w:y="5109"/>
              <w:rPr>
                <w:sz w:val="10"/>
                <w:szCs w:val="10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14:paraId="08E3A9FD" w14:textId="77777777" w:rsidR="00B047CC" w:rsidRDefault="00266F43">
            <w:pPr>
              <w:pStyle w:val="Bodytext20"/>
              <w:framePr w:w="10080" w:h="7675" w:wrap="none" w:vAnchor="page" w:hAnchor="page" w:x="1087" w:y="5109"/>
              <w:shd w:val="clear" w:color="auto" w:fill="auto"/>
              <w:spacing w:before="0" w:line="190" w:lineRule="exact"/>
              <w:ind w:right="200" w:firstLine="0"/>
              <w:jc w:val="right"/>
            </w:pPr>
            <w:r>
              <w:rPr>
                <w:rStyle w:val="Bodytext295pt"/>
              </w:rPr>
              <w:t>5 400,00</w:t>
            </w:r>
          </w:p>
        </w:tc>
      </w:tr>
      <w:tr w:rsidR="00B047CC" w14:paraId="08E3AA02" w14:textId="77777777">
        <w:trPr>
          <w:trHeight w:hRule="exact" w:val="610"/>
        </w:trPr>
        <w:tc>
          <w:tcPr>
            <w:tcW w:w="7013" w:type="dxa"/>
            <w:shd w:val="clear" w:color="auto" w:fill="FFFFFF"/>
            <w:vAlign w:val="center"/>
          </w:tcPr>
          <w:p w14:paraId="08E3A9FF" w14:textId="77777777" w:rsidR="00B047CC" w:rsidRDefault="00266F43">
            <w:pPr>
              <w:pStyle w:val="Bodytext20"/>
              <w:framePr w:w="10080" w:h="7675" w:wrap="none" w:vAnchor="page" w:hAnchor="page" w:x="1087" w:y="5109"/>
              <w:shd w:val="clear" w:color="auto" w:fill="auto"/>
              <w:spacing w:before="0" w:line="190" w:lineRule="exact"/>
              <w:ind w:left="240" w:firstLine="0"/>
            </w:pPr>
            <w:r>
              <w:rPr>
                <w:rStyle w:val="Bodytext295pt"/>
              </w:rPr>
              <w:t xml:space="preserve">KXF </w:t>
            </w:r>
            <w:proofErr w:type="gramStart"/>
            <w:r>
              <w:rPr>
                <w:rStyle w:val="Bodytext295pt"/>
              </w:rPr>
              <w:t>SQL - síťová</w:t>
            </w:r>
            <w:proofErr w:type="gramEnd"/>
            <w:r>
              <w:rPr>
                <w:rStyle w:val="Bodytext295pt"/>
              </w:rPr>
              <w:t xml:space="preserve"> verze </w:t>
            </w:r>
            <w:r>
              <w:rPr>
                <w:rStyle w:val="Bodytext295ptBold0"/>
              </w:rPr>
              <w:t xml:space="preserve">- </w:t>
            </w:r>
            <w:r>
              <w:rPr>
                <w:rStyle w:val="Bodytext295pt"/>
              </w:rPr>
              <w:t>do 2 000 příkazů/rok</w:t>
            </w:r>
          </w:p>
        </w:tc>
        <w:tc>
          <w:tcPr>
            <w:tcW w:w="1166" w:type="dxa"/>
            <w:shd w:val="clear" w:color="auto" w:fill="FFFFFF"/>
          </w:tcPr>
          <w:p w14:paraId="08E3AA00" w14:textId="77777777" w:rsidR="00B047CC" w:rsidRDefault="00B047CC">
            <w:pPr>
              <w:framePr w:w="10080" w:h="7675" w:wrap="none" w:vAnchor="page" w:hAnchor="page" w:x="1087" w:y="5109"/>
              <w:rPr>
                <w:sz w:val="10"/>
                <w:szCs w:val="10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14:paraId="08E3AA01" w14:textId="77777777" w:rsidR="00B047CC" w:rsidRDefault="00266F43">
            <w:pPr>
              <w:pStyle w:val="Bodytext20"/>
              <w:framePr w:w="10080" w:h="7675" w:wrap="none" w:vAnchor="page" w:hAnchor="page" w:x="1087" w:y="5109"/>
              <w:shd w:val="clear" w:color="auto" w:fill="auto"/>
              <w:spacing w:before="0" w:line="190" w:lineRule="exact"/>
              <w:ind w:right="200" w:firstLine="0"/>
              <w:jc w:val="right"/>
            </w:pPr>
            <w:r>
              <w:rPr>
                <w:rStyle w:val="Bodytext295pt"/>
              </w:rPr>
              <w:t>3 720,00</w:t>
            </w:r>
          </w:p>
        </w:tc>
      </w:tr>
      <w:tr w:rsidR="00B047CC" w14:paraId="08E3AA06" w14:textId="77777777">
        <w:trPr>
          <w:trHeight w:hRule="exact" w:val="528"/>
        </w:trPr>
        <w:tc>
          <w:tcPr>
            <w:tcW w:w="7013" w:type="dxa"/>
            <w:shd w:val="clear" w:color="auto" w:fill="FFFFFF"/>
            <w:vAlign w:val="center"/>
          </w:tcPr>
          <w:p w14:paraId="08E3AA03" w14:textId="77777777" w:rsidR="00B047CC" w:rsidRDefault="00266F43">
            <w:pPr>
              <w:pStyle w:val="Bodytext20"/>
              <w:framePr w:w="10080" w:h="7675" w:wrap="none" w:vAnchor="page" w:hAnchor="page" w:x="1087" w:y="5109"/>
              <w:shd w:val="clear" w:color="auto" w:fill="auto"/>
              <w:spacing w:before="0" w:line="190" w:lineRule="exact"/>
              <w:ind w:left="240" w:firstLine="0"/>
            </w:pPr>
            <w:r>
              <w:rPr>
                <w:rStyle w:val="Bodytext295pt"/>
              </w:rPr>
              <w:t xml:space="preserve">POK </w:t>
            </w:r>
            <w:proofErr w:type="gramStart"/>
            <w:r>
              <w:rPr>
                <w:rStyle w:val="Bodytext295pt"/>
              </w:rPr>
              <w:t>SQL - síťová</w:t>
            </w:r>
            <w:proofErr w:type="gramEnd"/>
            <w:r>
              <w:rPr>
                <w:rStyle w:val="Bodytext295pt"/>
              </w:rPr>
              <w:t xml:space="preserve"> verze - do 5 000 položek</w:t>
            </w:r>
          </w:p>
        </w:tc>
        <w:tc>
          <w:tcPr>
            <w:tcW w:w="1166" w:type="dxa"/>
            <w:shd w:val="clear" w:color="auto" w:fill="FFFFFF"/>
          </w:tcPr>
          <w:p w14:paraId="08E3AA04" w14:textId="77777777" w:rsidR="00B047CC" w:rsidRDefault="00B047CC">
            <w:pPr>
              <w:framePr w:w="10080" w:h="7675" w:wrap="none" w:vAnchor="page" w:hAnchor="page" w:x="1087" w:y="5109"/>
              <w:rPr>
                <w:sz w:val="10"/>
                <w:szCs w:val="10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14:paraId="08E3AA05" w14:textId="77777777" w:rsidR="00B047CC" w:rsidRDefault="00266F43">
            <w:pPr>
              <w:pStyle w:val="Bodytext20"/>
              <w:framePr w:w="10080" w:h="7675" w:wrap="none" w:vAnchor="page" w:hAnchor="page" w:x="1087" w:y="5109"/>
              <w:shd w:val="clear" w:color="auto" w:fill="auto"/>
              <w:spacing w:before="0" w:line="190" w:lineRule="exact"/>
              <w:ind w:right="200" w:firstLine="0"/>
              <w:jc w:val="right"/>
            </w:pPr>
            <w:r>
              <w:rPr>
                <w:rStyle w:val="Bodytext295pt"/>
              </w:rPr>
              <w:t>9 120,00</w:t>
            </w:r>
          </w:p>
        </w:tc>
      </w:tr>
      <w:tr w:rsidR="00B047CC" w14:paraId="08E3AA0A" w14:textId="77777777">
        <w:trPr>
          <w:trHeight w:hRule="exact" w:val="566"/>
        </w:trPr>
        <w:tc>
          <w:tcPr>
            <w:tcW w:w="7013" w:type="dxa"/>
            <w:shd w:val="clear" w:color="auto" w:fill="FFFFFF"/>
            <w:vAlign w:val="center"/>
          </w:tcPr>
          <w:p w14:paraId="08E3AA07" w14:textId="77777777" w:rsidR="00B047CC" w:rsidRDefault="00266F43">
            <w:pPr>
              <w:pStyle w:val="Bodytext20"/>
              <w:framePr w:w="10080" w:h="7675" w:wrap="none" w:vAnchor="page" w:hAnchor="page" w:x="1087" w:y="5109"/>
              <w:shd w:val="clear" w:color="auto" w:fill="auto"/>
              <w:spacing w:before="0" w:line="190" w:lineRule="exact"/>
              <w:ind w:left="240" w:firstLine="0"/>
            </w:pPr>
            <w:r>
              <w:rPr>
                <w:rStyle w:val="Bodytext295pt"/>
              </w:rPr>
              <w:t xml:space="preserve">VYK </w:t>
            </w:r>
            <w:proofErr w:type="gramStart"/>
            <w:r>
              <w:rPr>
                <w:rStyle w:val="Bodytext295pt"/>
              </w:rPr>
              <w:t>SQL - lokální</w:t>
            </w:r>
            <w:proofErr w:type="gramEnd"/>
            <w:r>
              <w:rPr>
                <w:rStyle w:val="Bodytext295pt"/>
              </w:rPr>
              <w:t xml:space="preserve"> verze</w:t>
            </w:r>
          </w:p>
        </w:tc>
        <w:tc>
          <w:tcPr>
            <w:tcW w:w="1166" w:type="dxa"/>
            <w:shd w:val="clear" w:color="auto" w:fill="FFFFFF"/>
          </w:tcPr>
          <w:p w14:paraId="08E3AA08" w14:textId="77777777" w:rsidR="00B047CC" w:rsidRDefault="00B047CC">
            <w:pPr>
              <w:framePr w:w="10080" w:h="7675" w:wrap="none" w:vAnchor="page" w:hAnchor="page" w:x="1087" w:y="5109"/>
              <w:rPr>
                <w:sz w:val="10"/>
                <w:szCs w:val="10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14:paraId="08E3AA09" w14:textId="77777777" w:rsidR="00B047CC" w:rsidRDefault="00266F43">
            <w:pPr>
              <w:pStyle w:val="Bodytext20"/>
              <w:framePr w:w="10080" w:h="7675" w:wrap="none" w:vAnchor="page" w:hAnchor="page" w:x="1087" w:y="5109"/>
              <w:shd w:val="clear" w:color="auto" w:fill="auto"/>
              <w:spacing w:before="0" w:line="190" w:lineRule="exact"/>
              <w:ind w:right="200" w:firstLine="0"/>
              <w:jc w:val="right"/>
            </w:pPr>
            <w:r>
              <w:rPr>
                <w:rStyle w:val="Bodytext295pt"/>
              </w:rPr>
              <w:t>9 840,00</w:t>
            </w:r>
          </w:p>
        </w:tc>
      </w:tr>
      <w:tr w:rsidR="00B047CC" w14:paraId="08E3AA0E" w14:textId="77777777">
        <w:trPr>
          <w:trHeight w:hRule="exact" w:val="595"/>
        </w:trPr>
        <w:tc>
          <w:tcPr>
            <w:tcW w:w="7013" w:type="dxa"/>
            <w:shd w:val="clear" w:color="auto" w:fill="FFFFFF"/>
            <w:vAlign w:val="center"/>
          </w:tcPr>
          <w:p w14:paraId="08E3AA0B" w14:textId="77777777" w:rsidR="00B047CC" w:rsidRDefault="00266F43">
            <w:pPr>
              <w:pStyle w:val="Bodytext20"/>
              <w:framePr w:w="10080" w:h="7675" w:wrap="none" w:vAnchor="page" w:hAnchor="page" w:x="1087" w:y="5109"/>
              <w:shd w:val="clear" w:color="auto" w:fill="auto"/>
              <w:spacing w:before="0" w:line="190" w:lineRule="exact"/>
              <w:ind w:left="240" w:firstLine="0"/>
            </w:pPr>
            <w:r>
              <w:rPr>
                <w:rStyle w:val="Bodytext295pt"/>
              </w:rPr>
              <w:t xml:space="preserve">ESU </w:t>
            </w:r>
            <w:proofErr w:type="gramStart"/>
            <w:r>
              <w:rPr>
                <w:rStyle w:val="Bodytext295pt"/>
              </w:rPr>
              <w:t>SQL - síťová</w:t>
            </w:r>
            <w:proofErr w:type="gramEnd"/>
            <w:r>
              <w:rPr>
                <w:rStyle w:val="Bodytext295pt"/>
              </w:rPr>
              <w:t xml:space="preserve"> verze - do 1000 subjektů</w:t>
            </w:r>
          </w:p>
        </w:tc>
        <w:tc>
          <w:tcPr>
            <w:tcW w:w="1166" w:type="dxa"/>
            <w:shd w:val="clear" w:color="auto" w:fill="FFFFFF"/>
          </w:tcPr>
          <w:p w14:paraId="08E3AA0C" w14:textId="77777777" w:rsidR="00B047CC" w:rsidRDefault="00B047CC">
            <w:pPr>
              <w:framePr w:w="10080" w:h="7675" w:wrap="none" w:vAnchor="page" w:hAnchor="page" w:x="1087" w:y="5109"/>
              <w:rPr>
                <w:sz w:val="10"/>
                <w:szCs w:val="10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14:paraId="08E3AA0D" w14:textId="77777777" w:rsidR="00B047CC" w:rsidRDefault="00266F43">
            <w:pPr>
              <w:pStyle w:val="Bodytext20"/>
              <w:framePr w:w="10080" w:h="7675" w:wrap="none" w:vAnchor="page" w:hAnchor="page" w:x="1087" w:y="5109"/>
              <w:shd w:val="clear" w:color="auto" w:fill="auto"/>
              <w:spacing w:before="0" w:line="190" w:lineRule="exact"/>
              <w:ind w:right="200" w:firstLine="0"/>
              <w:jc w:val="right"/>
            </w:pPr>
            <w:r>
              <w:rPr>
                <w:rStyle w:val="Bodytext295pt"/>
              </w:rPr>
              <w:t>6 240,00</w:t>
            </w:r>
          </w:p>
        </w:tc>
      </w:tr>
      <w:tr w:rsidR="00B047CC" w14:paraId="08E3AA12" w14:textId="77777777">
        <w:trPr>
          <w:trHeight w:hRule="exact" w:val="806"/>
        </w:trPr>
        <w:tc>
          <w:tcPr>
            <w:tcW w:w="7013" w:type="dxa"/>
            <w:shd w:val="clear" w:color="auto" w:fill="FFFFFF"/>
            <w:vAlign w:val="center"/>
          </w:tcPr>
          <w:p w14:paraId="08E3AA0F" w14:textId="77777777" w:rsidR="00B047CC" w:rsidRDefault="00266F43">
            <w:pPr>
              <w:pStyle w:val="Bodytext20"/>
              <w:framePr w:w="10080" w:h="7675" w:wrap="none" w:vAnchor="page" w:hAnchor="page" w:x="1087" w:y="5109"/>
              <w:shd w:val="clear" w:color="auto" w:fill="auto"/>
              <w:spacing w:before="0" w:line="212" w:lineRule="exact"/>
              <w:ind w:left="240" w:firstLine="0"/>
            </w:pPr>
            <w:r w:rsidRPr="00367A59">
              <w:rPr>
                <w:rStyle w:val="Bodytext295pt"/>
                <w:b/>
              </w:rPr>
              <w:t xml:space="preserve">CELKEM </w:t>
            </w:r>
            <w:r w:rsidRPr="00367A59">
              <w:rPr>
                <w:rStyle w:val="Bodytext21"/>
                <w:b/>
              </w:rPr>
              <w:t>SW</w:t>
            </w:r>
            <w:r>
              <w:rPr>
                <w:rStyle w:val="Bodytext21"/>
              </w:rPr>
              <w:t xml:space="preserve"> </w:t>
            </w:r>
            <w:r>
              <w:rPr>
                <w:rStyle w:val="Bodytext295ptBold0"/>
              </w:rPr>
              <w:t>bez DPH</w:t>
            </w:r>
          </w:p>
        </w:tc>
        <w:tc>
          <w:tcPr>
            <w:tcW w:w="1166" w:type="dxa"/>
            <w:shd w:val="clear" w:color="auto" w:fill="FFFFFF"/>
          </w:tcPr>
          <w:p w14:paraId="08E3AA10" w14:textId="77777777" w:rsidR="00B047CC" w:rsidRDefault="00B047CC">
            <w:pPr>
              <w:framePr w:w="10080" w:h="7675" w:wrap="none" w:vAnchor="page" w:hAnchor="page" w:x="1087" w:y="5109"/>
              <w:rPr>
                <w:sz w:val="10"/>
                <w:szCs w:val="10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14:paraId="08E3AA11" w14:textId="77777777" w:rsidR="00B047CC" w:rsidRPr="00367A59" w:rsidRDefault="00266F43">
            <w:pPr>
              <w:pStyle w:val="Bodytext20"/>
              <w:framePr w:w="10080" w:h="7675" w:wrap="none" w:vAnchor="page" w:hAnchor="page" w:x="1087" w:y="5109"/>
              <w:shd w:val="clear" w:color="auto" w:fill="auto"/>
              <w:spacing w:before="0" w:line="190" w:lineRule="exact"/>
              <w:ind w:right="200" w:firstLine="0"/>
              <w:jc w:val="right"/>
              <w:rPr>
                <w:b/>
              </w:rPr>
            </w:pPr>
            <w:r w:rsidRPr="00367A59">
              <w:rPr>
                <w:rStyle w:val="Bodytext295pt"/>
                <w:b/>
              </w:rPr>
              <w:t>88 252,00</w:t>
            </w:r>
          </w:p>
        </w:tc>
      </w:tr>
      <w:tr w:rsidR="00B047CC" w14:paraId="08E3AA16" w14:textId="77777777">
        <w:trPr>
          <w:trHeight w:hRule="exact" w:val="658"/>
        </w:trPr>
        <w:tc>
          <w:tcPr>
            <w:tcW w:w="70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8E3AA13" w14:textId="77777777" w:rsidR="00B047CC" w:rsidRDefault="00266F43">
            <w:pPr>
              <w:pStyle w:val="Bodytext20"/>
              <w:framePr w:w="10080" w:h="7675" w:wrap="none" w:vAnchor="page" w:hAnchor="page" w:x="1087" w:y="5109"/>
              <w:shd w:val="clear" w:color="auto" w:fill="auto"/>
              <w:spacing w:before="0" w:line="190" w:lineRule="exact"/>
              <w:ind w:left="240" w:firstLine="0"/>
            </w:pPr>
            <w:r>
              <w:rPr>
                <w:rStyle w:val="Bodytext295pt"/>
              </w:rPr>
              <w:t xml:space="preserve">Implementace, základní zaškolení (v </w:t>
            </w:r>
            <w:r>
              <w:rPr>
                <w:rStyle w:val="Bodytext295pt"/>
                <w:lang w:val="en-US" w:eastAsia="en-US" w:bidi="en-US"/>
              </w:rPr>
              <w:t xml:space="preserve">max. </w:t>
            </w:r>
            <w:r>
              <w:rPr>
                <w:rStyle w:val="Bodytext295pt"/>
              </w:rPr>
              <w:t>počtu 45 hodin)</w:t>
            </w:r>
          </w:p>
        </w:tc>
        <w:tc>
          <w:tcPr>
            <w:tcW w:w="1166" w:type="dxa"/>
            <w:shd w:val="clear" w:color="auto" w:fill="FFFFFF"/>
          </w:tcPr>
          <w:p w14:paraId="08E3AA14" w14:textId="77777777" w:rsidR="00B047CC" w:rsidRDefault="00B047CC">
            <w:pPr>
              <w:framePr w:w="10080" w:h="7675" w:wrap="none" w:vAnchor="page" w:hAnchor="page" w:x="1087" w:y="5109"/>
              <w:rPr>
                <w:sz w:val="10"/>
                <w:szCs w:val="10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14:paraId="08E3AA15" w14:textId="77777777" w:rsidR="00B047CC" w:rsidRDefault="00266F43">
            <w:pPr>
              <w:pStyle w:val="Bodytext20"/>
              <w:framePr w:w="10080" w:h="7675" w:wrap="none" w:vAnchor="page" w:hAnchor="page" w:x="1087" w:y="5109"/>
              <w:shd w:val="clear" w:color="auto" w:fill="auto"/>
              <w:spacing w:before="0" w:line="190" w:lineRule="exact"/>
              <w:ind w:right="200" w:firstLine="0"/>
              <w:jc w:val="right"/>
            </w:pPr>
            <w:r>
              <w:rPr>
                <w:rStyle w:val="Bodytext295pt"/>
              </w:rPr>
              <w:t>45 000,00</w:t>
            </w:r>
          </w:p>
        </w:tc>
      </w:tr>
    </w:tbl>
    <w:p w14:paraId="08E3AA17" w14:textId="77777777" w:rsidR="00B047CC" w:rsidRPr="00367A59" w:rsidRDefault="00266F43">
      <w:pPr>
        <w:pStyle w:val="Heading40"/>
        <w:framePr w:wrap="none" w:vAnchor="page" w:hAnchor="page" w:x="1020" w:y="12892"/>
        <w:shd w:val="clear" w:color="auto" w:fill="auto"/>
        <w:spacing w:line="212" w:lineRule="exact"/>
        <w:ind w:left="560"/>
        <w:rPr>
          <w:b/>
        </w:rPr>
      </w:pPr>
      <w:bookmarkStart w:id="6" w:name="bookmark7"/>
      <w:r w:rsidRPr="00367A59">
        <w:rPr>
          <w:rStyle w:val="Heading41"/>
          <w:b/>
        </w:rPr>
        <w:t>Cena celkem bez DPH</w:t>
      </w:r>
      <w:bookmarkEnd w:id="6"/>
    </w:p>
    <w:p w14:paraId="08E3AA18" w14:textId="6AEC5209" w:rsidR="00B047CC" w:rsidRPr="00367A59" w:rsidRDefault="00266F43">
      <w:pPr>
        <w:pStyle w:val="Tablecaption0"/>
        <w:framePr w:wrap="none" w:vAnchor="page" w:hAnchor="page" w:x="9958" w:y="12884"/>
        <w:shd w:val="clear" w:color="auto" w:fill="auto"/>
        <w:rPr>
          <w:b/>
        </w:rPr>
      </w:pPr>
      <w:r w:rsidRPr="00367A59">
        <w:rPr>
          <w:rStyle w:val="Tablecaption1"/>
          <w:b/>
        </w:rPr>
        <w:t>133</w:t>
      </w:r>
      <w:r w:rsidR="00367A59">
        <w:rPr>
          <w:rStyle w:val="Tablecaption1"/>
          <w:b/>
        </w:rPr>
        <w:t> </w:t>
      </w:r>
      <w:r w:rsidRPr="00367A59">
        <w:rPr>
          <w:rStyle w:val="Tablecaption1"/>
          <w:b/>
        </w:rPr>
        <w:t>252</w:t>
      </w:r>
      <w:r w:rsidR="00367A59">
        <w:rPr>
          <w:rStyle w:val="Tablecaption1"/>
          <w:b/>
        </w:rPr>
        <w:t>,</w:t>
      </w:r>
      <w:r w:rsidRPr="00367A59">
        <w:rPr>
          <w:rStyle w:val="Tablecaption1"/>
          <w:b/>
        </w:rPr>
        <w:t>00</w:t>
      </w:r>
    </w:p>
    <w:p w14:paraId="08E3AA19" w14:textId="77777777" w:rsidR="00B047CC" w:rsidRDefault="00B047CC">
      <w:pPr>
        <w:rPr>
          <w:sz w:val="2"/>
          <w:szCs w:val="2"/>
        </w:rPr>
        <w:sectPr w:rsidR="00B047C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8E3AA1A" w14:textId="77777777" w:rsidR="00B047CC" w:rsidRDefault="00266F43">
      <w:pPr>
        <w:pStyle w:val="Bodytext20"/>
        <w:framePr w:w="9845" w:h="674" w:hRule="exact" w:wrap="none" w:vAnchor="page" w:hAnchor="page" w:x="1170" w:y="2092"/>
        <w:numPr>
          <w:ilvl w:val="0"/>
          <w:numId w:val="1"/>
        </w:numPr>
        <w:shd w:val="clear" w:color="auto" w:fill="auto"/>
        <w:tabs>
          <w:tab w:val="left" w:pos="506"/>
        </w:tabs>
        <w:spacing w:before="0" w:after="180" w:line="212" w:lineRule="exact"/>
        <w:ind w:left="220" w:firstLine="0"/>
      </w:pPr>
      <w:r>
        <w:rPr>
          <w:lang w:val="en-US" w:eastAsia="en-US" w:bidi="en-US"/>
        </w:rPr>
        <w:lastRenderedPageBreak/>
        <w:t xml:space="preserve">Update - </w:t>
      </w:r>
      <w:r>
        <w:t xml:space="preserve">roční udržovací poplatek k modulu UCR SQL a VYK SQL činí 30 </w:t>
      </w:r>
      <w:r>
        <w:rPr>
          <w:rStyle w:val="Bodytext2Italic"/>
        </w:rPr>
        <w:t>%</w:t>
      </w:r>
      <w:r>
        <w:t xml:space="preserve"> celkové ceny licence</w:t>
      </w:r>
    </w:p>
    <w:p w14:paraId="08E3AA1B" w14:textId="77777777" w:rsidR="00B047CC" w:rsidRDefault="00266F43">
      <w:pPr>
        <w:pStyle w:val="Bodytext20"/>
        <w:framePr w:w="9845" w:h="674" w:hRule="exact" w:wrap="none" w:vAnchor="page" w:hAnchor="page" w:x="1170" w:y="2092"/>
        <w:numPr>
          <w:ilvl w:val="0"/>
          <w:numId w:val="1"/>
        </w:numPr>
        <w:shd w:val="clear" w:color="auto" w:fill="auto"/>
        <w:tabs>
          <w:tab w:val="left" w:pos="506"/>
        </w:tabs>
        <w:spacing w:before="0" w:line="212" w:lineRule="exact"/>
        <w:ind w:left="220" w:firstLine="0"/>
      </w:pPr>
      <w:proofErr w:type="gramStart"/>
      <w:r>
        <w:t>Update - roční</w:t>
      </w:r>
      <w:proofErr w:type="gramEnd"/>
      <w:r>
        <w:t xml:space="preserve"> udržovací poplatek k modulům EMA, KDF, KOF, KXF, POK a ESU SQL činí 20 </w:t>
      </w:r>
      <w:r>
        <w:rPr>
          <w:rStyle w:val="Bodytext2Italic"/>
        </w:rPr>
        <w:t>%</w:t>
      </w:r>
      <w:r>
        <w:t xml:space="preserve"> celkové ceny</w:t>
      </w:r>
    </w:p>
    <w:p w14:paraId="08E3AA1C" w14:textId="77777777" w:rsidR="00B047CC" w:rsidRDefault="00266F43">
      <w:pPr>
        <w:pStyle w:val="Bodytext20"/>
        <w:framePr w:w="9845" w:h="2098" w:hRule="exact" w:wrap="none" w:vAnchor="page" w:hAnchor="page" w:x="1170" w:y="3026"/>
        <w:numPr>
          <w:ilvl w:val="0"/>
          <w:numId w:val="1"/>
        </w:numPr>
        <w:shd w:val="clear" w:color="auto" w:fill="auto"/>
        <w:tabs>
          <w:tab w:val="left" w:pos="506"/>
        </w:tabs>
        <w:spacing w:before="0" w:line="408" w:lineRule="exact"/>
        <w:ind w:left="220" w:firstLine="0"/>
      </w:pPr>
      <w:r>
        <w:t>V prvním roce užívání programových modulů je cena udržovacího poplatku zahrnuta v pořizovací ceně.</w:t>
      </w:r>
    </w:p>
    <w:p w14:paraId="08E3AA1D" w14:textId="77777777" w:rsidR="00B047CC" w:rsidRDefault="00266F43">
      <w:pPr>
        <w:pStyle w:val="Bodytext20"/>
        <w:framePr w:w="9845" w:h="2098" w:hRule="exact" w:wrap="none" w:vAnchor="page" w:hAnchor="page" w:x="1170" w:y="3026"/>
        <w:numPr>
          <w:ilvl w:val="0"/>
          <w:numId w:val="1"/>
        </w:numPr>
        <w:shd w:val="clear" w:color="auto" w:fill="auto"/>
        <w:tabs>
          <w:tab w:val="left" w:pos="506"/>
        </w:tabs>
        <w:spacing w:before="0" w:line="408" w:lineRule="exact"/>
        <w:ind w:left="220" w:firstLine="0"/>
      </w:pPr>
      <w:r>
        <w:t>Veškeré ceny v nabídce jsou uvedeny bez DPFI.</w:t>
      </w:r>
    </w:p>
    <w:p w14:paraId="08E3AA1E" w14:textId="77777777" w:rsidR="00B047CC" w:rsidRDefault="00266F43">
      <w:pPr>
        <w:pStyle w:val="Bodytext20"/>
        <w:framePr w:w="9845" w:h="2098" w:hRule="exact" w:wrap="none" w:vAnchor="page" w:hAnchor="page" w:x="1170" w:y="3026"/>
        <w:numPr>
          <w:ilvl w:val="0"/>
          <w:numId w:val="1"/>
        </w:numPr>
        <w:shd w:val="clear" w:color="auto" w:fill="auto"/>
        <w:tabs>
          <w:tab w:val="left" w:pos="506"/>
        </w:tabs>
        <w:spacing w:before="0" w:line="408" w:lineRule="exact"/>
        <w:ind w:left="220" w:firstLine="0"/>
      </w:pPr>
      <w:r>
        <w:t>Cena za implementaci a školení, cestovné a vzdálenou správu bude fakturována dle skutečnosti.</w:t>
      </w:r>
    </w:p>
    <w:p w14:paraId="08E3AA1F" w14:textId="77777777" w:rsidR="00B047CC" w:rsidRDefault="00266F43">
      <w:pPr>
        <w:pStyle w:val="Bodytext20"/>
        <w:framePr w:w="9845" w:h="2098" w:hRule="exact" w:wrap="none" w:vAnchor="page" w:hAnchor="page" w:x="1170" w:y="3026"/>
        <w:numPr>
          <w:ilvl w:val="0"/>
          <w:numId w:val="1"/>
        </w:numPr>
        <w:shd w:val="clear" w:color="auto" w:fill="auto"/>
        <w:tabs>
          <w:tab w:val="left" w:pos="506"/>
        </w:tabs>
        <w:spacing w:before="0" w:line="408" w:lineRule="exact"/>
        <w:ind w:left="220" w:firstLine="0"/>
      </w:pPr>
      <w:r>
        <w:t xml:space="preserve">Objednávku na realizaci této nabídky zašlete elektronicky na adresu </w:t>
      </w:r>
      <w:hyperlink r:id="rId9" w:history="1">
        <w:r>
          <w:rPr>
            <w:lang w:val="en-US" w:eastAsia="en-US" w:bidi="en-US"/>
          </w:rPr>
          <w:t>helena_kucerova@gordic.cz</w:t>
        </w:r>
      </w:hyperlink>
      <w:r>
        <w:rPr>
          <w:lang w:val="en-US" w:eastAsia="en-US" w:bidi="en-US"/>
        </w:rPr>
        <w:t>.</w:t>
      </w:r>
    </w:p>
    <w:p w14:paraId="08E3AA20" w14:textId="77777777" w:rsidR="00B047CC" w:rsidRDefault="00266F43">
      <w:pPr>
        <w:pStyle w:val="Bodytext20"/>
        <w:framePr w:w="9845" w:h="2098" w:hRule="exact" w:wrap="none" w:vAnchor="page" w:hAnchor="page" w:x="1170" w:y="3026"/>
        <w:numPr>
          <w:ilvl w:val="0"/>
          <w:numId w:val="1"/>
        </w:numPr>
        <w:shd w:val="clear" w:color="auto" w:fill="auto"/>
        <w:tabs>
          <w:tab w:val="left" w:pos="506"/>
        </w:tabs>
        <w:spacing w:before="0" w:line="408" w:lineRule="exact"/>
        <w:ind w:left="220" w:firstLine="0"/>
      </w:pPr>
      <w:r>
        <w:t>V objednávce uveďte prosím číslo nabídky GKMSP001NR84.</w:t>
      </w:r>
    </w:p>
    <w:p w14:paraId="08E3AA21" w14:textId="77777777" w:rsidR="00B047CC" w:rsidRDefault="00266F43">
      <w:pPr>
        <w:pStyle w:val="Bodytext20"/>
        <w:framePr w:wrap="none" w:vAnchor="page" w:hAnchor="page" w:x="1170" w:y="5889"/>
        <w:shd w:val="clear" w:color="auto" w:fill="auto"/>
        <w:spacing w:before="0" w:line="212" w:lineRule="exact"/>
        <w:ind w:firstLine="0"/>
      </w:pPr>
      <w:r>
        <w:t>V Chrudimi 21.04.2022</w:t>
      </w:r>
    </w:p>
    <w:p w14:paraId="406DAC29" w14:textId="77777777" w:rsidR="004F41F5" w:rsidRDefault="00266F43">
      <w:pPr>
        <w:pStyle w:val="Bodytext20"/>
        <w:framePr w:w="9845" w:h="1186" w:hRule="exact" w:wrap="none" w:vAnchor="page" w:hAnchor="page" w:x="1170" w:y="7022"/>
        <w:shd w:val="clear" w:color="auto" w:fill="auto"/>
        <w:spacing w:before="0"/>
        <w:ind w:left="220" w:firstLine="0"/>
      </w:pPr>
      <w:r>
        <w:t xml:space="preserve">Helena Kučerová </w:t>
      </w:r>
    </w:p>
    <w:p w14:paraId="22C2F043" w14:textId="77777777" w:rsidR="004F41F5" w:rsidRDefault="00266F43">
      <w:pPr>
        <w:pStyle w:val="Bodytext20"/>
        <w:framePr w:w="9845" w:h="1186" w:hRule="exact" w:wrap="none" w:vAnchor="page" w:hAnchor="page" w:x="1170" w:y="7022"/>
        <w:shd w:val="clear" w:color="auto" w:fill="auto"/>
        <w:spacing w:before="0"/>
        <w:ind w:left="220" w:firstLine="0"/>
      </w:pPr>
      <w:r>
        <w:t xml:space="preserve">GORDIC® VAR Chrudim </w:t>
      </w:r>
    </w:p>
    <w:p w14:paraId="19425686" w14:textId="77777777" w:rsidR="004F41F5" w:rsidRDefault="00266F43">
      <w:pPr>
        <w:pStyle w:val="Bodytext20"/>
        <w:framePr w:w="9845" w:h="1186" w:hRule="exact" w:wrap="none" w:vAnchor="page" w:hAnchor="page" w:x="1170" w:y="7022"/>
        <w:shd w:val="clear" w:color="auto" w:fill="auto"/>
        <w:spacing w:before="0"/>
        <w:ind w:left="220" w:firstLine="0"/>
      </w:pPr>
      <w:r>
        <w:t xml:space="preserve">Novoměstská 960 </w:t>
      </w:r>
    </w:p>
    <w:p w14:paraId="08E3AA22" w14:textId="2B87F157" w:rsidR="00B047CC" w:rsidRDefault="00266F43">
      <w:pPr>
        <w:pStyle w:val="Bodytext20"/>
        <w:framePr w:w="9845" w:h="1186" w:hRule="exact" w:wrap="none" w:vAnchor="page" w:hAnchor="page" w:x="1170" w:y="7022"/>
        <w:shd w:val="clear" w:color="auto" w:fill="auto"/>
        <w:spacing w:before="0"/>
        <w:ind w:left="220" w:firstLine="0"/>
      </w:pPr>
      <w:r>
        <w:t>537 01 Chrudim</w:t>
      </w:r>
    </w:p>
    <w:p w14:paraId="08E3AA23" w14:textId="77777777" w:rsidR="00B047CC" w:rsidRDefault="00266F43">
      <w:pPr>
        <w:pStyle w:val="Bodytext70"/>
        <w:framePr w:w="9845" w:h="436" w:hRule="exact" w:wrap="none" w:vAnchor="page" w:hAnchor="page" w:x="1170" w:y="8886"/>
        <w:shd w:val="clear" w:color="auto" w:fill="auto"/>
        <w:spacing w:before="0" w:after="0"/>
        <w:ind w:right="2820"/>
      </w:pPr>
      <w:r>
        <w:t xml:space="preserve">GORDIC spol. s r. o., pobočka Praha, Italská 35,120 00 Praha 2, Česká republika, </w:t>
      </w:r>
      <w:hyperlink r:id="rId10" w:history="1">
        <w:r>
          <w:rPr>
            <w:lang w:val="en-US" w:eastAsia="en-US" w:bidi="en-US"/>
          </w:rPr>
          <w:t>www.gordic.cz</w:t>
        </w:r>
      </w:hyperlink>
      <w:r>
        <w:rPr>
          <w:lang w:val="en-US" w:eastAsia="en-US" w:bidi="en-US"/>
        </w:rPr>
        <w:t xml:space="preserve">, </w:t>
      </w:r>
      <w:hyperlink r:id="rId11" w:history="1">
        <w:r>
          <w:rPr>
            <w:lang w:val="en-US" w:eastAsia="en-US" w:bidi="en-US"/>
          </w:rPr>
          <w:t>gordicph@gordic.cz</w:t>
        </w:r>
      </w:hyperlink>
      <w:r>
        <w:rPr>
          <w:lang w:val="en-US" w:eastAsia="en-US" w:bidi="en-US"/>
        </w:rPr>
        <w:t xml:space="preserve"> </w:t>
      </w:r>
      <w:r>
        <w:t>IČ: 47903783, DIČ: CZ47903783 | Zápis v obchodním rejstříku u krajského soudu v Brně, oddíl C, vložka 9313</w:t>
      </w:r>
    </w:p>
    <w:p w14:paraId="08E3AA24" w14:textId="77777777" w:rsidR="00B047CC" w:rsidRDefault="00266F43">
      <w:pPr>
        <w:pStyle w:val="Bodytext40"/>
        <w:framePr w:w="9845" w:h="614" w:hRule="exact" w:wrap="none" w:vAnchor="page" w:hAnchor="page" w:x="1170" w:y="11275"/>
        <w:shd w:val="clear" w:color="auto" w:fill="auto"/>
        <w:ind w:right="1160"/>
      </w:pPr>
      <w:r>
        <w:t>Objednáváme tímto výše uvedené programové vybavení a související služby s termínem dodání do 23.12.2022.</w:t>
      </w:r>
    </w:p>
    <w:p w14:paraId="08E3AA25" w14:textId="77777777" w:rsidR="00B047CC" w:rsidRDefault="00266F43">
      <w:pPr>
        <w:pStyle w:val="Bodytext20"/>
        <w:framePr w:wrap="none" w:vAnchor="page" w:hAnchor="page" w:x="1170" w:y="2779"/>
        <w:shd w:val="clear" w:color="auto" w:fill="auto"/>
        <w:spacing w:before="0" w:line="212" w:lineRule="exact"/>
        <w:ind w:left="480" w:firstLine="0"/>
      </w:pPr>
      <w:r>
        <w:t>licence.</w:t>
      </w:r>
    </w:p>
    <w:p w14:paraId="08E3AA26" w14:textId="538463D5" w:rsidR="00B047CC" w:rsidRDefault="00266F43" w:rsidP="004F41F5">
      <w:pPr>
        <w:pStyle w:val="Bodytext20"/>
        <w:framePr w:w="8251" w:wrap="none" w:vAnchor="page" w:hAnchor="page" w:x="1256" w:y="12117"/>
        <w:shd w:val="clear" w:color="auto" w:fill="auto"/>
        <w:spacing w:before="0" w:line="212" w:lineRule="exact"/>
        <w:ind w:firstLine="0"/>
      </w:pPr>
      <w:r>
        <w:t>Hudební divadlo v Karl</w:t>
      </w:r>
      <w:r w:rsidR="004F41F5">
        <w:t>í</w:t>
      </w:r>
      <w:r>
        <w:t>ně,</w:t>
      </w:r>
      <w:r w:rsidR="004F41F5">
        <w:t xml:space="preserve"> IČ 00064335, Křižíkova 10, Praha 8</w:t>
      </w:r>
    </w:p>
    <w:p w14:paraId="08E3AA28" w14:textId="430E3EC5" w:rsidR="00B047CC" w:rsidRDefault="00266F43" w:rsidP="00CB1EDA">
      <w:pPr>
        <w:pStyle w:val="Bodytext20"/>
        <w:framePr w:wrap="none" w:vAnchor="page" w:hAnchor="page" w:x="1237" w:y="12707"/>
        <w:shd w:val="clear" w:color="auto" w:fill="auto"/>
        <w:spacing w:before="0" w:line="212" w:lineRule="exact"/>
        <w:ind w:firstLine="0"/>
      </w:pPr>
      <w:r>
        <w:t>V Praze, 28.11.2022</w:t>
      </w:r>
    </w:p>
    <w:p w14:paraId="148AECE7" w14:textId="30AF0B86" w:rsidR="00CB1EDA" w:rsidRDefault="00CB1EDA" w:rsidP="00CB1EDA">
      <w:pPr>
        <w:pStyle w:val="Bodytext20"/>
        <w:framePr w:wrap="none" w:vAnchor="page" w:hAnchor="page" w:x="1237" w:y="12707"/>
        <w:shd w:val="clear" w:color="auto" w:fill="auto"/>
        <w:spacing w:before="0" w:line="212" w:lineRule="exact"/>
        <w:ind w:firstLine="0"/>
      </w:pPr>
    </w:p>
    <w:p w14:paraId="7F0CD900" w14:textId="59FC2894" w:rsidR="00CB1EDA" w:rsidRDefault="00CB1EDA" w:rsidP="00CB1EDA">
      <w:pPr>
        <w:pStyle w:val="Bodytext20"/>
        <w:framePr w:wrap="none" w:vAnchor="page" w:hAnchor="page" w:x="1237" w:y="12707"/>
        <w:shd w:val="clear" w:color="auto" w:fill="auto"/>
        <w:spacing w:before="0" w:line="212" w:lineRule="exact"/>
        <w:ind w:firstLine="0"/>
      </w:pPr>
    </w:p>
    <w:p w14:paraId="39AD8977" w14:textId="517F6096" w:rsidR="00CB1EDA" w:rsidRDefault="00CB1EDA" w:rsidP="00CB1EDA">
      <w:pPr>
        <w:pStyle w:val="Bodytext20"/>
        <w:framePr w:wrap="none" w:vAnchor="page" w:hAnchor="page" w:x="1237" w:y="12707"/>
        <w:shd w:val="clear" w:color="auto" w:fill="auto"/>
        <w:spacing w:before="0" w:line="212" w:lineRule="exact"/>
        <w:ind w:firstLine="0"/>
      </w:pPr>
    </w:p>
    <w:p w14:paraId="1EA949D7" w14:textId="5F826D6F" w:rsidR="00CB1EDA" w:rsidRDefault="00CB1EDA" w:rsidP="00CB1EDA">
      <w:pPr>
        <w:pStyle w:val="Bodytext20"/>
        <w:framePr w:wrap="none" w:vAnchor="page" w:hAnchor="page" w:x="1237" w:y="12707"/>
        <w:shd w:val="clear" w:color="auto" w:fill="auto"/>
        <w:spacing w:before="0" w:line="212" w:lineRule="exact"/>
        <w:ind w:firstLine="0"/>
      </w:pPr>
    </w:p>
    <w:p w14:paraId="29AD1B3C" w14:textId="70623C40" w:rsidR="00CB1EDA" w:rsidRDefault="00CB1EDA" w:rsidP="00CB1EDA">
      <w:pPr>
        <w:pStyle w:val="Bodytext20"/>
        <w:framePr w:wrap="none" w:vAnchor="page" w:hAnchor="page" w:x="1237" w:y="12707"/>
        <w:shd w:val="clear" w:color="auto" w:fill="auto"/>
        <w:spacing w:before="0" w:line="212" w:lineRule="exact"/>
        <w:ind w:firstLine="0"/>
      </w:pPr>
      <w:r>
        <w:t xml:space="preserve">Bc. Jan Lepša, technický ředitel </w:t>
      </w:r>
    </w:p>
    <w:p w14:paraId="08E3AA2A" w14:textId="2FB01A03" w:rsidR="00B047CC" w:rsidRDefault="00B047CC">
      <w:pPr>
        <w:rPr>
          <w:sz w:val="2"/>
          <w:szCs w:val="2"/>
        </w:rPr>
      </w:pPr>
    </w:p>
    <w:p w14:paraId="11E2C0E1" w14:textId="77777777" w:rsidR="00CB1EDA" w:rsidRDefault="00CB1EDA">
      <w:pPr>
        <w:rPr>
          <w:sz w:val="2"/>
          <w:szCs w:val="2"/>
        </w:rPr>
      </w:pPr>
    </w:p>
    <w:sectPr w:rsidR="00CB1ED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D7408" w14:textId="77777777" w:rsidR="00E4752C" w:rsidRDefault="00E4752C">
      <w:r>
        <w:separator/>
      </w:r>
    </w:p>
  </w:endnote>
  <w:endnote w:type="continuationSeparator" w:id="0">
    <w:p w14:paraId="4E49AB17" w14:textId="77777777" w:rsidR="00E4752C" w:rsidRDefault="00E4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eelawadee">
    <w:altName w:val="Bahnschrift Light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1EF5D" w14:textId="77777777" w:rsidR="00E4752C" w:rsidRDefault="00E4752C"/>
  </w:footnote>
  <w:footnote w:type="continuationSeparator" w:id="0">
    <w:p w14:paraId="6C4E4F85" w14:textId="77777777" w:rsidR="00E4752C" w:rsidRDefault="00E4752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63155"/>
    <w:multiLevelType w:val="multilevel"/>
    <w:tmpl w:val="6EF2A060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4685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7CC"/>
    <w:rsid w:val="00266F43"/>
    <w:rsid w:val="00367A59"/>
    <w:rsid w:val="004F41F5"/>
    <w:rsid w:val="00B029B5"/>
    <w:rsid w:val="00B047CC"/>
    <w:rsid w:val="00CB1EDA"/>
    <w:rsid w:val="00E4752C"/>
    <w:rsid w:val="00EA6781"/>
    <w:rsid w:val="00EF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3A9D3"/>
  <w15:docId w15:val="{56C908E3-E9F7-404D-9DA7-FECB3DBC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38"/>
      <w:szCs w:val="38"/>
      <w:u w:val="none"/>
    </w:rPr>
  </w:style>
  <w:style w:type="character" w:customStyle="1" w:styleId="Heading21">
    <w:name w:val="Heading #2"/>
    <w:basedOn w:val="Heading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315882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Heading214pt">
    <w:name w:val="Heading #2 + 14 pt"/>
    <w:basedOn w:val="Heading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315882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Leelawadee" w:eastAsia="Leelawadee" w:hAnsi="Leelawadee" w:cs="Leelawadee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31">
    <w:name w:val="Body text (3)"/>
    <w:basedOn w:val="Bodytext3"/>
    <w:rPr>
      <w:rFonts w:ascii="Leelawadee" w:eastAsia="Leelawadee" w:hAnsi="Leelawadee" w:cs="Leelawadee"/>
      <w:b/>
      <w:bCs/>
      <w:i w:val="0"/>
      <w:iCs w:val="0"/>
      <w:smallCaps w:val="0"/>
      <w:strike w:val="0"/>
      <w:color w:val="315882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Heading3">
    <w:name w:val="Heading #3_"/>
    <w:basedOn w:val="Standardnpsmoodstavce"/>
    <w:link w:val="Heading3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1">
    <w:name w:val="Heading #3"/>
    <w:basedOn w:val="Heading3"/>
    <w:rPr>
      <w:rFonts w:ascii="Calibri" w:eastAsia="Calibri" w:hAnsi="Calibri" w:cs="Calibri"/>
      <w:b/>
      <w:bCs/>
      <w:i w:val="0"/>
      <w:iCs w:val="0"/>
      <w:smallCaps w:val="0"/>
      <w:strike w:val="0"/>
      <w:color w:val="315882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1">
    <w:name w:val="Body text (4)"/>
    <w:basedOn w:val="Body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4NotBold">
    <w:name w:val="Body text (4) + Not Bold"/>
    <w:basedOn w:val="Body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Italic">
    <w:name w:val="Body text (4) + Italic"/>
    <w:basedOn w:val="Bodytext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NotBoldItalic">
    <w:name w:val="Body text (4) + Not Bold;Italic"/>
    <w:basedOn w:val="Bodytext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Heading4">
    <w:name w:val="Heading #4_"/>
    <w:basedOn w:val="Standardnpsmoodstavce"/>
    <w:link w:val="Heading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Bold0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1E62B2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95ptBold">
    <w:name w:val="Body text (2) + 9.5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1E62B2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5pt">
    <w:name w:val="Body text (2) + 9.5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5ptBold0">
    <w:name w:val="Body text (2) + 9.5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41">
    <w:name w:val="Heading #4"/>
    <w:basedOn w:val="Heading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1">
    <w:name w:val="Table caption"/>
    <w:basedOn w:val="Tablecaption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2Italic">
    <w:name w:val="Body text (2) + Italic"/>
    <w:basedOn w:val="Body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424" w:lineRule="exact"/>
      <w:outlineLvl w:val="1"/>
    </w:pPr>
    <w:rPr>
      <w:rFonts w:ascii="Trebuchet MS" w:eastAsia="Trebuchet MS" w:hAnsi="Trebuchet MS" w:cs="Trebuchet MS"/>
      <w:i/>
      <w:iCs/>
      <w:sz w:val="38"/>
      <w:szCs w:val="3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740" w:line="358" w:lineRule="exact"/>
    </w:pPr>
    <w:rPr>
      <w:rFonts w:ascii="Leelawadee" w:eastAsia="Leelawadee" w:hAnsi="Leelawadee" w:cs="Leelawadee"/>
      <w:b/>
      <w:bCs/>
      <w:sz w:val="32"/>
      <w:szCs w:val="3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740" w:after="540" w:line="562" w:lineRule="exact"/>
      <w:outlineLvl w:val="0"/>
    </w:pPr>
    <w:rPr>
      <w:rFonts w:ascii="Calibri" w:eastAsia="Calibri" w:hAnsi="Calibri" w:cs="Calibri"/>
      <w:b/>
      <w:bCs/>
      <w:sz w:val="44"/>
      <w:szCs w:val="44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540" w:after="380" w:line="485" w:lineRule="exact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380" w:line="278" w:lineRule="exact"/>
      <w:ind w:hanging="260"/>
    </w:pPr>
    <w:rPr>
      <w:rFonts w:ascii="Calibri" w:eastAsia="Calibri" w:hAnsi="Calibri" w:cs="Calibri"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78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540" w:line="278" w:lineRule="exact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line="398" w:lineRule="exact"/>
      <w:ind w:hanging="260"/>
      <w:outlineLvl w:val="3"/>
    </w:pPr>
    <w:rPr>
      <w:rFonts w:ascii="Calibri" w:eastAsia="Calibri" w:hAnsi="Calibri" w:cs="Calibri"/>
      <w:sz w:val="22"/>
      <w:szCs w:val="2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754" w:lineRule="exact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12" w:lineRule="exact"/>
    </w:pPr>
    <w:rPr>
      <w:rFonts w:ascii="Calibri" w:eastAsia="Calibri" w:hAnsi="Calibri" w:cs="Calibri"/>
      <w:sz w:val="22"/>
      <w:szCs w:val="22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660" w:after="2080" w:line="187" w:lineRule="exact"/>
    </w:pPr>
    <w:rPr>
      <w:rFonts w:ascii="Calibri" w:eastAsia="Calibri" w:hAnsi="Calibri" w:cs="Calibri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ordicph@gordic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ordic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elena_kucerova@gordi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729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7</cp:revision>
  <dcterms:created xsi:type="dcterms:W3CDTF">2022-12-21T11:21:00Z</dcterms:created>
  <dcterms:modified xsi:type="dcterms:W3CDTF">2022-12-21T13:33:00Z</dcterms:modified>
</cp:coreProperties>
</file>