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EF" w:rsidRDefault="00D2585F">
      <w:pPr>
        <w:pStyle w:val="Zkladntext"/>
        <w:spacing w:before="78"/>
        <w:ind w:left="115"/>
      </w:pPr>
      <w:proofErr w:type="gramStart"/>
      <w:r>
        <w:t>Č.j</w:t>
      </w:r>
      <w:proofErr w:type="gramEnd"/>
      <w:r>
        <w:t>. MSMT-30391/2022-5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tabs>
          <w:tab w:val="left" w:pos="1531"/>
        </w:tabs>
        <w:ind w:left="116"/>
      </w:pPr>
      <w:r>
        <w:t>Vyřizuje:</w:t>
      </w:r>
      <w:r>
        <w:tab/>
        <w:t>Ing. Jakub</w:t>
      </w:r>
      <w:r>
        <w:rPr>
          <w:spacing w:val="-6"/>
        </w:rPr>
        <w:t xml:space="preserve"> </w:t>
      </w:r>
      <w:r>
        <w:t>Uchytil</w:t>
      </w: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spacing w:before="6"/>
      </w:pPr>
    </w:p>
    <w:p w:rsidR="003A73EF" w:rsidRDefault="00D2585F">
      <w:pPr>
        <w:pStyle w:val="Nadpis2"/>
        <w:spacing w:before="92"/>
      </w:pPr>
      <w:r>
        <w:t>R O Z H O D N U T Í</w:t>
      </w:r>
    </w:p>
    <w:p w:rsidR="003A73EF" w:rsidRDefault="003A73EF">
      <w:pPr>
        <w:pStyle w:val="Zkladntext"/>
        <w:rPr>
          <w:b/>
          <w:sz w:val="26"/>
        </w:rPr>
      </w:pPr>
    </w:p>
    <w:p w:rsidR="003A73EF" w:rsidRDefault="003A73EF">
      <w:pPr>
        <w:pStyle w:val="Zkladntext"/>
        <w:rPr>
          <w:b/>
          <w:sz w:val="26"/>
        </w:rPr>
      </w:pPr>
    </w:p>
    <w:p w:rsidR="003A73EF" w:rsidRDefault="003A73EF">
      <w:pPr>
        <w:pStyle w:val="Zkladntext"/>
        <w:spacing w:before="9"/>
        <w:rPr>
          <w:b/>
          <w:sz w:val="20"/>
        </w:rPr>
      </w:pPr>
    </w:p>
    <w:p w:rsidR="003A73EF" w:rsidRDefault="00D2585F">
      <w:pPr>
        <w:pStyle w:val="Zkladntext"/>
        <w:ind w:left="116" w:right="111"/>
        <w:jc w:val="both"/>
      </w:pPr>
      <w:r>
        <w:t>Ministerstvo školství, mládeže a tělovýchovy (dále jen „MŠMT“), zastoupené náměstkem pro řízení Sekce mezinárodních vztahů, EU a ESIF PhDr. Mgr.</w:t>
      </w:r>
      <w:r>
        <w:rPr>
          <w:spacing w:val="-41"/>
        </w:rPr>
        <w:t xml:space="preserve"> </w:t>
      </w:r>
      <w:r>
        <w:t>Václavem Velčovským, Ph.D., jako věcně a místně příslušný správní orgán v souladu s ustanovením § 7 zákona č. 2/1969 Sb., o zřízení ministerstev a jiných ústředních orgánů státní správy České socialistické republiky, ve znění pozdějších předpisů,</w:t>
      </w:r>
      <w:r>
        <w:rPr>
          <w:spacing w:val="42"/>
        </w:rPr>
        <w:t xml:space="preserve"> </w:t>
      </w:r>
      <w:r>
        <w:t>dle</w:t>
      </w:r>
    </w:p>
    <w:p w:rsidR="003A73EF" w:rsidRDefault="00D2585F">
      <w:pPr>
        <w:pStyle w:val="Zkladntext"/>
        <w:ind w:left="116" w:right="112"/>
        <w:jc w:val="both"/>
      </w:pPr>
      <w:r>
        <w:t xml:space="preserve">§ 2, </w:t>
      </w:r>
      <w:r>
        <w:t xml:space="preserve">odst. </w:t>
      </w:r>
      <w:proofErr w:type="gramStart"/>
      <w:r>
        <w:t>2</w:t>
      </w:r>
      <w:proofErr w:type="gramEnd"/>
      <w:r>
        <w:t xml:space="preserve">, písm. a) </w:t>
      </w:r>
      <w:proofErr w:type="gramStart"/>
      <w:r>
        <w:t>zákona</w:t>
      </w:r>
      <w:proofErr w:type="gramEnd"/>
      <w:r>
        <w:t xml:space="preserve"> č. 130/2002 Sb., o podpoře výzkumu, experimentálního vývoje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inovací</w:t>
      </w:r>
      <w:r>
        <w:rPr>
          <w:spacing w:val="-1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veřejných</w:t>
      </w:r>
      <w:r>
        <w:rPr>
          <w:spacing w:val="-9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některých</w:t>
      </w:r>
      <w:r>
        <w:rPr>
          <w:spacing w:val="-12"/>
        </w:rPr>
        <w:t xml:space="preserve"> </w:t>
      </w:r>
      <w:r>
        <w:t>souvisejících</w:t>
      </w:r>
      <w:r>
        <w:rPr>
          <w:spacing w:val="-9"/>
        </w:rPr>
        <w:t xml:space="preserve"> </w:t>
      </w:r>
      <w:r>
        <w:t>zákonů,</w:t>
      </w:r>
      <w:r>
        <w:rPr>
          <w:spacing w:val="-10"/>
        </w:rPr>
        <w:t xml:space="preserve"> </w:t>
      </w:r>
      <w:r>
        <w:t xml:space="preserve">ve znění pozdějších předpisů </w:t>
      </w:r>
      <w:r>
        <w:rPr>
          <w:rFonts w:ascii="Calibri" w:hAnsi="Calibri"/>
        </w:rPr>
        <w:t>(</w:t>
      </w:r>
      <w:r>
        <w:t>zákon o podpoře výzkumu a vývoje), dle § 14 zákona č. 218/2000</w:t>
      </w:r>
      <w:r>
        <w:rPr>
          <w:spacing w:val="-5"/>
        </w:rPr>
        <w:t xml:space="preserve"> </w:t>
      </w:r>
      <w:r>
        <w:t>Sb.</w:t>
      </w:r>
      <w:r>
        <w:t>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rozpočtových</w:t>
      </w:r>
      <w:r>
        <w:rPr>
          <w:spacing w:val="-7"/>
        </w:rPr>
        <w:t xml:space="preserve"> </w:t>
      </w:r>
      <w:r>
        <w:t>pravidlech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některých</w:t>
      </w:r>
      <w:r>
        <w:rPr>
          <w:spacing w:val="-5"/>
        </w:rPr>
        <w:t xml:space="preserve"> </w:t>
      </w:r>
      <w:r>
        <w:t>souvisejících</w:t>
      </w:r>
      <w:r>
        <w:rPr>
          <w:spacing w:val="-5"/>
        </w:rPr>
        <w:t xml:space="preserve"> </w:t>
      </w:r>
      <w:r>
        <w:t>zákonů,</w:t>
      </w:r>
      <w:r>
        <w:rPr>
          <w:spacing w:val="-5"/>
        </w:rPr>
        <w:t xml:space="preserve"> ve </w:t>
      </w:r>
      <w:r>
        <w:t>znění</w:t>
      </w:r>
      <w:r>
        <w:rPr>
          <w:spacing w:val="-22"/>
        </w:rPr>
        <w:t xml:space="preserve"> </w:t>
      </w:r>
      <w:r>
        <w:t>pozdějších</w:t>
      </w:r>
      <w:r>
        <w:rPr>
          <w:spacing w:val="-21"/>
        </w:rPr>
        <w:t xml:space="preserve"> </w:t>
      </w:r>
      <w:r>
        <w:t>předpisů</w:t>
      </w:r>
      <w:r>
        <w:rPr>
          <w:spacing w:val="-19"/>
        </w:rPr>
        <w:t xml:space="preserve"> </w:t>
      </w:r>
      <w:r>
        <w:t>(rozpočtová</w:t>
      </w:r>
      <w:r>
        <w:rPr>
          <w:spacing w:val="-19"/>
        </w:rPr>
        <w:t xml:space="preserve"> </w:t>
      </w:r>
      <w:r>
        <w:t>pravidla)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dle</w:t>
      </w:r>
      <w:r>
        <w:rPr>
          <w:spacing w:val="-21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159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násl.</w:t>
      </w:r>
      <w:r>
        <w:rPr>
          <w:spacing w:val="-19"/>
        </w:rPr>
        <w:t xml:space="preserve"> </w:t>
      </w:r>
      <w:proofErr w:type="gramStart"/>
      <w:r>
        <w:t>zákona</w:t>
      </w:r>
      <w:proofErr w:type="gramEnd"/>
      <w:r>
        <w:rPr>
          <w:spacing w:val="-19"/>
        </w:rPr>
        <w:t xml:space="preserve"> </w:t>
      </w:r>
      <w:r>
        <w:t>č.</w:t>
      </w:r>
      <w:r>
        <w:rPr>
          <w:spacing w:val="-22"/>
        </w:rPr>
        <w:t xml:space="preserve"> </w:t>
      </w:r>
      <w:r>
        <w:t>500/2004 Sb., správní řád, ve znění pozdějších předpisů (dále jen „správní</w:t>
      </w:r>
      <w:r>
        <w:rPr>
          <w:spacing w:val="-30"/>
        </w:rPr>
        <w:t xml:space="preserve"> </w:t>
      </w:r>
      <w:r>
        <w:t>řád“)</w:t>
      </w:r>
    </w:p>
    <w:p w:rsidR="003A73EF" w:rsidRDefault="003A73EF">
      <w:pPr>
        <w:pStyle w:val="Zkladntext"/>
        <w:spacing w:before="2"/>
      </w:pPr>
    </w:p>
    <w:p w:rsidR="003A73EF" w:rsidRDefault="00D2585F">
      <w:pPr>
        <w:pStyle w:val="Nadpis2"/>
      </w:pPr>
      <w:proofErr w:type="gramStart"/>
      <w:r>
        <w:t>s</w:t>
      </w:r>
      <w:proofErr w:type="gramEnd"/>
      <w:r>
        <w:t xml:space="preserve"> o u h l a s í</w:t>
      </w:r>
    </w:p>
    <w:p w:rsidR="003A73EF" w:rsidRDefault="003A73EF">
      <w:pPr>
        <w:pStyle w:val="Zkladntext"/>
        <w:spacing w:before="4"/>
        <w:rPr>
          <w:b/>
        </w:rPr>
      </w:pPr>
    </w:p>
    <w:p w:rsidR="003A73EF" w:rsidRDefault="00D2585F">
      <w:pPr>
        <w:pStyle w:val="Zkladntext"/>
        <w:ind w:left="116"/>
        <w:jc w:val="both"/>
      </w:pPr>
      <w:proofErr w:type="gramStart"/>
      <w:r>
        <w:t>na</w:t>
      </w:r>
      <w:proofErr w:type="gramEnd"/>
      <w:r>
        <w:t xml:space="preserve"> základě žádosti Fyzikálního ústavu Akademie věd České republiky, v.v.i. (dále jen</w:t>
      </w:r>
    </w:p>
    <w:p w:rsidR="003A73EF" w:rsidRDefault="00D2585F">
      <w:pPr>
        <w:pStyle w:val="Zkladntext"/>
        <w:ind w:left="116" w:right="114"/>
        <w:jc w:val="both"/>
      </w:pPr>
      <w:r>
        <w:t xml:space="preserve">„FZÚ“), zastoupeného RNDr. Michaelem Prouzou, Ph.D., ředitelem, ze dne 31.10.2022,   s </w:t>
      </w:r>
      <w:proofErr w:type="gramStart"/>
      <w:r>
        <w:t>uzavřením  veřejnoprávní</w:t>
      </w:r>
      <w:proofErr w:type="gramEnd"/>
      <w:r>
        <w:t xml:space="preserve">   smlouvy  o  převodu  práv  a  povinností   z Rozhodnutí o</w:t>
      </w:r>
      <w:r>
        <w:t xml:space="preserve"> poskytnutí dotace (dále jen</w:t>
      </w:r>
      <w:r>
        <w:rPr>
          <w:spacing w:val="-24"/>
        </w:rPr>
        <w:t xml:space="preserve"> </w:t>
      </w:r>
      <w:r>
        <w:t>„Smlouvy“):</w:t>
      </w:r>
    </w:p>
    <w:p w:rsidR="003A73EF" w:rsidRDefault="003A73EF">
      <w:pPr>
        <w:pStyle w:val="Zkladntext"/>
        <w:spacing w:before="3"/>
      </w:pP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 xml:space="preserve">Rozhodnutí o poskytnutí dotace projektu č. CZ.1.05/1.1.00/02.0061, </w:t>
      </w:r>
      <w:proofErr w:type="gramStart"/>
      <w:r>
        <w:rPr>
          <w:sz w:val="24"/>
        </w:rPr>
        <w:t>č.j</w:t>
      </w:r>
      <w:proofErr w:type="gramEnd"/>
      <w:r>
        <w:rPr>
          <w:sz w:val="24"/>
        </w:rPr>
        <w:t>. 26310/2009-45 ze dne 2. srpna 2011, poskytovatel MŠMT, příjemce</w:t>
      </w:r>
      <w:r>
        <w:rPr>
          <w:spacing w:val="-33"/>
          <w:sz w:val="24"/>
        </w:rPr>
        <w:t xml:space="preserve"> </w:t>
      </w:r>
      <w:r>
        <w:rPr>
          <w:sz w:val="24"/>
        </w:rPr>
        <w:t>FZÚ;</w:t>
      </w: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  <w:tab w:val="left" w:pos="3144"/>
          <w:tab w:val="left" w:pos="4359"/>
          <w:tab w:val="left" w:pos="5251"/>
          <w:tab w:val="left" w:pos="5791"/>
          <w:tab w:val="left" w:pos="6533"/>
          <w:tab w:val="left" w:pos="8297"/>
          <w:tab w:val="left" w:pos="8335"/>
          <w:tab w:val="left" w:pos="8787"/>
        </w:tabs>
        <w:rPr>
          <w:sz w:val="24"/>
        </w:rPr>
      </w:pPr>
      <w:r>
        <w:rPr>
          <w:sz w:val="24"/>
        </w:rPr>
        <w:t>Rozhodnutí</w:t>
      </w:r>
      <w:r>
        <w:rPr>
          <w:sz w:val="24"/>
        </w:rPr>
        <w:tab/>
        <w:t>o</w:t>
      </w:r>
      <w:r>
        <w:rPr>
          <w:sz w:val="24"/>
        </w:rPr>
        <w:tab/>
        <w:t>poskytnutí</w:t>
      </w:r>
      <w:r>
        <w:rPr>
          <w:sz w:val="24"/>
        </w:rPr>
        <w:tab/>
      </w:r>
      <w:r>
        <w:rPr>
          <w:sz w:val="24"/>
        </w:rPr>
        <w:tab/>
        <w:t>dotace</w:t>
      </w:r>
      <w:r>
        <w:rPr>
          <w:sz w:val="24"/>
        </w:rPr>
        <w:tab/>
      </w:r>
      <w:r>
        <w:rPr>
          <w:sz w:val="24"/>
        </w:rPr>
        <w:tab/>
        <w:t>projektu č.</w:t>
      </w:r>
      <w:r>
        <w:rPr>
          <w:spacing w:val="-7"/>
          <w:sz w:val="24"/>
        </w:rPr>
        <w:t xml:space="preserve"> </w:t>
      </w:r>
      <w:r>
        <w:rPr>
          <w:sz w:val="24"/>
        </w:rPr>
        <w:t>CZ.02.1.01/0.0/0.0/15_008/0000162,</w:t>
      </w:r>
      <w:r>
        <w:rPr>
          <w:sz w:val="24"/>
        </w:rPr>
        <w:tab/>
        <w:t>č.j.</w:t>
      </w:r>
      <w:r>
        <w:rPr>
          <w:sz w:val="24"/>
        </w:rPr>
        <w:tab/>
        <w:t>MSMT-34636/2015-4</w:t>
      </w:r>
      <w:r>
        <w:rPr>
          <w:sz w:val="24"/>
        </w:rPr>
        <w:tab/>
        <w:t>ze</w:t>
      </w:r>
      <w:r>
        <w:rPr>
          <w:sz w:val="24"/>
        </w:rPr>
        <w:tab/>
        <w:t>dne</w:t>
      </w:r>
    </w:p>
    <w:p w:rsidR="003A73EF" w:rsidRDefault="00D2585F">
      <w:pPr>
        <w:pStyle w:val="Zkladntext"/>
        <w:ind w:left="836"/>
      </w:pPr>
      <w:r>
        <w:t xml:space="preserve">21. </w:t>
      </w:r>
      <w:proofErr w:type="gramStart"/>
      <w:r>
        <w:t>prosince</w:t>
      </w:r>
      <w:proofErr w:type="gramEnd"/>
      <w:r>
        <w:t xml:space="preserve"> 2015, poskytovatel MŠMT, příjemce FZÚ;</w:t>
      </w: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  <w:tab w:val="left" w:pos="3144"/>
          <w:tab w:val="left" w:pos="4359"/>
          <w:tab w:val="left" w:pos="5218"/>
          <w:tab w:val="left" w:pos="6533"/>
          <w:tab w:val="left" w:pos="8331"/>
          <w:tab w:val="left" w:pos="8789"/>
        </w:tabs>
        <w:spacing w:before="1"/>
        <w:rPr>
          <w:sz w:val="24"/>
        </w:rPr>
      </w:pPr>
      <w:r>
        <w:rPr>
          <w:sz w:val="24"/>
        </w:rPr>
        <w:t>Rozhodnutí</w:t>
      </w:r>
      <w:r>
        <w:rPr>
          <w:sz w:val="24"/>
        </w:rPr>
        <w:tab/>
        <w:t>o</w:t>
      </w:r>
      <w:r>
        <w:rPr>
          <w:sz w:val="24"/>
        </w:rPr>
        <w:tab/>
        <w:t>poskytnutí</w:t>
      </w:r>
      <w:r>
        <w:rPr>
          <w:sz w:val="24"/>
        </w:rPr>
        <w:tab/>
        <w:t>dotace</w:t>
      </w:r>
      <w:r>
        <w:rPr>
          <w:sz w:val="24"/>
        </w:rPr>
        <w:tab/>
        <w:t>projektu č.</w:t>
      </w:r>
      <w:r>
        <w:rPr>
          <w:spacing w:val="-7"/>
          <w:sz w:val="24"/>
        </w:rPr>
        <w:t xml:space="preserve"> </w:t>
      </w:r>
      <w:r>
        <w:rPr>
          <w:sz w:val="24"/>
        </w:rPr>
        <w:t>CZ.02.1.01/0.0/0.0/15_003/0000447,</w:t>
      </w:r>
      <w:r>
        <w:rPr>
          <w:sz w:val="24"/>
        </w:rPr>
        <w:tab/>
        <w:t xml:space="preserve">č.j. </w:t>
      </w:r>
      <w:r>
        <w:rPr>
          <w:spacing w:val="59"/>
          <w:sz w:val="24"/>
        </w:rPr>
        <w:t xml:space="preserve"> </w:t>
      </w:r>
      <w:r>
        <w:rPr>
          <w:sz w:val="24"/>
        </w:rPr>
        <w:t>MSMT-15924/2016-13</w:t>
      </w:r>
      <w:r>
        <w:rPr>
          <w:sz w:val="24"/>
        </w:rPr>
        <w:tab/>
        <w:t>ze</w:t>
      </w:r>
      <w:r>
        <w:rPr>
          <w:sz w:val="24"/>
        </w:rPr>
        <w:tab/>
        <w:t>dne</w:t>
      </w:r>
    </w:p>
    <w:p w:rsidR="003A73EF" w:rsidRDefault="00D2585F">
      <w:pPr>
        <w:pStyle w:val="Zkladntext"/>
        <w:spacing w:line="275" w:lineRule="exact"/>
        <w:ind w:left="836"/>
      </w:pPr>
      <w:r>
        <w:t xml:space="preserve">16. </w:t>
      </w:r>
      <w:proofErr w:type="gramStart"/>
      <w:r>
        <w:t>prosince</w:t>
      </w:r>
      <w:proofErr w:type="gramEnd"/>
      <w:r>
        <w:t xml:space="preserve"> 2016, poskytovat</w:t>
      </w:r>
      <w:r>
        <w:t>el MŠMT, příjemce FZÚ;</w:t>
      </w: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  <w:tab w:val="left" w:pos="3144"/>
          <w:tab w:val="left" w:pos="4359"/>
          <w:tab w:val="left" w:pos="5218"/>
          <w:tab w:val="left" w:pos="6533"/>
          <w:tab w:val="left" w:pos="8331"/>
          <w:tab w:val="left" w:pos="8789"/>
        </w:tabs>
        <w:rPr>
          <w:sz w:val="24"/>
        </w:rPr>
      </w:pPr>
      <w:r>
        <w:rPr>
          <w:sz w:val="24"/>
        </w:rPr>
        <w:t>Rozhodnutí</w:t>
      </w:r>
      <w:r>
        <w:rPr>
          <w:sz w:val="24"/>
        </w:rPr>
        <w:tab/>
        <w:t>o</w:t>
      </w:r>
      <w:r>
        <w:rPr>
          <w:sz w:val="24"/>
        </w:rPr>
        <w:tab/>
        <w:t>poskytnutí</w:t>
      </w:r>
      <w:r>
        <w:rPr>
          <w:sz w:val="24"/>
        </w:rPr>
        <w:tab/>
        <w:t>dotace</w:t>
      </w:r>
      <w:r>
        <w:rPr>
          <w:sz w:val="24"/>
        </w:rPr>
        <w:tab/>
        <w:t>projektu č.</w:t>
      </w:r>
      <w:r>
        <w:rPr>
          <w:spacing w:val="-7"/>
          <w:sz w:val="24"/>
        </w:rPr>
        <w:t xml:space="preserve"> </w:t>
      </w:r>
      <w:r>
        <w:rPr>
          <w:sz w:val="24"/>
        </w:rPr>
        <w:t>CZ.02.1.01/0.0/0.0/15_003/0000449,</w:t>
      </w:r>
      <w:r>
        <w:rPr>
          <w:sz w:val="24"/>
        </w:rPr>
        <w:tab/>
        <w:t xml:space="preserve">č.j. </w:t>
      </w:r>
      <w:r>
        <w:rPr>
          <w:spacing w:val="59"/>
          <w:sz w:val="24"/>
        </w:rPr>
        <w:t xml:space="preserve"> </w:t>
      </w:r>
      <w:r>
        <w:rPr>
          <w:sz w:val="24"/>
        </w:rPr>
        <w:t>MSMT-15925/2016-12</w:t>
      </w:r>
      <w:r>
        <w:rPr>
          <w:sz w:val="24"/>
        </w:rPr>
        <w:tab/>
        <w:t>ze</w:t>
      </w:r>
      <w:r>
        <w:rPr>
          <w:sz w:val="24"/>
        </w:rPr>
        <w:tab/>
        <w:t>dne</w:t>
      </w:r>
    </w:p>
    <w:p w:rsidR="003A73EF" w:rsidRDefault="00D2585F">
      <w:pPr>
        <w:pStyle w:val="Zkladntext"/>
        <w:spacing w:before="1"/>
        <w:ind w:left="835"/>
      </w:pPr>
      <w:r>
        <w:t xml:space="preserve">27. </w:t>
      </w:r>
      <w:proofErr w:type="gramStart"/>
      <w:r>
        <w:t>července</w:t>
      </w:r>
      <w:proofErr w:type="gramEnd"/>
      <w:r>
        <w:t xml:space="preserve"> 2017, poskytovatel MŠMT, příjemce FZÚ;</w:t>
      </w: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  <w:tab w:val="left" w:pos="3144"/>
          <w:tab w:val="left" w:pos="4359"/>
          <w:tab w:val="left" w:pos="5218"/>
          <w:tab w:val="left" w:pos="6533"/>
          <w:tab w:val="left" w:pos="8331"/>
          <w:tab w:val="left" w:pos="8789"/>
        </w:tabs>
        <w:rPr>
          <w:sz w:val="24"/>
        </w:rPr>
      </w:pPr>
      <w:r>
        <w:rPr>
          <w:sz w:val="24"/>
        </w:rPr>
        <w:t>Rozhodnutí</w:t>
      </w:r>
      <w:r>
        <w:rPr>
          <w:sz w:val="24"/>
        </w:rPr>
        <w:tab/>
        <w:t>o</w:t>
      </w:r>
      <w:r>
        <w:rPr>
          <w:sz w:val="24"/>
        </w:rPr>
        <w:tab/>
        <w:t>poskytnutí</w:t>
      </w:r>
      <w:r>
        <w:rPr>
          <w:sz w:val="24"/>
        </w:rPr>
        <w:tab/>
        <w:t>dotace</w:t>
      </w:r>
      <w:r>
        <w:rPr>
          <w:sz w:val="24"/>
        </w:rPr>
        <w:tab/>
        <w:t>projektu č.</w:t>
      </w:r>
      <w:r>
        <w:rPr>
          <w:spacing w:val="-7"/>
          <w:sz w:val="24"/>
        </w:rPr>
        <w:t xml:space="preserve"> </w:t>
      </w:r>
      <w:r>
        <w:rPr>
          <w:sz w:val="24"/>
        </w:rPr>
        <w:t>CZ.02.1.01/0.0/0.0/16_019/00</w:t>
      </w:r>
      <w:r>
        <w:rPr>
          <w:sz w:val="24"/>
        </w:rPr>
        <w:t>00789,</w:t>
      </w:r>
      <w:r>
        <w:rPr>
          <w:sz w:val="24"/>
        </w:rPr>
        <w:tab/>
        <w:t xml:space="preserve">č.j. </w:t>
      </w:r>
      <w:r>
        <w:rPr>
          <w:spacing w:val="59"/>
          <w:sz w:val="24"/>
        </w:rPr>
        <w:t xml:space="preserve"> </w:t>
      </w:r>
      <w:r>
        <w:rPr>
          <w:sz w:val="24"/>
        </w:rPr>
        <w:t>MSMT-32094/2016-21</w:t>
      </w:r>
      <w:r>
        <w:rPr>
          <w:sz w:val="24"/>
        </w:rPr>
        <w:tab/>
        <w:t>ze</w:t>
      </w:r>
      <w:r>
        <w:rPr>
          <w:sz w:val="24"/>
        </w:rPr>
        <w:tab/>
        <w:t>dne</w:t>
      </w:r>
    </w:p>
    <w:p w:rsidR="003A73EF" w:rsidRDefault="00D2585F">
      <w:pPr>
        <w:pStyle w:val="Zkladntext"/>
        <w:ind w:left="835"/>
      </w:pPr>
      <w:r>
        <w:t xml:space="preserve">10. </w:t>
      </w:r>
      <w:proofErr w:type="gramStart"/>
      <w:r>
        <w:t>dubna</w:t>
      </w:r>
      <w:proofErr w:type="gramEnd"/>
      <w:r>
        <w:t xml:space="preserve"> 2018, poskytovatel MŠMT, příjemce FZÚ, a</w:t>
      </w:r>
    </w:p>
    <w:p w:rsidR="003A73EF" w:rsidRDefault="00D2585F">
      <w:pPr>
        <w:pStyle w:val="Odstavecseseznamem"/>
        <w:numPr>
          <w:ilvl w:val="0"/>
          <w:numId w:val="2"/>
        </w:numPr>
        <w:tabs>
          <w:tab w:val="left" w:pos="835"/>
          <w:tab w:val="left" w:pos="836"/>
          <w:tab w:val="left" w:pos="3144"/>
          <w:tab w:val="left" w:pos="4359"/>
          <w:tab w:val="left" w:pos="6533"/>
          <w:tab w:val="left" w:pos="8335"/>
        </w:tabs>
        <w:spacing w:before="1"/>
        <w:rPr>
          <w:sz w:val="24"/>
        </w:rPr>
      </w:pPr>
      <w:r>
        <w:rPr>
          <w:sz w:val="24"/>
        </w:rPr>
        <w:t>Rozhodnutí</w:t>
      </w:r>
      <w:r>
        <w:rPr>
          <w:sz w:val="24"/>
        </w:rPr>
        <w:tab/>
        <w:t>o</w:t>
      </w:r>
      <w:r>
        <w:rPr>
          <w:sz w:val="24"/>
        </w:rPr>
        <w:tab/>
        <w:t>poskytnutí</w:t>
      </w:r>
      <w:r>
        <w:rPr>
          <w:sz w:val="24"/>
        </w:rPr>
        <w:tab/>
        <w:t>dotace</w:t>
      </w:r>
      <w:r>
        <w:rPr>
          <w:sz w:val="24"/>
        </w:rPr>
        <w:tab/>
        <w:t>projektu č. CZ.02.1.01/0.0/0.0/16_013/0001793</w:t>
      </w:r>
      <w:proofErr w:type="gramStart"/>
      <w:r>
        <w:rPr>
          <w:sz w:val="24"/>
        </w:rPr>
        <w:t>,  č</w:t>
      </w:r>
      <w:proofErr w:type="gramEnd"/>
      <w:r>
        <w:rPr>
          <w:sz w:val="24"/>
        </w:rPr>
        <w:t xml:space="preserve">.  j.  MSMT-31855/2016-15  ze  </w:t>
      </w:r>
      <w:r>
        <w:rPr>
          <w:spacing w:val="41"/>
          <w:sz w:val="24"/>
        </w:rPr>
        <w:t xml:space="preserve"> </w:t>
      </w:r>
      <w:r>
        <w:rPr>
          <w:sz w:val="24"/>
        </w:rPr>
        <w:t>dne</w:t>
      </w:r>
    </w:p>
    <w:p w:rsidR="003A73EF" w:rsidRDefault="00D2585F">
      <w:pPr>
        <w:pStyle w:val="Zkladntext"/>
        <w:ind w:left="835"/>
      </w:pPr>
      <w:r>
        <w:t xml:space="preserve">29. </w:t>
      </w:r>
      <w:proofErr w:type="gramStart"/>
      <w:r>
        <w:t>června</w:t>
      </w:r>
      <w:proofErr w:type="gramEnd"/>
      <w:r>
        <w:t xml:space="preserve"> 2017, poskytovatel MŠMT, příjemce FZÚ</w:t>
      </w:r>
    </w:p>
    <w:p w:rsidR="003A73EF" w:rsidRDefault="003A73EF">
      <w:pPr>
        <w:sectPr w:rsidR="003A73EF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3A73EF" w:rsidRDefault="00D2585F">
      <w:pPr>
        <w:pStyle w:val="Zkladntext"/>
        <w:spacing w:before="80"/>
        <w:ind w:left="115"/>
        <w:jc w:val="both"/>
      </w:pPr>
      <w:proofErr w:type="gramStart"/>
      <w:r>
        <w:lastRenderedPageBreak/>
        <w:t>mezi</w:t>
      </w:r>
      <w:proofErr w:type="gramEnd"/>
      <w:r>
        <w:t xml:space="preserve"> následujícími účastníky řízení (§ 27 odst. 1 zákona č. 500/2004 Sb.):</w:t>
      </w:r>
    </w:p>
    <w:p w:rsidR="003A73EF" w:rsidRDefault="003A73EF">
      <w:pPr>
        <w:pStyle w:val="Zkladntext"/>
        <w:spacing w:before="1"/>
      </w:pPr>
    </w:p>
    <w:p w:rsidR="003A73EF" w:rsidRDefault="00D2585F">
      <w:pPr>
        <w:pStyle w:val="Zkladntext"/>
        <w:spacing w:before="1"/>
        <w:ind w:left="116" w:right="114"/>
        <w:jc w:val="both"/>
      </w:pPr>
      <w:r>
        <w:t>Fyzikálním ústavem AV ČR, v. v. i., se sídlem Na Slovance 1999/2, 182 21 Praha 8, IČO: 683 78 271,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spacing w:before="1"/>
        <w:ind w:left="116"/>
        <w:jc w:val="both"/>
      </w:pPr>
      <w:proofErr w:type="gramStart"/>
      <w:r>
        <w:rPr>
          <w:w w:val="99"/>
        </w:rPr>
        <w:t>a</w:t>
      </w:r>
      <w:proofErr w:type="gramEnd"/>
    </w:p>
    <w:p w:rsidR="003A73EF" w:rsidRDefault="003A73EF">
      <w:pPr>
        <w:pStyle w:val="Zkladntext"/>
        <w:spacing w:before="2"/>
      </w:pPr>
    </w:p>
    <w:p w:rsidR="003A73EF" w:rsidRDefault="00D2585F">
      <w:pPr>
        <w:pStyle w:val="Zkladntext"/>
        <w:ind w:left="116" w:right="113"/>
        <w:jc w:val="both"/>
      </w:pPr>
      <w:r>
        <w:t>The Extreme Light Infrastructure ERIC, se sídlem Za Radnicí 865, 252 41 Dolní Břežany, IČO: 109 74 938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Nadpis2"/>
        <w:ind w:left="3533"/>
      </w:pPr>
      <w:r>
        <w:t xml:space="preserve">O d ů v o d n ě n </w:t>
      </w:r>
      <w:proofErr w:type="gramStart"/>
      <w:r>
        <w:t>í :</w:t>
      </w:r>
      <w:proofErr w:type="gramEnd"/>
    </w:p>
    <w:p w:rsidR="003A73EF" w:rsidRDefault="003A73EF">
      <w:pPr>
        <w:pStyle w:val="Zkladntext"/>
        <w:spacing w:before="4"/>
        <w:rPr>
          <w:b/>
        </w:rPr>
      </w:pPr>
    </w:p>
    <w:p w:rsidR="003A73EF" w:rsidRDefault="00D2585F">
      <w:pPr>
        <w:pStyle w:val="Zkladntext"/>
        <w:ind w:left="116"/>
        <w:jc w:val="both"/>
      </w:pPr>
      <w:r>
        <w:t xml:space="preserve">Dne 31. </w:t>
      </w:r>
      <w:proofErr w:type="gramStart"/>
      <w:r>
        <w:t>října</w:t>
      </w:r>
      <w:proofErr w:type="gramEnd"/>
      <w:r>
        <w:t xml:space="preserve"> 2022 obdrželo Ministerstvo školství, mládeže a tělovýchovy (dále jen</w:t>
      </w:r>
    </w:p>
    <w:p w:rsidR="003A73EF" w:rsidRDefault="00D2585F">
      <w:pPr>
        <w:pStyle w:val="Zkladntext"/>
        <w:ind w:left="116" w:right="113"/>
        <w:jc w:val="both"/>
      </w:pPr>
      <w:r>
        <w:t>„MŠMT") žádost Fyzikálního ústavu AV ČR, v. v. i., zastoupeného RNDr. Michaelem Prouzou, Ph.D., ředitelem (dále „převodce“), o udělení souhlasu s uzavřením veřejnoprávní</w:t>
      </w:r>
      <w:r>
        <w:rPr>
          <w:spacing w:val="-18"/>
        </w:rPr>
        <w:t xml:space="preserve"> </w:t>
      </w:r>
      <w:r>
        <w:t>smlouvy</w:t>
      </w:r>
      <w:r>
        <w:rPr>
          <w:spacing w:val="-20"/>
        </w:rPr>
        <w:t xml:space="preserve"> </w:t>
      </w:r>
      <w:r>
        <w:t>sepsané</w:t>
      </w:r>
      <w:r>
        <w:rPr>
          <w:spacing w:val="-19"/>
        </w:rPr>
        <w:t xml:space="preserve"> </w:t>
      </w:r>
      <w:r>
        <w:t>dne</w:t>
      </w:r>
      <w:r>
        <w:rPr>
          <w:spacing w:val="-19"/>
        </w:rPr>
        <w:t xml:space="preserve"> </w:t>
      </w:r>
      <w:r>
        <w:t>18.10.</w:t>
      </w:r>
      <w:r>
        <w:rPr>
          <w:spacing w:val="-18"/>
        </w:rPr>
        <w:t xml:space="preserve"> </w:t>
      </w:r>
      <w:r>
        <w:t>2022</w:t>
      </w:r>
      <w:r>
        <w:rPr>
          <w:spacing w:val="-19"/>
        </w:rPr>
        <w:t xml:space="preserve"> </w:t>
      </w:r>
      <w:r>
        <w:t>mezi</w:t>
      </w:r>
      <w:r>
        <w:rPr>
          <w:spacing w:val="-20"/>
        </w:rPr>
        <w:t xml:space="preserve"> </w:t>
      </w:r>
      <w:r>
        <w:t>převodcem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Extreme</w:t>
      </w:r>
      <w:r>
        <w:rPr>
          <w:spacing w:val="-17"/>
        </w:rPr>
        <w:t xml:space="preserve"> </w:t>
      </w:r>
      <w:r>
        <w:t xml:space="preserve">Light </w:t>
      </w:r>
      <w:proofErr w:type="gramStart"/>
      <w:r>
        <w:t>Infrastructure  ERI</w:t>
      </w:r>
      <w:r>
        <w:t>C</w:t>
      </w:r>
      <w:proofErr w:type="gramEnd"/>
      <w:r>
        <w:t xml:space="preserve">, zastoupeného  Allenem Weeksem, generálním  ředitelem </w:t>
      </w:r>
      <w:r>
        <w:rPr>
          <w:spacing w:val="14"/>
        </w:rPr>
        <w:t xml:space="preserve"> </w:t>
      </w:r>
      <w:r>
        <w:t>(dále</w:t>
      </w:r>
    </w:p>
    <w:p w:rsidR="003A73EF" w:rsidRDefault="00D2585F">
      <w:pPr>
        <w:pStyle w:val="Zkladntext"/>
        <w:ind w:left="116"/>
        <w:jc w:val="both"/>
      </w:pPr>
      <w:r>
        <w:t>„</w:t>
      </w:r>
      <w:proofErr w:type="gramStart"/>
      <w:r>
        <w:t>nabyvatel</w:t>
      </w:r>
      <w:proofErr w:type="gramEnd"/>
      <w:r>
        <w:t>“).</w:t>
      </w:r>
    </w:p>
    <w:p w:rsidR="003A73EF" w:rsidRDefault="003A73EF">
      <w:pPr>
        <w:pStyle w:val="Zkladntext"/>
        <w:spacing w:before="1"/>
      </w:pPr>
    </w:p>
    <w:p w:rsidR="003A73EF" w:rsidRDefault="00D2585F">
      <w:pPr>
        <w:pStyle w:val="Zkladntext"/>
        <w:spacing w:before="1"/>
        <w:ind w:left="116" w:right="114"/>
        <w:jc w:val="both"/>
      </w:pPr>
      <w:r>
        <w:t xml:space="preserve">Přílohou veřejnoprávní smlouvy je také souhlas dozorčí rady Fyzikálního ústavu AV ČR, v. v. i., ze dne 26. </w:t>
      </w:r>
      <w:proofErr w:type="gramStart"/>
      <w:r>
        <w:t>září</w:t>
      </w:r>
      <w:proofErr w:type="gramEnd"/>
      <w:r>
        <w:t xml:space="preserve"> 2022, na základě projednání dozorčí radou FZÚ dne</w:t>
      </w:r>
    </w:p>
    <w:p w:rsidR="003A73EF" w:rsidRDefault="00D2585F">
      <w:pPr>
        <w:pStyle w:val="Zkladntext"/>
        <w:ind w:left="116" w:right="113"/>
        <w:jc w:val="both"/>
      </w:pPr>
      <w:r>
        <w:t xml:space="preserve">26. </w:t>
      </w:r>
      <w:proofErr w:type="gramStart"/>
      <w:r>
        <w:t>září</w:t>
      </w:r>
      <w:proofErr w:type="gramEnd"/>
      <w:r>
        <w:t xml:space="preserve"> 2022, s</w:t>
      </w:r>
      <w:r>
        <w:t xml:space="preserve"> návrhem veřejnoprávní smlouvy, a předchozí souhlas zřizovatele - Akademie věd České republiky,  organizační  složky  státu,  ze  dne  14. </w:t>
      </w:r>
      <w:proofErr w:type="gramStart"/>
      <w:r>
        <w:t>října</w:t>
      </w:r>
      <w:proofErr w:type="gramEnd"/>
      <w:r>
        <w:t xml:space="preserve"> 2022, č.j. AVCR 7364/IV/2022 MK, na základě rozhodnutí Akademické rady AV ČR z jejího</w:t>
      </w:r>
    </w:p>
    <w:p w:rsidR="003A73EF" w:rsidRDefault="00D2585F">
      <w:pPr>
        <w:pStyle w:val="Zkladntext"/>
        <w:ind w:left="116" w:right="111"/>
        <w:jc w:val="both"/>
      </w:pPr>
      <w:r>
        <w:t xml:space="preserve">16. </w:t>
      </w:r>
      <w:proofErr w:type="gramStart"/>
      <w:r>
        <w:t>zasedání</w:t>
      </w:r>
      <w:proofErr w:type="gramEnd"/>
      <w:r>
        <w:t xml:space="preserve"> konaného dne</w:t>
      </w:r>
      <w:r>
        <w:t xml:space="preserve"> 4. </w:t>
      </w:r>
      <w:proofErr w:type="gramStart"/>
      <w:r>
        <w:t>října</w:t>
      </w:r>
      <w:proofErr w:type="gramEnd"/>
      <w:r>
        <w:t xml:space="preserve"> 2022, s uzavřením předmětné Veřejnoprávní smlouvy o převodu práv a povinností z rozhodnutí o poskytnutí dotace.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spacing w:before="1"/>
        <w:ind w:left="116" w:right="113"/>
        <w:jc w:val="both"/>
      </w:pPr>
      <w:r>
        <w:t xml:space="preserve">Operační program Výzkum a vývoj pro inovace (OP VaVpI – č. CZ.1.05) byl schválen Evropskou komisí dne 1. </w:t>
      </w:r>
      <w:proofErr w:type="gramStart"/>
      <w:r>
        <w:t>října</w:t>
      </w:r>
      <w:proofErr w:type="gramEnd"/>
      <w:r>
        <w:t xml:space="preserve"> 2008 s Ministerstvem š</w:t>
      </w:r>
      <w:r>
        <w:t>kolství, mládeže a tělovýchovy ČR (dále MŠMT) jako řídicím orgánem a poskytovatelem.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spacing w:before="1"/>
        <w:ind w:left="116" w:right="114"/>
        <w:jc w:val="both"/>
      </w:pPr>
      <w:r>
        <w:t>Operační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Výzkum,</w:t>
      </w:r>
      <w:r>
        <w:rPr>
          <w:spacing w:val="-12"/>
        </w:rPr>
        <w:t xml:space="preserve"> </w:t>
      </w:r>
      <w:r>
        <w:t>vývoj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vzdělávání</w:t>
      </w:r>
      <w:r>
        <w:rPr>
          <w:spacing w:val="-12"/>
        </w:rPr>
        <w:t xml:space="preserve"> </w:t>
      </w:r>
      <w:r>
        <w:t>(OP</w:t>
      </w:r>
      <w:r>
        <w:rPr>
          <w:spacing w:val="-12"/>
        </w:rPr>
        <w:t xml:space="preserve"> </w:t>
      </w:r>
      <w:r>
        <w:t>VVV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CZ.02.1.01)</w:t>
      </w:r>
      <w:r>
        <w:rPr>
          <w:spacing w:val="-13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 xml:space="preserve">schválen Evropskou komisí dne 13. </w:t>
      </w:r>
      <w:proofErr w:type="gramStart"/>
      <w:r>
        <w:t>května</w:t>
      </w:r>
      <w:proofErr w:type="gramEnd"/>
      <w:r>
        <w:t xml:space="preserve"> 2015 s MŠMT jako řídicím orgánem a poskytovatelem.</w:t>
      </w:r>
    </w:p>
    <w:p w:rsidR="003A73EF" w:rsidRDefault="003A73EF">
      <w:pPr>
        <w:pStyle w:val="Zkladntext"/>
        <w:spacing w:before="6"/>
      </w:pPr>
    </w:p>
    <w:p w:rsidR="003A73EF" w:rsidRDefault="00D2585F">
      <w:pPr>
        <w:pStyle w:val="Zkladntext"/>
        <w:spacing w:before="1" w:line="276" w:lineRule="exact"/>
        <w:ind w:left="116" w:right="111"/>
        <w:jc w:val="both"/>
      </w:pPr>
      <w:r>
        <w:t>Konsorcium evropské výzkumné infrastruktury The Extreme Light Infrastructure (ELI ERIC) je právnickou osobu zřízenou Společenstvím prováděcím rozhodnutím Komise (EU)</w:t>
      </w:r>
      <w:r>
        <w:rPr>
          <w:spacing w:val="-10"/>
        </w:rPr>
        <w:t xml:space="preserve"> </w:t>
      </w:r>
      <w:r>
        <w:t>2021/960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30.</w:t>
      </w:r>
      <w:r>
        <w:rPr>
          <w:spacing w:val="-11"/>
        </w:rPr>
        <w:t xml:space="preserve"> </w:t>
      </w:r>
      <w:proofErr w:type="gramStart"/>
      <w:r>
        <w:t>dubna</w:t>
      </w:r>
      <w:proofErr w:type="gramEnd"/>
      <w:r>
        <w:rPr>
          <w:spacing w:val="-11"/>
        </w:rPr>
        <w:t xml:space="preserve"> </w:t>
      </w:r>
      <w:r>
        <w:t>2021</w:t>
      </w:r>
      <w:hyperlink w:anchor="_bookmark0" w:history="1">
        <w:r>
          <w:rPr>
            <w:position w:val="8"/>
            <w:sz w:val="16"/>
          </w:rPr>
          <w:t>1</w:t>
        </w:r>
      </w:hyperlink>
      <w:r>
        <w:t>,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fungování</w:t>
      </w:r>
      <w:r>
        <w:rPr>
          <w:spacing w:val="-11"/>
        </w:rPr>
        <w:t xml:space="preserve"> </w:t>
      </w:r>
      <w:r>
        <w:t>Evropské</w:t>
      </w:r>
      <w:r>
        <w:rPr>
          <w:spacing w:val="-11"/>
        </w:rPr>
        <w:t xml:space="preserve"> </w:t>
      </w:r>
      <w:r>
        <w:t>unie,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dle nařízení</w:t>
      </w:r>
      <w:r>
        <w:rPr>
          <w:spacing w:val="-10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(ES)</w:t>
      </w:r>
      <w:r>
        <w:rPr>
          <w:spacing w:val="-11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723/2009</w:t>
      </w:r>
      <w:r>
        <w:rPr>
          <w:spacing w:val="-9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25.</w:t>
      </w:r>
      <w:r>
        <w:rPr>
          <w:spacing w:val="-10"/>
        </w:rPr>
        <w:t xml:space="preserve"> </w:t>
      </w:r>
      <w:r>
        <w:t>června</w:t>
      </w:r>
      <w:r>
        <w:rPr>
          <w:spacing w:val="-9"/>
        </w:rPr>
        <w:t xml:space="preserve"> </w:t>
      </w:r>
      <w:r>
        <w:t>2009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právním</w:t>
      </w:r>
      <w:r>
        <w:rPr>
          <w:spacing w:val="-8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Společenství pro</w:t>
      </w:r>
      <w:r>
        <w:rPr>
          <w:spacing w:val="-15"/>
        </w:rPr>
        <w:t xml:space="preserve"> </w:t>
      </w:r>
      <w:r>
        <w:t>konsorcium</w:t>
      </w:r>
      <w:r>
        <w:rPr>
          <w:spacing w:val="-17"/>
        </w:rPr>
        <w:t xml:space="preserve"> </w:t>
      </w:r>
      <w:r>
        <w:t>evropské</w:t>
      </w:r>
      <w:r>
        <w:rPr>
          <w:spacing w:val="-15"/>
        </w:rPr>
        <w:t xml:space="preserve"> </w:t>
      </w:r>
      <w:r>
        <w:t>výzkumné</w:t>
      </w:r>
      <w:r>
        <w:rPr>
          <w:spacing w:val="-15"/>
        </w:rPr>
        <w:t xml:space="preserve"> </w:t>
      </w:r>
      <w:r>
        <w:t>infrastruktury</w:t>
      </w:r>
      <w:r>
        <w:rPr>
          <w:spacing w:val="-16"/>
        </w:rPr>
        <w:t xml:space="preserve"> </w:t>
      </w:r>
      <w:r>
        <w:t>(ERIC),</w:t>
      </w:r>
      <w:r>
        <w:rPr>
          <w:spacing w:val="-15"/>
        </w:rPr>
        <w:t xml:space="preserve"> </w:t>
      </w:r>
      <w:r>
        <w:t>zejména</w:t>
      </w:r>
      <w:r>
        <w:rPr>
          <w:spacing w:val="-15"/>
        </w:rPr>
        <w:t xml:space="preserve"> </w:t>
      </w:r>
      <w:r>
        <w:t>článku</w:t>
      </w:r>
      <w:r>
        <w:rPr>
          <w:spacing w:val="-17"/>
        </w:rPr>
        <w:t xml:space="preserve"> </w:t>
      </w:r>
      <w:r>
        <w:t>6,</w:t>
      </w:r>
      <w:r>
        <w:rPr>
          <w:spacing w:val="-16"/>
        </w:rPr>
        <w:t xml:space="preserve"> </w:t>
      </w:r>
      <w:r>
        <w:t xml:space="preserve">odstavce 1,  písmeno  a)  uvedeného  nařízení,  na  žádost  České  republiky, </w:t>
      </w:r>
      <w:r>
        <w:t xml:space="preserve"> Maďarska, Italské republiky a Litevské republiky (zakládajících členů). Zakládajícími pozorovateli jsou dále Spolková republika Německo a Bulharská</w:t>
      </w:r>
      <w:r>
        <w:rPr>
          <w:spacing w:val="-25"/>
        </w:rPr>
        <w:t xml:space="preserve"> </w:t>
      </w:r>
      <w:r>
        <w:t>republika.</w:t>
      </w: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rPr>
          <w:sz w:val="20"/>
        </w:rPr>
      </w:pPr>
    </w:p>
    <w:p w:rsidR="003A73EF" w:rsidRDefault="003A73EF">
      <w:pPr>
        <w:pStyle w:val="Zkladntext"/>
        <w:rPr>
          <w:sz w:val="20"/>
        </w:rPr>
      </w:pPr>
    </w:p>
    <w:p w:rsidR="003A73EF" w:rsidRDefault="00D2585F">
      <w:pPr>
        <w:pStyle w:val="Zkladntext"/>
        <w:spacing w:before="4"/>
        <w:rPr>
          <w:sz w:val="16"/>
        </w:rPr>
      </w:pPr>
      <w:r>
        <w:pict>
          <v:line id="_x0000_s1029" style="position:absolute;z-index:251656192;mso-wrap-distance-left:0;mso-wrap-distance-right:0;mso-position-horizontal-relative:page" from="70.8pt,11.75pt" to="214.8pt,11.75pt" strokeweight=".72pt">
            <w10:wrap type="topAndBottom" anchorx="page"/>
          </v:line>
        </w:pict>
      </w:r>
    </w:p>
    <w:p w:rsidR="003A73EF" w:rsidRDefault="003A73EF">
      <w:pPr>
        <w:pStyle w:val="Zkladntext"/>
        <w:spacing w:before="7"/>
        <w:rPr>
          <w:sz w:val="16"/>
        </w:rPr>
      </w:pPr>
    </w:p>
    <w:p w:rsidR="003A73EF" w:rsidRDefault="00D2585F">
      <w:pPr>
        <w:pStyle w:val="Odstavecseseznamem"/>
        <w:numPr>
          <w:ilvl w:val="0"/>
          <w:numId w:val="1"/>
        </w:numPr>
        <w:tabs>
          <w:tab w:val="left" w:pos="456"/>
          <w:tab w:val="left" w:pos="457"/>
        </w:tabs>
        <w:spacing w:before="59"/>
        <w:ind w:right="0" w:hanging="340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</w:rPr>
        <w:t>https://eur-lex.europa.eu/eli/dec_impl/2021/960</w:t>
      </w:r>
    </w:p>
    <w:p w:rsidR="003A73EF" w:rsidRDefault="003A73EF">
      <w:pPr>
        <w:rPr>
          <w:rFonts w:ascii="Calibri"/>
          <w:sz w:val="20"/>
        </w:rPr>
        <w:sectPr w:rsidR="003A73EF">
          <w:pgSz w:w="11910" w:h="16840"/>
          <w:pgMar w:top="1320" w:right="1300" w:bottom="280" w:left="1300" w:header="720" w:footer="720" w:gutter="0"/>
          <w:cols w:space="720"/>
        </w:sectPr>
      </w:pPr>
    </w:p>
    <w:p w:rsidR="003A73EF" w:rsidRDefault="00D2585F">
      <w:pPr>
        <w:pStyle w:val="Zkladntext"/>
        <w:spacing w:before="82" w:line="276" w:lineRule="exact"/>
        <w:ind w:left="115" w:right="112"/>
        <w:jc w:val="both"/>
      </w:pPr>
      <w:r>
        <w:lastRenderedPageBreak/>
        <w:t>Úkolem ELI ERIC je v souladu s jeho Stanovami (zveřejněnými v Úředním věstníku Evropské unie 2021/C 230/01)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position w:val="8"/>
          <w:sz w:val="16"/>
        </w:rPr>
        <w:t xml:space="preserve"> </w:t>
      </w:r>
      <w:r>
        <w:t>provozovat vysoce výkonná laserová zařízení jako jediná integrovaná organizace s jednotnou strukturou správy a řízení</w:t>
      </w:r>
      <w:r>
        <w:t xml:space="preserve"> a jediným vedením a spravovat uživatelům přístup k zařízením ELI prostřednictvím mezinárodního systému vzájemného hodnocení, a dosáhnout tak světové excelence v této oblasti.</w:t>
      </w:r>
    </w:p>
    <w:p w:rsidR="003A73EF" w:rsidRDefault="003A73EF">
      <w:pPr>
        <w:pStyle w:val="Zkladntext"/>
      </w:pPr>
    </w:p>
    <w:p w:rsidR="003A73EF" w:rsidRDefault="00D2585F">
      <w:pPr>
        <w:pStyle w:val="Zkladntext"/>
        <w:ind w:left="116" w:right="112"/>
        <w:jc w:val="both"/>
      </w:pPr>
      <w:r>
        <w:t xml:space="preserve">V důsledku vzniku právnické osoby nabyvatele navrhuje převodce k 1. </w:t>
      </w:r>
      <w:proofErr w:type="gramStart"/>
      <w:r>
        <w:t>lednu</w:t>
      </w:r>
      <w:proofErr w:type="gramEnd"/>
      <w:r>
        <w:t xml:space="preserve"> 2023 </w:t>
      </w:r>
      <w:r>
        <w:t xml:space="preserve">   v souladu s textem i duchem výše zmíněných legislativních i nelegislativních dokumentů převod výzkumné infrastruktury ELI Beamlines (jeho zaměstnanců, majetku a závazků ad.) do ELI</w:t>
      </w:r>
      <w:r>
        <w:rPr>
          <w:spacing w:val="-13"/>
        </w:rPr>
        <w:t xml:space="preserve"> </w:t>
      </w:r>
      <w:r>
        <w:t>ERIC.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6" w:right="113"/>
        <w:jc w:val="both"/>
      </w:pPr>
      <w:r>
        <w:t>Převodce je příjemcem dotací a realizátorem následujících projektů, v nichž je MŠMT jako řídicí orgán těchto operačních programů poskytovatelem dotace.</w:t>
      </w:r>
    </w:p>
    <w:p w:rsidR="003A73EF" w:rsidRDefault="003A73EF">
      <w:pPr>
        <w:pStyle w:val="Zkladntext"/>
        <w:spacing w:before="1"/>
      </w:pPr>
    </w:p>
    <w:p w:rsidR="003A73EF" w:rsidRDefault="00D2585F">
      <w:pPr>
        <w:pStyle w:val="Zkladntext"/>
        <w:ind w:left="116"/>
        <w:jc w:val="both"/>
      </w:pPr>
      <w:r>
        <w:t>Operační program výzkum a vývoj pro inovace: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spacing w:line="484" w:lineRule="auto"/>
        <w:ind w:left="116" w:right="2330"/>
      </w:pPr>
      <w:r>
        <w:t>reg. č. CZ.1.05/1.1.00/02.0061 ELI: Extreme Light Infrast</w:t>
      </w:r>
      <w:r>
        <w:t>ructure, Operační program výzkum, vývoj a vzdělávání:</w:t>
      </w:r>
    </w:p>
    <w:p w:rsidR="003A73EF" w:rsidRDefault="00D2585F">
      <w:pPr>
        <w:pStyle w:val="Zkladntext"/>
        <w:spacing w:before="4"/>
        <w:ind w:left="115"/>
        <w:jc w:val="both"/>
      </w:pPr>
      <w:r>
        <w:t>reg. č. CZ.02.1.01/0.0/0.0/15_008/0000162 ELI: Extreme Light Infrastructure - fáze 2,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114"/>
        <w:jc w:val="both"/>
      </w:pPr>
      <w:r>
        <w:t>reg. č. CZ.02.1.01/0.0/0.0/15_003/0000447 Strukturní dynamika biomolekulárních systémů,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113"/>
        <w:jc w:val="both"/>
      </w:pPr>
      <w:r>
        <w:t>reg. č. CZ.02.1.01/0.0/0.0</w:t>
      </w:r>
      <w:r>
        <w:t>/15_003/0000449 High Field Initiative (Výzkum velmi intenzivních polí),</w:t>
      </w:r>
    </w:p>
    <w:p w:rsidR="003A73EF" w:rsidRDefault="003A73EF">
      <w:pPr>
        <w:pStyle w:val="Zkladntext"/>
        <w:spacing w:before="1"/>
      </w:pPr>
    </w:p>
    <w:p w:rsidR="003A73EF" w:rsidRDefault="00D2585F">
      <w:pPr>
        <w:pStyle w:val="Zkladntext"/>
        <w:ind w:left="115" w:right="112"/>
        <w:jc w:val="both"/>
      </w:pPr>
      <w:r>
        <w:t>reg. č. CZ.02.1.01/0.0/0.0/16_019/0000789 Pokročilý výzkum s využitím fotonů a částic vytvořených vysoce intenzivními lasery a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113"/>
        <w:jc w:val="both"/>
      </w:pPr>
      <w:r>
        <w:t>reg. č. CZ.02.1.01/0.0/0.0/16_013/0001793 Pokročilé sim</w:t>
      </w:r>
      <w:r>
        <w:t>ulační nástroje pro ELI Beamlines.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6" w:right="113"/>
        <w:jc w:val="both"/>
      </w:pPr>
      <w:r>
        <w:t>Převodce a nabyvatel vyjádřili souhlas s převodem práv a povinností, vyplývajících   z výše uvedených rozhodnutích o poskytnutí dotace, přistoupením k veřejnoprávní smlouvě, jež je předmětem žádosti o souhlas správního</w:t>
      </w:r>
      <w:r>
        <w:rPr>
          <w:spacing w:val="-26"/>
        </w:rPr>
        <w:t xml:space="preserve"> </w:t>
      </w:r>
      <w:r>
        <w:t>o</w:t>
      </w:r>
      <w:r>
        <w:t>rgánu.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6" w:right="112"/>
        <w:jc w:val="both"/>
      </w:pPr>
      <w:r>
        <w:t xml:space="preserve">Veřejný zájem vyjadřuje správní orgán souhlasem s touto veřejnoprávní smlouvou </w:t>
      </w:r>
      <w:proofErr w:type="gramStart"/>
      <w:r>
        <w:t>na</w:t>
      </w:r>
      <w:proofErr w:type="gramEnd"/>
      <w:r>
        <w:t xml:space="preserve"> základě posouzení všech relevantních přímých i nepřímých skutečností, ovlivňujících a vytvářejících Evropský výzkumný prostor (ERA). Duch veřejnoprávní smlouvy naplňuje veřej</w:t>
      </w:r>
      <w:r>
        <w:t xml:space="preserve">ný zájem dle Nařízení Evropského parlamentu a Rady (EU) č. 1303/2013 ze dne 17. </w:t>
      </w:r>
      <w:proofErr w:type="gramStart"/>
      <w:r>
        <w:t>prosince</w:t>
      </w:r>
      <w:proofErr w:type="gramEnd"/>
      <w:r>
        <w:t xml:space="preserve"> 2013, konkrétně jeho článku 71 - Trvalost operací a zajišťuje další udržitelnost výše uvedených projektů, čímž nezpochybnitelným způsobem</w:t>
      </w:r>
      <w:r>
        <w:rPr>
          <w:spacing w:val="-13"/>
        </w:rPr>
        <w:t xml:space="preserve"> </w:t>
      </w:r>
      <w:r>
        <w:t>umožňuje</w:t>
      </w:r>
      <w:r>
        <w:rPr>
          <w:spacing w:val="-16"/>
        </w:rPr>
        <w:t xml:space="preserve"> </w:t>
      </w:r>
      <w:r>
        <w:t>naplňování</w:t>
      </w:r>
      <w:r>
        <w:rPr>
          <w:spacing w:val="-16"/>
        </w:rPr>
        <w:t xml:space="preserve"> </w:t>
      </w:r>
      <w:r>
        <w:t>principu</w:t>
      </w:r>
      <w:r>
        <w:rPr>
          <w:spacing w:val="-14"/>
        </w:rPr>
        <w:t xml:space="preserve"> </w:t>
      </w:r>
      <w:r>
        <w:t>efektivity,</w:t>
      </w:r>
      <w:r>
        <w:rPr>
          <w:spacing w:val="-14"/>
        </w:rPr>
        <w:t xml:space="preserve"> </w:t>
      </w:r>
      <w:r>
        <w:t>hospodárnosti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účelnosti</w:t>
      </w:r>
      <w:r>
        <w:rPr>
          <w:spacing w:val="-15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 xml:space="preserve">jejich implementaci.   Tím   zajišťuje   naplnění   obecně   prospěšného   účelu   </w:t>
      </w:r>
      <w:proofErr w:type="gramStart"/>
      <w:r>
        <w:t xml:space="preserve">dotace </w:t>
      </w:r>
      <w:r>
        <w:rPr>
          <w:spacing w:val="5"/>
        </w:rPr>
        <w:t xml:space="preserve"> </w:t>
      </w:r>
      <w:r>
        <w:t>dle</w:t>
      </w:r>
      <w:proofErr w:type="gramEnd"/>
    </w:p>
    <w:p w:rsidR="003A73EF" w:rsidRDefault="00D2585F">
      <w:pPr>
        <w:pStyle w:val="Zkladntext"/>
        <w:spacing w:before="7"/>
        <w:rPr>
          <w:sz w:val="19"/>
        </w:rPr>
      </w:pPr>
      <w:r>
        <w:pict>
          <v:line id="_x0000_s1028" style="position:absolute;z-index:251657216;mso-wrap-distance-left:0;mso-wrap-distance-right:0;mso-position-horizontal-relative:page" from="70.8pt,13.65pt" to="214.8pt,13.65pt" strokeweight=".72pt">
            <w10:wrap type="topAndBottom" anchorx="page"/>
          </v:line>
        </w:pict>
      </w:r>
    </w:p>
    <w:p w:rsidR="003A73EF" w:rsidRDefault="003A73EF">
      <w:pPr>
        <w:pStyle w:val="Zkladntext"/>
        <w:spacing w:before="7"/>
        <w:rPr>
          <w:sz w:val="16"/>
        </w:rPr>
      </w:pPr>
    </w:p>
    <w:p w:rsidR="003A73EF" w:rsidRDefault="00D2585F">
      <w:pPr>
        <w:pStyle w:val="Odstavecseseznamem"/>
        <w:numPr>
          <w:ilvl w:val="0"/>
          <w:numId w:val="1"/>
        </w:numPr>
        <w:tabs>
          <w:tab w:val="left" w:pos="456"/>
          <w:tab w:val="left" w:pos="457"/>
        </w:tabs>
        <w:spacing w:before="59"/>
        <w:ind w:right="0" w:hanging="340"/>
        <w:rPr>
          <w:rFonts w:ascii="Calibri"/>
          <w:sz w:val="20"/>
        </w:rPr>
      </w:pPr>
      <w:bookmarkStart w:id="1" w:name="_bookmark1"/>
      <w:bookmarkEnd w:id="1"/>
      <w:r>
        <w:rPr>
          <w:rFonts w:ascii="Calibri"/>
          <w:sz w:val="20"/>
        </w:rPr>
        <w:t>https://eur-lex.europa.eu/legal-content/EN/TXT/?uri=uriserv:OJ.C_.2021.230.01.0001.01.ENG</w:t>
      </w:r>
    </w:p>
    <w:p w:rsidR="003A73EF" w:rsidRDefault="003A73EF">
      <w:pPr>
        <w:rPr>
          <w:rFonts w:ascii="Calibri"/>
          <w:sz w:val="20"/>
        </w:rPr>
        <w:sectPr w:rsidR="003A73EF">
          <w:pgSz w:w="11910" w:h="16840"/>
          <w:pgMar w:top="1320" w:right="1300" w:bottom="280" w:left="1300" w:header="720" w:footer="720" w:gutter="0"/>
          <w:cols w:space="720"/>
        </w:sectPr>
      </w:pPr>
    </w:p>
    <w:p w:rsidR="003A73EF" w:rsidRDefault="00D2585F">
      <w:pPr>
        <w:pStyle w:val="Zkladntext"/>
        <w:spacing w:before="78"/>
        <w:ind w:left="115" w:right="114"/>
        <w:jc w:val="both"/>
      </w:pPr>
      <w:proofErr w:type="gramStart"/>
      <w:r>
        <w:lastRenderedPageBreak/>
        <w:t>příslušných</w:t>
      </w:r>
      <w:proofErr w:type="gramEnd"/>
      <w:r>
        <w:t xml:space="preserve"> </w:t>
      </w:r>
      <w:r>
        <w:t>Rozhodnutí o poskytnutí dotace, vyjmenovaných výše. Převod povahu, cíle</w:t>
      </w:r>
      <w:r>
        <w:rPr>
          <w:spacing w:val="-11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prováděcí</w:t>
      </w:r>
      <w:r>
        <w:rPr>
          <w:spacing w:val="-14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intervencí</w:t>
      </w:r>
      <w:r>
        <w:rPr>
          <w:spacing w:val="-14"/>
        </w:rPr>
        <w:t xml:space="preserve"> </w:t>
      </w:r>
      <w:r>
        <w:t>ovlivňuje</w:t>
      </w:r>
      <w:r>
        <w:rPr>
          <w:spacing w:val="-14"/>
        </w:rPr>
        <w:t xml:space="preserve"> </w:t>
      </w:r>
      <w:r>
        <w:t>bezvýhradně</w:t>
      </w:r>
      <w:r>
        <w:rPr>
          <w:spacing w:val="-14"/>
        </w:rPr>
        <w:t xml:space="preserve"> </w:t>
      </w:r>
      <w:r>
        <w:t>pozitivním</w:t>
      </w:r>
      <w:r>
        <w:rPr>
          <w:spacing w:val="-13"/>
        </w:rPr>
        <w:t xml:space="preserve"> </w:t>
      </w:r>
      <w:r>
        <w:t>způsobem, a současně nedojde k přemístění činnosti</w:t>
      </w:r>
      <w:r>
        <w:rPr>
          <w:spacing w:val="-23"/>
        </w:rPr>
        <w:t xml:space="preserve"> </w:t>
      </w:r>
      <w:r>
        <w:t>operací.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6" w:right="113"/>
        <w:jc w:val="both"/>
      </w:pPr>
      <w:proofErr w:type="gramStart"/>
      <w:r>
        <w:t xml:space="preserve">Účelem dotace u uvedených projektů je především: podpora výzkumu, který dosáhne svou kvalitou a originalitou mezinárodní excelence, čímž dojde ke zvýšení výzkumného výkonu výzkumných center; vybudování, dobudování, rekonstrukce či upgrade infrastruktury - </w:t>
      </w:r>
      <w:r>
        <w:t>materiálně, technicky a informačně podpořit a umožnit výzkumné aktivity; rozvoj výzkumných týmů - podpora výzkumu prostřednictvím podpory či zvýšení počtu výzkumných týmů včetně jejich dlouhodobého rozšíření o domácí či zahraniční výzkumné či technické pra</w:t>
      </w:r>
      <w:r>
        <w:t>covníky; a rozvoj internacionalizace - posílení mezinárodní dimenze a intenzivní vědecké spolupráce s předními organizacemi pro výzkum a šíření znalostí v zahraničí.</w:t>
      </w:r>
      <w:proofErr w:type="gramEnd"/>
    </w:p>
    <w:p w:rsidR="003A73EF" w:rsidRDefault="003A73EF">
      <w:pPr>
        <w:pStyle w:val="Zkladntext"/>
        <w:spacing w:before="8"/>
      </w:pPr>
    </w:p>
    <w:p w:rsidR="003A73EF" w:rsidRDefault="00D2585F">
      <w:pPr>
        <w:pStyle w:val="Nadpis2"/>
        <w:spacing w:line="276" w:lineRule="exact"/>
        <w:ind w:left="116" w:right="112"/>
        <w:jc w:val="both"/>
        <w:rPr>
          <w:b w:val="0"/>
          <w:sz w:val="16"/>
        </w:rPr>
      </w:pPr>
      <w:r>
        <w:t xml:space="preserve">Praktickým důsledkem převodu práv a povinností, který </w:t>
      </w:r>
      <w:proofErr w:type="gramStart"/>
      <w:r>
        <w:t>eo</w:t>
      </w:r>
      <w:proofErr w:type="gramEnd"/>
      <w:r>
        <w:t xml:space="preserve"> ipso nejzásadněji naplňuje a roz</w:t>
      </w:r>
      <w:r>
        <w:t>víjí veřejný zájem, bude formální i faktické umožnění úhrady nákladů na provoz a další rozvoj této infrastruktury z příspěvků členů a pozorovatelů The Extreme Light Infrastructure ERIC. Díky tomu bude zajištěno pokračování</w:t>
      </w:r>
      <w:r>
        <w:rPr>
          <w:spacing w:val="-6"/>
        </w:rPr>
        <w:t xml:space="preserve"> </w:t>
      </w:r>
      <w:r>
        <w:t>dalšího</w:t>
      </w:r>
      <w:r>
        <w:rPr>
          <w:spacing w:val="-9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výzkumné</w:t>
      </w:r>
      <w:r>
        <w:rPr>
          <w:spacing w:val="-5"/>
        </w:rPr>
        <w:t xml:space="preserve"> </w:t>
      </w:r>
      <w:r>
        <w:t>infrastr</w:t>
      </w:r>
      <w:r>
        <w:t>uktury</w:t>
      </w:r>
      <w:r>
        <w:rPr>
          <w:spacing w:val="-5"/>
        </w:rPr>
        <w:t xml:space="preserve"> </w:t>
      </w:r>
      <w:r>
        <w:t>ELI</w:t>
      </w:r>
      <w:r>
        <w:rPr>
          <w:spacing w:val="-8"/>
        </w:rPr>
        <w:t xml:space="preserve"> </w:t>
      </w:r>
      <w:r>
        <w:t>Beamlines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t xml:space="preserve">další rozvoj v souladu s výše uvedenými rozhodnutími o poskytnutí dotace, a to </w:t>
      </w:r>
      <w:proofErr w:type="gramStart"/>
      <w:r>
        <w:t>nad</w:t>
      </w:r>
      <w:proofErr w:type="gramEnd"/>
      <w:r>
        <w:t xml:space="preserve"> rámec povinné udržitelnosti v nich ukotvené. Vedle formálních důsledků implikuje také důsledky vědeckovýzkumné, posilující principy velkých výzku</w:t>
      </w:r>
      <w:r>
        <w:t>mných infrastruktur jako klíčového nástroje</w:t>
      </w:r>
      <w:r>
        <w:rPr>
          <w:spacing w:val="-19"/>
        </w:rPr>
        <w:t xml:space="preserve"> </w:t>
      </w:r>
      <w:r>
        <w:t>ERA.</w:t>
      </w:r>
      <w:hyperlink w:anchor="_bookmark2" w:history="1">
        <w:r>
          <w:rPr>
            <w:b w:val="0"/>
            <w:position w:val="8"/>
            <w:sz w:val="16"/>
          </w:rPr>
          <w:t>3</w:t>
        </w:r>
      </w:hyperlink>
    </w:p>
    <w:p w:rsidR="003A73EF" w:rsidRDefault="003A73EF">
      <w:pPr>
        <w:pStyle w:val="Zkladntext"/>
        <w:spacing w:before="9"/>
        <w:rPr>
          <w:sz w:val="23"/>
        </w:rPr>
      </w:pPr>
    </w:p>
    <w:p w:rsidR="003A73EF" w:rsidRDefault="00D2585F">
      <w:pPr>
        <w:ind w:left="115" w:right="113"/>
        <w:jc w:val="both"/>
        <w:rPr>
          <w:b/>
          <w:sz w:val="24"/>
        </w:rPr>
      </w:pPr>
      <w:proofErr w:type="gramStart"/>
      <w:r>
        <w:rPr>
          <w:b/>
          <w:sz w:val="24"/>
        </w:rPr>
        <w:t>Členské státy Evropské unie, jako členové a pozorovatelé ELI ERIC, se finančními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příspěvky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budou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podílet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nákladech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provoz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infrastruktury,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které by jinak musela v plné vý</w:t>
      </w:r>
      <w:r>
        <w:rPr>
          <w:b/>
          <w:sz w:val="24"/>
        </w:rPr>
        <w:t>ši hradit Česká republika prostřednictvím převodce, jako provozovatel infrastruktury a příjemce souvisejících dotací, či které by      v případě   nezajištění    dalšího    financování    ve    svém    důsledku    vedly   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neefektivnímu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nakládání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veřejnými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prostředky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nevyužití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potenciálu,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až k ohrožení finančních zájmů Evropské unie a České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republiky.</w:t>
      </w:r>
      <w:proofErr w:type="gramEnd"/>
    </w:p>
    <w:p w:rsidR="003A73EF" w:rsidRDefault="003A73EF">
      <w:pPr>
        <w:pStyle w:val="Zkladntext"/>
        <w:spacing w:before="4"/>
        <w:rPr>
          <w:b/>
        </w:rPr>
      </w:pPr>
    </w:p>
    <w:p w:rsidR="003A73EF" w:rsidRDefault="00D2585F">
      <w:pPr>
        <w:pStyle w:val="Zkladntext"/>
        <w:ind w:left="115"/>
        <w:jc w:val="both"/>
      </w:pPr>
      <w:r>
        <w:t xml:space="preserve">Zásadní,    neboť    an    sich     iniciační     žádost    ELI     Beamlines,   </w:t>
      </w:r>
      <w:r>
        <w:rPr>
          <w:spacing w:val="64"/>
        </w:rPr>
        <w:t xml:space="preserve"> </w:t>
      </w:r>
      <w:r>
        <w:t>finalizována</w:t>
      </w:r>
    </w:p>
    <w:p w:rsidR="003A73EF" w:rsidRDefault="00D2585F">
      <w:pPr>
        <w:pStyle w:val="Zkladntext"/>
        <w:ind w:left="115" w:right="112"/>
        <w:jc w:val="both"/>
      </w:pPr>
      <w:r>
        <w:t xml:space="preserve">12. </w:t>
      </w:r>
      <w:proofErr w:type="gramStart"/>
      <w:r>
        <w:t>listopadu</w:t>
      </w:r>
      <w:proofErr w:type="gramEnd"/>
      <w:r>
        <w:t xml:space="preserve"> 2009, uvádí: „ELI bude řízena podle nového modelu navrženého pro konsorcia</w:t>
      </w:r>
      <w:r>
        <w:rPr>
          <w:spacing w:val="-14"/>
        </w:rPr>
        <w:t xml:space="preserve"> </w:t>
      </w:r>
      <w:r>
        <w:t>evropských</w:t>
      </w:r>
      <w:r>
        <w:rPr>
          <w:spacing w:val="-16"/>
        </w:rPr>
        <w:t xml:space="preserve"> </w:t>
      </w:r>
      <w:r>
        <w:t>výzkumných</w:t>
      </w:r>
      <w:r>
        <w:rPr>
          <w:spacing w:val="-14"/>
        </w:rPr>
        <w:t xml:space="preserve"> </w:t>
      </w:r>
      <w:r>
        <w:t>infrastruktur</w:t>
      </w:r>
      <w:r>
        <w:rPr>
          <w:spacing w:val="-16"/>
        </w:rPr>
        <w:t xml:space="preserve"> </w:t>
      </w:r>
      <w:r>
        <w:t>(ERIC).“</w:t>
      </w:r>
      <w:r>
        <w:rPr>
          <w:spacing w:val="36"/>
        </w:rPr>
        <w:t xml:space="preserve"> </w:t>
      </w:r>
      <w:r>
        <w:t>Technický</w:t>
      </w:r>
      <w:r>
        <w:rPr>
          <w:spacing w:val="-15"/>
        </w:rPr>
        <w:t xml:space="preserve"> </w:t>
      </w:r>
      <w:r>
        <w:t>popis</w:t>
      </w:r>
      <w:r>
        <w:rPr>
          <w:spacing w:val="-15"/>
        </w:rPr>
        <w:t xml:space="preserve"> </w:t>
      </w:r>
      <w:r>
        <w:t>projektů</w:t>
      </w:r>
      <w:r>
        <w:rPr>
          <w:spacing w:val="-16"/>
        </w:rPr>
        <w:t xml:space="preserve"> </w:t>
      </w:r>
      <w:r>
        <w:t>ELI Beamlines (1. a 2. fáze), který je přílohou Rozhodnutí o poskytnutí dotace projektů reg. č. C</w:t>
      </w:r>
      <w:r>
        <w:t>Z.1.05/1.1.00/02.0061 a reg. č. CZ.02.1.01/0.0/0.0/15_008/0000162, od samého počátku předpokládá, že: „… distribuovaná infrastruktura ELI bude po dokončení jednotlivých pilířů provozována podle modelu ERIC (European Research Infrastructure</w:t>
      </w:r>
      <w:r>
        <w:rPr>
          <w:spacing w:val="-12"/>
        </w:rPr>
        <w:t xml:space="preserve"> </w:t>
      </w:r>
      <w:r>
        <w:t>Consortium)</w:t>
      </w:r>
      <w:proofErr w:type="gramStart"/>
      <w:r>
        <w:t>.“</w:t>
      </w:r>
      <w:proofErr w:type="gramEnd"/>
    </w:p>
    <w:p w:rsidR="003A73EF" w:rsidRDefault="003A73EF">
      <w:pPr>
        <w:pStyle w:val="Zkladntext"/>
        <w:spacing w:before="3"/>
      </w:pPr>
    </w:p>
    <w:p w:rsidR="003A73EF" w:rsidRDefault="00D2585F">
      <w:pPr>
        <w:pStyle w:val="Zkladntext"/>
        <w:ind w:left="115" w:right="112"/>
        <w:jc w:val="both"/>
      </w:pPr>
      <w:r>
        <w:t>M</w:t>
      </w:r>
      <w:r>
        <w:t>ŠMT,</w:t>
      </w:r>
      <w:r>
        <w:rPr>
          <w:spacing w:val="-19"/>
        </w:rPr>
        <w:t xml:space="preserve"> </w:t>
      </w:r>
      <w:r>
        <w:t>jako</w:t>
      </w:r>
      <w:r>
        <w:rPr>
          <w:spacing w:val="-19"/>
        </w:rPr>
        <w:t xml:space="preserve"> </w:t>
      </w:r>
      <w:r>
        <w:t>poskytovatel</w:t>
      </w:r>
      <w:r>
        <w:rPr>
          <w:spacing w:val="-20"/>
        </w:rPr>
        <w:t xml:space="preserve"> </w:t>
      </w:r>
      <w:r>
        <w:t>dotace,</w:t>
      </w:r>
      <w:r>
        <w:rPr>
          <w:spacing w:val="-1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</w:t>
      </w:r>
      <w:r>
        <w:rPr>
          <w:spacing w:val="-21"/>
        </w:rPr>
        <w:t xml:space="preserve"> </w:t>
      </w:r>
      <w:r>
        <w:t>uvedeného</w:t>
      </w:r>
      <w:r>
        <w:rPr>
          <w:spacing w:val="-19"/>
        </w:rPr>
        <w:t xml:space="preserve"> </w:t>
      </w:r>
      <w:r>
        <w:t>konstatuje,</w:t>
      </w:r>
      <w:r>
        <w:rPr>
          <w:spacing w:val="-22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převodem</w:t>
      </w:r>
      <w:r>
        <w:rPr>
          <w:spacing w:val="-18"/>
        </w:rPr>
        <w:t xml:space="preserve"> </w:t>
      </w:r>
      <w:r>
        <w:t xml:space="preserve">práv a povinností z výše uvedených dotací nejen klesá riziko ohrožení účelu dotačních projektů, ale převod je naopak předpokládaný a nezbytný právě pro dosažení stanoveného účelu </w:t>
      </w:r>
      <w:proofErr w:type="gramStart"/>
      <w:r>
        <w:t>a</w:t>
      </w:r>
      <w:proofErr w:type="gramEnd"/>
      <w:r>
        <w:t xml:space="preserve"> umožní další provoz a rozvoj infrastruktury ELI Beamlines ve shodě s</w:t>
      </w:r>
      <w:r>
        <w:rPr>
          <w:spacing w:val="-3"/>
        </w:rPr>
        <w:t xml:space="preserve"> </w:t>
      </w:r>
      <w:r>
        <w:t>ním.</w:t>
      </w:r>
    </w:p>
    <w:p w:rsidR="003A73EF" w:rsidRDefault="003A73EF">
      <w:pPr>
        <w:pStyle w:val="Zkladntext"/>
        <w:rPr>
          <w:sz w:val="20"/>
        </w:rPr>
      </w:pPr>
    </w:p>
    <w:p w:rsidR="003A73EF" w:rsidRDefault="00D2585F">
      <w:pPr>
        <w:pStyle w:val="Zkladntext"/>
        <w:spacing w:before="2"/>
        <w:rPr>
          <w:sz w:val="26"/>
        </w:rPr>
      </w:pPr>
      <w:r>
        <w:pict>
          <v:line id="_x0000_s1027" style="position:absolute;z-index:251658240;mso-wrap-distance-left:0;mso-wrap-distance-right:0;mso-position-horizontal-relative:page" from="70.8pt,17.4pt" to="214.8pt,17.4pt" strokeweight=".72pt">
            <w10:wrap type="topAndBottom" anchorx="page"/>
          </v:line>
        </w:pict>
      </w:r>
    </w:p>
    <w:p w:rsidR="003A73EF" w:rsidRDefault="003A73EF">
      <w:pPr>
        <w:pStyle w:val="Zkladntext"/>
        <w:spacing w:before="7"/>
        <w:rPr>
          <w:sz w:val="16"/>
        </w:rPr>
      </w:pPr>
    </w:p>
    <w:p w:rsidR="003A73EF" w:rsidRDefault="00D2585F">
      <w:pPr>
        <w:pStyle w:val="Odstavecseseznamem"/>
        <w:numPr>
          <w:ilvl w:val="0"/>
          <w:numId w:val="1"/>
        </w:numPr>
        <w:tabs>
          <w:tab w:val="left" w:pos="456"/>
          <w:tab w:val="left" w:pos="457"/>
        </w:tabs>
        <w:spacing w:before="59"/>
        <w:ind w:right="0" w:hanging="340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sz w:val="20"/>
        </w:rPr>
        <w:t>https://eur-lex.europa.eu/legal-content/EN/TXT/?uri=uriserv:OJ.C_.2021.230.01.0001.01.ENG</w:t>
      </w:r>
    </w:p>
    <w:p w:rsidR="003A73EF" w:rsidRDefault="003A73EF">
      <w:pPr>
        <w:rPr>
          <w:rFonts w:ascii="Calibri"/>
          <w:sz w:val="20"/>
        </w:rPr>
        <w:sectPr w:rsidR="003A73EF">
          <w:pgSz w:w="11910" w:h="16840"/>
          <w:pgMar w:top="1320" w:right="1300" w:bottom="280" w:left="1300" w:header="720" w:footer="720" w:gutter="0"/>
          <w:cols w:space="720"/>
        </w:sectPr>
      </w:pPr>
    </w:p>
    <w:p w:rsidR="003A73EF" w:rsidRDefault="00D2585F">
      <w:pPr>
        <w:pStyle w:val="Zkladntext"/>
        <w:spacing w:before="78"/>
        <w:ind w:left="115" w:right="613"/>
        <w:jc w:val="both"/>
      </w:pPr>
      <w:r>
        <w:lastRenderedPageBreak/>
        <w:t>MŠMT dále konstatuje, že převod je v souladu s podmínkami operačních programů a podmínkami samotného poskytnutí dotace určenými poskytovatelem, který</w:t>
      </w:r>
      <w:r>
        <w:t xml:space="preserve"> je rovněž oprávněn k jejich změně.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614"/>
        <w:jc w:val="both"/>
      </w:pPr>
      <w:r>
        <w:t>ERIC</w:t>
      </w:r>
      <w:r>
        <w:rPr>
          <w:spacing w:val="-9"/>
        </w:rPr>
        <w:t xml:space="preserve"> </w:t>
      </w:r>
      <w:proofErr w:type="gramStart"/>
      <w:r>
        <w:t>The</w:t>
      </w:r>
      <w:proofErr w:type="gramEnd"/>
      <w:r>
        <w:rPr>
          <w:spacing w:val="-8"/>
        </w:rPr>
        <w:t xml:space="preserve"> </w:t>
      </w:r>
      <w:r>
        <w:t>Extreme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splňuje</w:t>
      </w:r>
      <w:r>
        <w:rPr>
          <w:spacing w:val="-8"/>
        </w:rPr>
        <w:t xml:space="preserve"> </w:t>
      </w:r>
      <w:r>
        <w:t>definici</w:t>
      </w:r>
      <w:r>
        <w:rPr>
          <w:spacing w:val="-9"/>
        </w:rPr>
        <w:t xml:space="preserve"> </w:t>
      </w:r>
      <w:r>
        <w:t>organizace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výzkum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šíření znalostí dle bodu ee) odst. 15 Sdělení Komise (EU) Rámec pro státní podporu výzkumu,</w:t>
      </w:r>
      <w:r>
        <w:rPr>
          <w:spacing w:val="-17"/>
        </w:rPr>
        <w:t xml:space="preserve"> </w:t>
      </w:r>
      <w:r>
        <w:t>vývoje</w:t>
      </w:r>
      <w:r>
        <w:rPr>
          <w:spacing w:val="-19"/>
        </w:rPr>
        <w:t xml:space="preserve"> </w:t>
      </w:r>
      <w:proofErr w:type="gramStart"/>
      <w:r>
        <w:t>a</w:t>
      </w:r>
      <w:proofErr w:type="gramEnd"/>
      <w:r>
        <w:rPr>
          <w:spacing w:val="-16"/>
        </w:rPr>
        <w:t xml:space="preserve"> </w:t>
      </w:r>
      <w:r>
        <w:t>inovací</w:t>
      </w:r>
      <w:r>
        <w:rPr>
          <w:spacing w:val="-17"/>
        </w:rPr>
        <w:t xml:space="preserve"> </w:t>
      </w:r>
      <w:r>
        <w:t>(2014/C</w:t>
      </w:r>
      <w:r>
        <w:rPr>
          <w:spacing w:val="-20"/>
        </w:rPr>
        <w:t xml:space="preserve"> </w:t>
      </w:r>
      <w:r>
        <w:t>198/01).</w:t>
      </w:r>
      <w:r>
        <w:rPr>
          <w:spacing w:val="-19"/>
        </w:rPr>
        <w:t xml:space="preserve"> </w:t>
      </w:r>
      <w:r>
        <w:t>ELI</w:t>
      </w:r>
      <w:r>
        <w:rPr>
          <w:spacing w:val="-17"/>
        </w:rPr>
        <w:t xml:space="preserve"> </w:t>
      </w:r>
      <w:r>
        <w:t>Beamlines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vedeno</w:t>
      </w:r>
      <w:r>
        <w:rPr>
          <w:spacing w:val="-19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Cestovní</w:t>
      </w:r>
      <w:r>
        <w:rPr>
          <w:spacing w:val="-19"/>
        </w:rPr>
        <w:t xml:space="preserve"> </w:t>
      </w:r>
      <w:r>
        <w:t>mapě velkých infrastruktur České republiky. Proto je nabyvatel také přijatelným příjemcem dotace ve všech výzvách, kde byl převodce žadatelem a</w:t>
      </w:r>
      <w:r>
        <w:rPr>
          <w:spacing w:val="-24"/>
        </w:rPr>
        <w:t xml:space="preserve"> </w:t>
      </w:r>
      <w:r>
        <w:t>příjemcem.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612"/>
        <w:jc w:val="both"/>
      </w:pPr>
      <w:r>
        <w:t xml:space="preserve">MŠMT dále konstatuje, že předmětná veřejnoprávní smlouva je uzavřena v </w:t>
      </w:r>
      <w:proofErr w:type="gramStart"/>
      <w:r>
        <w:t xml:space="preserve">souladu </w:t>
      </w:r>
      <w:r>
        <w:t xml:space="preserve"> s</w:t>
      </w:r>
      <w:proofErr w:type="gramEnd"/>
      <w:r>
        <w:t xml:space="preserve"> ustanovením § 162 zákona č. 500/2004 Sb., správní řád, ve znění pozdějších předpisů, že veřejnoprávní smlouva není v rozporu s právními předpisy, neobchází je a</w:t>
      </w:r>
      <w:r>
        <w:rPr>
          <w:spacing w:val="-16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souladu</w:t>
      </w:r>
      <w:r>
        <w:rPr>
          <w:spacing w:val="-1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veřejným</w:t>
      </w:r>
      <w:r>
        <w:rPr>
          <w:spacing w:val="-16"/>
        </w:rPr>
        <w:t xml:space="preserve"> </w:t>
      </w:r>
      <w:r>
        <w:t>zájmem.</w:t>
      </w:r>
      <w:r>
        <w:rPr>
          <w:spacing w:val="-19"/>
        </w:rPr>
        <w:t xml:space="preserve"> </w:t>
      </w:r>
      <w:r>
        <w:t>Povaha</w:t>
      </w:r>
      <w:r>
        <w:rPr>
          <w:spacing w:val="-16"/>
        </w:rPr>
        <w:t xml:space="preserve"> </w:t>
      </w:r>
      <w:r>
        <w:t>věci</w:t>
      </w:r>
      <w:r>
        <w:rPr>
          <w:spacing w:val="-18"/>
        </w:rPr>
        <w:t xml:space="preserve"> </w:t>
      </w:r>
      <w:r>
        <w:t>převod</w:t>
      </w:r>
      <w:r>
        <w:rPr>
          <w:spacing w:val="-19"/>
        </w:rPr>
        <w:t xml:space="preserve"> </w:t>
      </w:r>
      <w:r>
        <w:t>nevylučuje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jiný</w:t>
      </w:r>
      <w:r>
        <w:rPr>
          <w:spacing w:val="-17"/>
        </w:rPr>
        <w:t xml:space="preserve"> </w:t>
      </w:r>
      <w:r>
        <w:t>zvláštní</w:t>
      </w:r>
      <w:r>
        <w:rPr>
          <w:spacing w:val="-19"/>
        </w:rPr>
        <w:t xml:space="preserve"> </w:t>
      </w:r>
      <w:r>
        <w:t>zákon tuto situaci nijak dále či podrobněji</w:t>
      </w:r>
      <w:r>
        <w:rPr>
          <w:spacing w:val="-26"/>
        </w:rPr>
        <w:t xml:space="preserve"> </w:t>
      </w:r>
      <w:r>
        <w:t>neupravuje.</w:t>
      </w:r>
    </w:p>
    <w:p w:rsidR="003A73EF" w:rsidRDefault="003A73EF">
      <w:pPr>
        <w:pStyle w:val="Zkladntext"/>
        <w:spacing w:before="2"/>
      </w:pPr>
    </w:p>
    <w:p w:rsidR="003A73EF" w:rsidRDefault="00D2585F">
      <w:pPr>
        <w:pStyle w:val="Zkladntext"/>
        <w:ind w:left="115" w:right="611"/>
        <w:jc w:val="both"/>
      </w:pPr>
      <w:r>
        <w:t>Uzavření veřejnoprávní smlouvy nesnižuje důvěryhodnost veřejné správy, je účelné a převodce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nabyvatel</w:t>
      </w:r>
      <w:r>
        <w:rPr>
          <w:spacing w:val="-11"/>
        </w:rPr>
        <w:t xml:space="preserve"> </w:t>
      </w:r>
      <w:r>
        <w:t>mají</w:t>
      </w:r>
      <w:r>
        <w:rPr>
          <w:spacing w:val="-7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jejím</w:t>
      </w:r>
      <w:r>
        <w:rPr>
          <w:spacing w:val="-6"/>
        </w:rPr>
        <w:t xml:space="preserve"> </w:t>
      </w:r>
      <w:r>
        <w:t>uzavírání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cíl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t>příslušných</w:t>
      </w:r>
      <w:r>
        <w:rPr>
          <w:spacing w:val="-7"/>
        </w:rPr>
        <w:t xml:space="preserve"> </w:t>
      </w:r>
      <w:r>
        <w:t>dotací</w:t>
      </w:r>
      <w:r>
        <w:rPr>
          <w:spacing w:val="-7"/>
        </w:rPr>
        <w:t xml:space="preserve"> </w:t>
      </w:r>
      <w:r>
        <w:t>tak, jak je poskytovatel stanov</w:t>
      </w:r>
      <w:r>
        <w:t>il, a tím přeneseně i plnění úkolů veřejné správy, jak jsou stanoveny</w:t>
      </w:r>
      <w:r>
        <w:rPr>
          <w:spacing w:val="-19"/>
        </w:rPr>
        <w:t xml:space="preserve"> </w:t>
      </w:r>
      <w:r>
        <w:t>poskytovateli.</w:t>
      </w:r>
      <w:r>
        <w:rPr>
          <w:spacing w:val="-19"/>
        </w:rPr>
        <w:t xml:space="preserve"> </w:t>
      </w:r>
      <w:r>
        <w:t>MŠMT</w:t>
      </w:r>
      <w:r>
        <w:rPr>
          <w:spacing w:val="-20"/>
        </w:rPr>
        <w:t xml:space="preserve"> </w:t>
      </w:r>
      <w:r>
        <w:t>přitom</w:t>
      </w:r>
      <w:r>
        <w:rPr>
          <w:spacing w:val="-18"/>
        </w:rPr>
        <w:t xml:space="preserve"> </w:t>
      </w:r>
      <w:r>
        <w:t>posuzovalo</w:t>
      </w:r>
      <w:r>
        <w:rPr>
          <w:spacing w:val="-18"/>
        </w:rPr>
        <w:t xml:space="preserve"> </w:t>
      </w:r>
      <w:r>
        <w:t>veřejnoprávní</w:t>
      </w:r>
      <w:r>
        <w:rPr>
          <w:spacing w:val="-19"/>
        </w:rPr>
        <w:t xml:space="preserve"> </w:t>
      </w:r>
      <w:r>
        <w:t>smlouvu</w:t>
      </w:r>
      <w:r>
        <w:rPr>
          <w:spacing w:val="-18"/>
        </w:rPr>
        <w:t xml:space="preserve"> </w:t>
      </w:r>
      <w:r>
        <w:t>podle</w:t>
      </w:r>
      <w:r>
        <w:rPr>
          <w:spacing w:val="-18"/>
        </w:rPr>
        <w:t xml:space="preserve"> </w:t>
      </w:r>
      <w:r>
        <w:t>jejího skutečného obsahu jak z formální, tak věcné</w:t>
      </w:r>
      <w:r>
        <w:rPr>
          <w:spacing w:val="-24"/>
        </w:rPr>
        <w:t xml:space="preserve"> </w:t>
      </w:r>
      <w:r>
        <w:t>stránky.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613"/>
        <w:jc w:val="both"/>
      </w:pPr>
      <w:r>
        <w:t xml:space="preserve">Nabytí právní moci tohoto rozhodnutí je k 1.1. </w:t>
      </w:r>
      <w:proofErr w:type="gramStart"/>
      <w:r>
        <w:t>2023</w:t>
      </w:r>
      <w:proofErr w:type="gramEnd"/>
      <w:r>
        <w:t>, v souladu s datem účinnosti Smlouvy.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616"/>
        <w:jc w:val="both"/>
      </w:pPr>
      <w:r>
        <w:t>Protože</w:t>
      </w:r>
      <w:r>
        <w:rPr>
          <w:spacing w:val="-7"/>
        </w:rPr>
        <w:t xml:space="preserve"> </w:t>
      </w:r>
      <w:r>
        <w:t>účastníkům</w:t>
      </w:r>
      <w:r>
        <w:rPr>
          <w:spacing w:val="-4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plném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vyhověno,</w:t>
      </w:r>
      <w:r>
        <w:rPr>
          <w:spacing w:val="-7"/>
        </w:rPr>
        <w:t xml:space="preserve"> </w:t>
      </w:r>
      <w:proofErr w:type="gramStart"/>
      <w:r>
        <w:t>od</w:t>
      </w:r>
      <w:proofErr w:type="gramEnd"/>
      <w:r>
        <w:rPr>
          <w:spacing w:val="-7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odůvodnění</w:t>
      </w:r>
      <w:r>
        <w:rPr>
          <w:spacing w:val="-5"/>
        </w:rPr>
        <w:t xml:space="preserve"> </w:t>
      </w:r>
      <w:r>
        <w:rPr>
          <w:spacing w:val="-3"/>
        </w:rPr>
        <w:t xml:space="preserve">se </w:t>
      </w:r>
      <w:r>
        <w:t xml:space="preserve">dle § 68 odst. </w:t>
      </w:r>
      <w:proofErr w:type="gramStart"/>
      <w:r>
        <w:t>4 správního</w:t>
      </w:r>
      <w:proofErr w:type="gramEnd"/>
      <w:r>
        <w:t xml:space="preserve"> řádu</w:t>
      </w:r>
      <w:r>
        <w:rPr>
          <w:spacing w:val="-14"/>
        </w:rPr>
        <w:t xml:space="preserve"> </w:t>
      </w:r>
      <w:r>
        <w:t>upouští.</w:t>
      </w:r>
    </w:p>
    <w:p w:rsidR="003A73EF" w:rsidRDefault="003A73EF">
      <w:pPr>
        <w:pStyle w:val="Zkladntext"/>
        <w:spacing w:before="2"/>
      </w:pPr>
    </w:p>
    <w:p w:rsidR="003A73EF" w:rsidRDefault="00D2585F">
      <w:pPr>
        <w:pStyle w:val="Nadpis2"/>
        <w:ind w:left="3893" w:right="4395"/>
      </w:pPr>
      <w:r>
        <w:t xml:space="preserve">P o u č e n </w:t>
      </w:r>
      <w:proofErr w:type="gramStart"/>
      <w:r>
        <w:t>í :</w:t>
      </w:r>
      <w:proofErr w:type="gramEnd"/>
    </w:p>
    <w:p w:rsidR="003A73EF" w:rsidRDefault="003A73EF">
      <w:pPr>
        <w:pStyle w:val="Zkladntext"/>
        <w:spacing w:before="4"/>
        <w:rPr>
          <w:b/>
        </w:rPr>
      </w:pPr>
    </w:p>
    <w:p w:rsidR="003A73EF" w:rsidRDefault="00D2585F">
      <w:pPr>
        <w:pStyle w:val="Zkladntext"/>
        <w:ind w:left="115" w:right="613"/>
        <w:jc w:val="both"/>
      </w:pPr>
      <w:r>
        <w:t xml:space="preserve">Proti tomuto rozhodnutí lze podat do </w:t>
      </w:r>
      <w:proofErr w:type="gramStart"/>
      <w:r>
        <w:t>15 dnů</w:t>
      </w:r>
      <w:proofErr w:type="gramEnd"/>
      <w:r>
        <w:t xml:space="preserve"> ode dne jeho doručení odvolání k Ministerstvu</w:t>
      </w:r>
      <w:r>
        <w:rPr>
          <w:spacing w:val="-2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tělovýchovy.</w:t>
      </w:r>
      <w:r>
        <w:rPr>
          <w:spacing w:val="-5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odvolání</w:t>
      </w:r>
      <w:r>
        <w:rPr>
          <w:spacing w:val="-5"/>
        </w:rPr>
        <w:t xml:space="preserve"> </w:t>
      </w:r>
      <w:r>
        <w:t>běží</w:t>
      </w:r>
      <w:r>
        <w:rPr>
          <w:spacing w:val="-5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 následujícího po dni doručení tohoto</w:t>
      </w:r>
      <w:r>
        <w:rPr>
          <w:spacing w:val="-22"/>
        </w:rPr>
        <w:t xml:space="preserve"> </w:t>
      </w:r>
      <w:r>
        <w:t>rozhodnutí.</w:t>
      </w:r>
    </w:p>
    <w:p w:rsidR="003A73EF" w:rsidRDefault="003A73EF">
      <w:pPr>
        <w:pStyle w:val="Zkladntext"/>
        <w:spacing w:before="1"/>
      </w:pPr>
    </w:p>
    <w:p w:rsidR="003A73EF" w:rsidRDefault="00D2585F">
      <w:pPr>
        <w:pStyle w:val="Zkladntext"/>
        <w:ind w:left="116" w:right="613"/>
        <w:jc w:val="both"/>
      </w:pPr>
      <w:r>
        <w:t xml:space="preserve">Dle ustanovení § 164 odst. </w:t>
      </w:r>
      <w:proofErr w:type="gramStart"/>
      <w:r>
        <w:t>3</w:t>
      </w:r>
      <w:proofErr w:type="gramEnd"/>
      <w:r>
        <w:t xml:space="preserve"> správního řádu,</w:t>
      </w:r>
      <w:r>
        <w:t xml:space="preserve"> jestliže zákon stanoví, že k uzavření veřejnoprávní smlouvy je třeba souhlasu správního orgánu, je veřejnoprávní smlouva uzavřena dnem, kdy tento souhlas nabude právní moci.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 w:right="612"/>
        <w:jc w:val="both"/>
      </w:pPr>
      <w:r>
        <w:t>Pro převod práv a povinností plynoucích výše uvedených Rozhodnutí o poskytnutí d</w:t>
      </w:r>
      <w:r>
        <w:t>otace musí převodce dále jako příjemce dotace požádat MŠMT o změnu dotčených projektů v realizaci a udržitelnosti, specifikovaných výše, o kterých poskytovatel rozhodne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vydá</w:t>
      </w:r>
      <w:r>
        <w:rPr>
          <w:spacing w:val="-12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změně</w:t>
      </w:r>
      <w:r>
        <w:rPr>
          <w:spacing w:val="-12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dotace.</w:t>
      </w:r>
      <w:r>
        <w:rPr>
          <w:spacing w:val="43"/>
        </w:rPr>
        <w:t xml:space="preserve"> </w:t>
      </w:r>
      <w:r>
        <w:t>Tyto žádosti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přev</w:t>
      </w:r>
      <w:r>
        <w:t>odce</w:t>
      </w:r>
      <w:r>
        <w:rPr>
          <w:spacing w:val="-12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podat</w:t>
      </w:r>
      <w:r>
        <w:rPr>
          <w:spacing w:val="-12"/>
        </w:rPr>
        <w:t xml:space="preserve"> </w:t>
      </w:r>
      <w:r>
        <w:t>tak,</w:t>
      </w:r>
      <w:r>
        <w:rPr>
          <w:spacing w:val="-14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byla</w:t>
      </w:r>
      <w:r>
        <w:rPr>
          <w:spacing w:val="-12"/>
        </w:rPr>
        <w:t xml:space="preserve"> </w:t>
      </w:r>
      <w:r>
        <w:t>umožněna</w:t>
      </w:r>
      <w:r>
        <w:rPr>
          <w:spacing w:val="-12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účinnost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stejnému datu, jako účinnost Veřejnoprávní smlouvy, tedy k 1.1.</w:t>
      </w:r>
      <w:r>
        <w:rPr>
          <w:spacing w:val="-30"/>
        </w:rPr>
        <w:t xml:space="preserve"> </w:t>
      </w:r>
      <w:r>
        <w:t>2023.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/>
        <w:jc w:val="both"/>
      </w:pPr>
      <w:r>
        <w:t>V Praze</w:t>
      </w:r>
    </w:p>
    <w:p w:rsidR="003A73EF" w:rsidRDefault="00D2585F" w:rsidP="00D2585F">
      <w:pPr>
        <w:spacing w:before="99" w:line="459" w:lineRule="exact"/>
        <w:ind w:left="115"/>
        <w:jc w:val="both"/>
        <w:rPr>
          <w:rFonts w:ascii="Myriad Pro" w:hAnsi="Myriad Pro"/>
          <w:sz w:val="34"/>
        </w:rPr>
      </w:pPr>
      <w:r>
        <w:pict>
          <v:shape id="_x0000_s1026" style="position:absolute;left:0;text-align:left;margin-left:356.35pt;margin-top:7.05pt;width:108.55pt;height:107.8pt;z-index:-251657216;mso-position-horizontal-relative:page" coordorigin="7127,141" coordsize="2171,2156" o:spt="100" adj="0,,0" path="m7519,1841r-104,61l7330,1964r-68,61l7209,2083r-38,54l7146,2186r-14,42l7127,2261r14,28l7154,2297r146,l7308,2292r-139,l7172,2257r16,-45l7218,2158r41,-60l7311,2034r62,-65l7442,1904r77,-63xm8056,141r-44,29l7990,238r-8,75l7981,367r1,49l7987,468r7,56l8003,581r10,58l8026,699r14,61l8056,820r-3,21l8044,875r-14,43l8012,971r-24,62l7961,1101r-31,75l7895,1256r-38,83l7817,1426r-43,87l7729,1602r-46,88l7635,1775r-48,83l7538,1938r-50,74l7439,2079r-48,61l7343,2192r-46,42l7252,2266r-42,19l7169,2292r139,l7334,2276r45,-37l7428,2190r52,-60l7537,2056r60,-87l7662,1868r69,-115l7751,1746r-20,l7795,1633r56,-103l7899,1437r42,-85l7976,1274r30,-69l8031,1141r21,-57l8069,1032r15,-47l8096,942r76,l8152,893r-28,-80l8137,728r3,-27l8096,701r-22,-78l8059,547r-11,-73l8042,406r-2,-63l8041,309r5,-56l8060,194r27,-39l8141,155r-29,-11l8056,141xm9243,1742r-21,4l9205,1757r-11,17l9190,1795r,l9194,1815r11,16l9222,1842r21,4l9265,1842r12,-7l9243,1835r-16,-3l9213,1823r-9,-13l9201,1795r,l9204,1778r9,-13l9227,1756r16,-3l9277,1753r-12,-7l9243,1742xm9277,1753r-34,l9260,1756r14,9l9282,1778r3,17l9282,1810r-8,13l9260,1832r-17,3l9277,1835r6,-4l9294,1815r4,-20l9298,1795r-4,-21l9283,1757r-6,-4xm9258,1760r-35,l9223,1824r11,l9234,1799r28,l9260,1797r-6,-2l9254,1795r13,-5l9234,1790r,-17l9266,1773r-1,-5l9258,1760xm9262,1799r-15,l9252,1806r2,7l9256,1824r11,l9265,1813r,-9l9262,1799xm9266,1773r-17,l9254,1775r,13l9247,1790r20,l9267,1782r-1,-9xm8172,942r-76,l8142,1048r48,92l8240,1219r49,68l8339,1344r48,48l8432,1431r43,32l8514,1489r35,21l8478,1523r-73,14l8331,1553r-74,18l8181,1591r-76,21l8029,1636r-76,24l7878,1687r-74,29l7731,1746r20,l7797,1731r69,-21l7938,1690r74,-19l8087,1653r77,-16l8242,1621r78,-14l8398,1595r79,-12l8554,1573r76,-8l8795,1565r-34,-15l8829,1545r82,-2l9257,1543r-6,-6l9195,1512r-70,-18l8664,1494r-52,-29l8562,1433r-50,-33l8465,1366r-57,-52l8355,1255r-49,-65l8261,1120r-40,-73l8184,971r-12,-29xm8795,1565r-165,l8713,1604r83,35l8879,1668r79,23l9033,1708r68,10l9161,1722r46,-3l9241,1710r23,-16l9268,1687r-61,l9152,1682r-66,-13l9011,1649r-80,-28l8847,1588r-52,-23xm9276,1671r-13,5l9247,1681r-19,4l9207,1687r61,l9276,1671xm9257,1543r-346,l8998,1543r87,5l9164,1559r64,19l9271,1607r14,40l9291,1631r7,-6l9298,1609r-12,-39l9257,1543xm8929,1479r-59,1l8805,1484r-141,10l9125,1494r-3,-1l9032,1482r-103,-3xm8162,323r-10,50l8142,436r-12,75l8114,599r-18,102l8140,701r6,-56l8152,565r4,-80l8162,323xm8141,155r-54,l8111,170r22,24l8152,231r10,52l8170,201r-18,-42l8141,15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2"/>
          <w:sz w:val="24"/>
        </w:rPr>
        <w:t>P</w:t>
      </w:r>
      <w:r>
        <w:rPr>
          <w:w w:val="99"/>
          <w:position w:val="2"/>
          <w:sz w:val="24"/>
        </w:rPr>
        <w:t>h</w:t>
      </w:r>
      <w:r>
        <w:rPr>
          <w:spacing w:val="-1"/>
          <w:w w:val="99"/>
          <w:position w:val="2"/>
          <w:sz w:val="24"/>
        </w:rPr>
        <w:t>Dr</w:t>
      </w:r>
      <w:r>
        <w:rPr>
          <w:position w:val="2"/>
          <w:sz w:val="24"/>
        </w:rPr>
        <w:t>.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M</w:t>
      </w:r>
      <w:r>
        <w:rPr>
          <w:w w:val="99"/>
          <w:position w:val="2"/>
          <w:sz w:val="24"/>
        </w:rPr>
        <w:t>g</w:t>
      </w:r>
      <w:r>
        <w:rPr>
          <w:spacing w:val="-1"/>
          <w:w w:val="99"/>
          <w:position w:val="2"/>
          <w:sz w:val="24"/>
        </w:rPr>
        <w:t>r</w:t>
      </w:r>
      <w:r>
        <w:rPr>
          <w:position w:val="2"/>
          <w:sz w:val="24"/>
        </w:rPr>
        <w:t>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</w:t>
      </w:r>
      <w:r>
        <w:rPr>
          <w:w w:val="99"/>
          <w:position w:val="2"/>
          <w:sz w:val="24"/>
        </w:rPr>
        <w:t>á</w:t>
      </w:r>
      <w:r>
        <w:rPr>
          <w:position w:val="2"/>
          <w:sz w:val="24"/>
        </w:rPr>
        <w:t>c</w:t>
      </w:r>
      <w:r>
        <w:rPr>
          <w:spacing w:val="-3"/>
          <w:w w:val="99"/>
          <w:position w:val="2"/>
          <w:sz w:val="24"/>
        </w:rPr>
        <w:t>l</w:t>
      </w:r>
      <w:r>
        <w:rPr>
          <w:w w:val="99"/>
          <w:position w:val="2"/>
          <w:sz w:val="24"/>
        </w:rPr>
        <w:t>a</w:t>
      </w:r>
      <w:r>
        <w:rPr>
          <w:position w:val="2"/>
          <w:sz w:val="24"/>
        </w:rPr>
        <w:t>v V</w:t>
      </w:r>
      <w:r>
        <w:rPr>
          <w:w w:val="99"/>
          <w:position w:val="2"/>
          <w:sz w:val="24"/>
        </w:rPr>
        <w:t>e</w:t>
      </w:r>
      <w:r>
        <w:rPr>
          <w:spacing w:val="-3"/>
          <w:w w:val="99"/>
          <w:position w:val="2"/>
          <w:sz w:val="24"/>
        </w:rPr>
        <w:t>l</w:t>
      </w:r>
      <w:r>
        <w:rPr>
          <w:position w:val="2"/>
          <w:sz w:val="24"/>
        </w:rPr>
        <w:t>č</w:t>
      </w:r>
      <w:r>
        <w:rPr>
          <w:w w:val="99"/>
          <w:position w:val="2"/>
          <w:sz w:val="24"/>
        </w:rPr>
        <w:t>o</w:t>
      </w:r>
      <w:r>
        <w:rPr>
          <w:position w:val="2"/>
          <w:sz w:val="24"/>
        </w:rPr>
        <w:t>vský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2"/>
          <w:w w:val="99"/>
          <w:position w:val="2"/>
          <w:sz w:val="24"/>
        </w:rPr>
        <w:t>h</w:t>
      </w:r>
      <w:r>
        <w:rPr>
          <w:position w:val="2"/>
          <w:sz w:val="24"/>
        </w:rPr>
        <w:t>.</w:t>
      </w:r>
      <w:r>
        <w:rPr>
          <w:spacing w:val="-1"/>
          <w:position w:val="2"/>
          <w:sz w:val="24"/>
        </w:rPr>
        <w:t>D</w:t>
      </w:r>
      <w:r>
        <w:rPr>
          <w:position w:val="2"/>
          <w:sz w:val="24"/>
        </w:rPr>
        <w:t>.,</w:t>
      </w:r>
      <w:r>
        <w:rPr>
          <w:spacing w:val="1"/>
          <w:position w:val="2"/>
          <w:sz w:val="24"/>
        </w:rPr>
        <w:t xml:space="preserve"> náměstek pro řízení </w:t>
      </w:r>
      <w:r>
        <w:rPr>
          <w:position w:val="2"/>
          <w:sz w:val="24"/>
        </w:rPr>
        <w:t>S</w:t>
      </w:r>
      <w:r>
        <w:rPr>
          <w:w w:val="99"/>
          <w:position w:val="2"/>
          <w:sz w:val="24"/>
        </w:rPr>
        <w:t>e</w:t>
      </w:r>
      <w:r>
        <w:rPr>
          <w:position w:val="2"/>
          <w:sz w:val="24"/>
        </w:rPr>
        <w:t>kc</w:t>
      </w:r>
      <w:r>
        <w:rPr>
          <w:spacing w:val="16"/>
          <w:w w:val="99"/>
          <w:position w:val="2"/>
          <w:sz w:val="24"/>
        </w:rPr>
        <w:t>e mezinárodních</w:t>
      </w:r>
    </w:p>
    <w:p w:rsidR="003A73EF" w:rsidRDefault="003A73EF">
      <w:pPr>
        <w:spacing w:line="459" w:lineRule="exact"/>
        <w:jc w:val="both"/>
        <w:rPr>
          <w:rFonts w:ascii="Myriad Pro" w:hAnsi="Myriad Pro"/>
          <w:sz w:val="34"/>
        </w:rPr>
        <w:sectPr w:rsidR="003A73EF">
          <w:pgSz w:w="11910" w:h="16840"/>
          <w:pgMar w:top="1320" w:right="800" w:bottom="280" w:left="1300" w:header="720" w:footer="720" w:gutter="0"/>
          <w:cols w:space="720"/>
        </w:sectPr>
      </w:pPr>
    </w:p>
    <w:p w:rsidR="003A73EF" w:rsidRPr="00D2585F" w:rsidRDefault="00D2585F" w:rsidP="00D2585F">
      <w:pPr>
        <w:pStyle w:val="Zkladntext"/>
        <w:spacing w:line="611" w:lineRule="exact"/>
        <w:ind w:left="115"/>
        <w:rPr>
          <w:rFonts w:ascii="Myriad Pro" w:hAnsi="Myriad Pro"/>
          <w:sz w:val="44"/>
        </w:rPr>
      </w:pPr>
      <w:r>
        <w:t>vzta</w:t>
      </w:r>
      <w:r>
        <w:rPr>
          <w:w w:val="99"/>
        </w:rPr>
        <w:t>h</w:t>
      </w:r>
      <w:r>
        <w:rPr>
          <w:spacing w:val="-2"/>
          <w:w w:val="99"/>
        </w:rPr>
        <w:t>ů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t>ES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w w:val="99"/>
        </w:rPr>
        <w:t>o</w:t>
      </w:r>
      <w:r>
        <w:t>t</w:t>
      </w:r>
      <w:r>
        <w:rPr>
          <w:spacing w:val="-3"/>
        </w:rPr>
        <w:t>i</w:t>
      </w:r>
      <w:r>
        <w:t xml:space="preserve">sk </w:t>
      </w:r>
      <w:r>
        <w:rPr>
          <w:w w:val="99"/>
        </w:rPr>
        <w:t>ú</w:t>
      </w:r>
      <w:r>
        <w:rPr>
          <w:spacing w:val="-1"/>
          <w:w w:val="99"/>
        </w:rPr>
        <w:t>ř</w:t>
      </w:r>
      <w:r>
        <w:rPr>
          <w:w w:val="99"/>
        </w:rPr>
        <w:t>ed</w:t>
      </w:r>
      <w:r>
        <w:rPr>
          <w:spacing w:val="-2"/>
          <w:w w:val="99"/>
        </w:rPr>
        <w:t>n</w:t>
      </w:r>
      <w:r>
        <w:t>íh</w:t>
      </w:r>
      <w:r>
        <w:rPr>
          <w:w w:val="99"/>
        </w:rPr>
        <w:t>o razítka)</w:t>
      </w:r>
      <w:bookmarkStart w:id="3" w:name="_GoBack"/>
      <w:bookmarkEnd w:id="3"/>
      <w:r>
        <w:rPr>
          <w:spacing w:val="-1"/>
        </w:rPr>
        <w:t xml:space="preserve"> </w:t>
      </w:r>
    </w:p>
    <w:p w:rsidR="003A73EF" w:rsidRDefault="003A73EF">
      <w:pPr>
        <w:spacing w:line="400" w:lineRule="exact"/>
        <w:rPr>
          <w:rFonts w:ascii="Myriad Pro"/>
          <w:sz w:val="34"/>
        </w:rPr>
        <w:sectPr w:rsidR="003A73EF">
          <w:type w:val="continuous"/>
          <w:pgSz w:w="11910" w:h="16840"/>
          <w:pgMar w:top="1320" w:right="800" w:bottom="280" w:left="1300" w:header="720" w:footer="720" w:gutter="0"/>
          <w:cols w:num="2" w:space="720" w:equalWidth="0">
            <w:col w:w="5942" w:space="902"/>
            <w:col w:w="2966"/>
          </w:cols>
        </w:sectPr>
      </w:pPr>
    </w:p>
    <w:p w:rsidR="003A73EF" w:rsidRDefault="00D2585F">
      <w:pPr>
        <w:pStyle w:val="Zkladntext"/>
        <w:spacing w:before="78"/>
        <w:ind w:left="183"/>
      </w:pPr>
      <w:r>
        <w:lastRenderedPageBreak/>
        <w:t>Rozdělovník: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/>
      </w:pPr>
      <w:r>
        <w:t>Fyzikální ústav AV ČR, v. v. i., IČO: 683 78 271, se sídlem Na Slovance 1999/2, 182 21 Praha 8 (datovou schránkou)</w:t>
      </w:r>
    </w:p>
    <w:p w:rsidR="003A73EF" w:rsidRDefault="003A73EF">
      <w:pPr>
        <w:pStyle w:val="Zkladntext"/>
        <w:spacing w:before="4"/>
      </w:pPr>
    </w:p>
    <w:p w:rsidR="003A73EF" w:rsidRDefault="00D2585F">
      <w:pPr>
        <w:pStyle w:val="Zkladntext"/>
        <w:ind w:left="115"/>
      </w:pPr>
      <w:proofErr w:type="gramStart"/>
      <w:r>
        <w:rPr>
          <w:w w:val="99"/>
        </w:rPr>
        <w:t>a</w:t>
      </w:r>
      <w:proofErr w:type="gramEnd"/>
    </w:p>
    <w:p w:rsidR="003A73EF" w:rsidRDefault="003A73EF">
      <w:pPr>
        <w:pStyle w:val="Zkladntext"/>
        <w:spacing w:before="2"/>
      </w:pPr>
    </w:p>
    <w:p w:rsidR="003A73EF" w:rsidRDefault="00D2585F">
      <w:pPr>
        <w:pStyle w:val="Zkladntext"/>
        <w:ind w:left="116"/>
      </w:pPr>
      <w:r>
        <w:t>The Extreme Light Infrastructure ERIC, IČO: 109 74 938, se sídlem Za Radnicí 865, 252 41 Dolní Břežany (datovou schránkou)</w:t>
      </w:r>
    </w:p>
    <w:p w:rsidR="003A73EF" w:rsidRDefault="003A73EF">
      <w:pPr>
        <w:pStyle w:val="Zkladntext"/>
        <w:rPr>
          <w:sz w:val="26"/>
        </w:rPr>
      </w:pPr>
    </w:p>
    <w:p w:rsidR="003A73EF" w:rsidRDefault="003A73EF">
      <w:pPr>
        <w:pStyle w:val="Zkladntext"/>
        <w:rPr>
          <w:sz w:val="26"/>
        </w:rPr>
      </w:pPr>
    </w:p>
    <w:p w:rsidR="003A73EF" w:rsidRDefault="003A73EF">
      <w:pPr>
        <w:pStyle w:val="Zkladntext"/>
        <w:spacing w:before="9"/>
        <w:rPr>
          <w:sz w:val="20"/>
        </w:rPr>
      </w:pPr>
    </w:p>
    <w:p w:rsidR="003A73EF" w:rsidRDefault="00D2585F">
      <w:pPr>
        <w:pStyle w:val="Zkladntext"/>
        <w:ind w:left="116"/>
      </w:pPr>
      <w:r>
        <w:t>Vypraveno d</w:t>
      </w:r>
      <w:r>
        <w:t>ne 14.11. 2022</w:t>
      </w:r>
    </w:p>
    <w:sectPr w:rsidR="003A73EF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99D"/>
    <w:multiLevelType w:val="hybridMultilevel"/>
    <w:tmpl w:val="A38A5D44"/>
    <w:lvl w:ilvl="0" w:tplc="7ADCD17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FAD130"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64320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66E85CC8"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CE042E48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0F00F3B4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C194D8A8"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4C0E1666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8ECEE360"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" w15:restartNumberingAfterBreak="0">
    <w:nsid w:val="64E1559A"/>
    <w:multiLevelType w:val="hybridMultilevel"/>
    <w:tmpl w:val="6874C26C"/>
    <w:lvl w:ilvl="0" w:tplc="56101236">
      <w:start w:val="1"/>
      <w:numFmt w:val="decimal"/>
      <w:lvlText w:val="%1"/>
      <w:lvlJc w:val="left"/>
      <w:pPr>
        <w:ind w:left="456" w:hanging="341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1C6CC4BC"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FA6830C8">
      <w:numFmt w:val="bullet"/>
      <w:lvlText w:val="•"/>
      <w:lvlJc w:val="left"/>
      <w:pPr>
        <w:ind w:left="2229" w:hanging="341"/>
      </w:pPr>
      <w:rPr>
        <w:rFonts w:hint="default"/>
      </w:rPr>
    </w:lvl>
    <w:lvl w:ilvl="3" w:tplc="DF5E93EA"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DB22268A">
      <w:numFmt w:val="bullet"/>
      <w:lvlText w:val="•"/>
      <w:lvlJc w:val="left"/>
      <w:pPr>
        <w:ind w:left="3998" w:hanging="341"/>
      </w:pPr>
      <w:rPr>
        <w:rFonts w:hint="default"/>
      </w:rPr>
    </w:lvl>
    <w:lvl w:ilvl="5" w:tplc="0360E7BC">
      <w:numFmt w:val="bullet"/>
      <w:lvlText w:val="•"/>
      <w:lvlJc w:val="left"/>
      <w:pPr>
        <w:ind w:left="4883" w:hanging="341"/>
      </w:pPr>
      <w:rPr>
        <w:rFonts w:hint="default"/>
      </w:rPr>
    </w:lvl>
    <w:lvl w:ilvl="6" w:tplc="CD98E3AA">
      <w:numFmt w:val="bullet"/>
      <w:lvlText w:val="•"/>
      <w:lvlJc w:val="left"/>
      <w:pPr>
        <w:ind w:left="5767" w:hanging="341"/>
      </w:pPr>
      <w:rPr>
        <w:rFonts w:hint="default"/>
      </w:rPr>
    </w:lvl>
    <w:lvl w:ilvl="7" w:tplc="A4585AB2">
      <w:numFmt w:val="bullet"/>
      <w:lvlText w:val="•"/>
      <w:lvlJc w:val="left"/>
      <w:pPr>
        <w:ind w:left="6652" w:hanging="341"/>
      </w:pPr>
      <w:rPr>
        <w:rFonts w:hint="default"/>
      </w:rPr>
    </w:lvl>
    <w:lvl w:ilvl="8" w:tplc="C4F0CE26">
      <w:numFmt w:val="bullet"/>
      <w:lvlText w:val="•"/>
      <w:lvlJc w:val="left"/>
      <w:pPr>
        <w:ind w:left="7537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73EF"/>
    <w:rsid w:val="003A73EF"/>
    <w:rsid w:val="00D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849042"/>
  <w15:docId w15:val="{D771B353-807E-4509-9BBD-5115FE4F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rFonts w:ascii="Myriad Pro" w:eastAsia="Myriad Pro" w:hAnsi="Myriad Pro" w:cs="Myriad Pro"/>
      <w:sz w:val="34"/>
      <w:szCs w:val="34"/>
    </w:rPr>
  </w:style>
  <w:style w:type="paragraph" w:styleId="Nadpis2">
    <w:name w:val="heading 2"/>
    <w:basedOn w:val="Normln"/>
    <w:uiPriority w:val="1"/>
    <w:qFormat/>
    <w:pPr>
      <w:ind w:left="3535" w:right="353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right="114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1963</Words>
  <Characters>11193</Characters>
  <Application>Microsoft Office Word</Application>
  <DocSecurity>0</DocSecurity>
  <Lines>93</Lines>
  <Paragraphs>26</Paragraphs>
  <ScaleCrop>false</ScaleCrop>
  <Company>FZU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Uchytil Jakub</dc:creator>
  <cp:lastModifiedBy>Radek Toman</cp:lastModifiedBy>
  <cp:revision>2</cp:revision>
  <dcterms:created xsi:type="dcterms:W3CDTF">2022-12-20T14:56:00Z</dcterms:created>
  <dcterms:modified xsi:type="dcterms:W3CDTF">2022-12-20T13:59:00Z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2022-12-20T00:00:00Z</vt:filetime>
  </property>
</Properties>
</file>