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A3" w:rsidRDefault="007F7F78">
      <w:pPr>
        <w:spacing w:after="435" w:line="259" w:lineRule="auto"/>
        <w:ind w:left="-8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5608" cy="682752"/>
                <wp:effectExtent l="0" t="0" r="0" b="0"/>
                <wp:docPr id="4520" name="Group 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608" cy="682752"/>
                          <a:chOff x="0" y="0"/>
                          <a:chExt cx="6515608" cy="682752"/>
                        </a:xfrm>
                      </wpg:grpSpPr>
                      <pic:pic xmlns:pic="http://schemas.openxmlformats.org/drawingml/2006/picture">
                        <pic:nvPicPr>
                          <pic:cNvPr id="4517" name="Picture 4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75528" y="39624"/>
                            <a:ext cx="640080" cy="643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3929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0" style="width:513.04pt;height:53.76pt;mso-position-horizontal-relative:char;mso-position-vertical-relative:line" coordsize="65156,6827">
                <v:shape id="Picture 4517" style="position:absolute;width:6400;height:6431;left:58755;top:396;" filled="f">
                  <v:imagedata r:id="rId7"/>
                </v:shape>
                <v:shape id="Picture 438" style="position:absolute;width:11938;height:3929;left:0;top:0;" filled="f">
                  <v:imagedata r:id="rId8"/>
                </v:shape>
              </v:group>
            </w:pict>
          </mc:Fallback>
        </mc:AlternateContent>
      </w:r>
    </w:p>
    <w:p w:rsidR="004F45A3" w:rsidRDefault="007F7F78">
      <w:pPr>
        <w:pStyle w:val="Nadpis1"/>
        <w:ind w:left="-5"/>
      </w:pPr>
      <w:r>
        <w:t>PŘÍLOHA RÁMCOVÉ SMLOUVY SPECIFIKACE - PLATEBNÍ ÚČET, INDIVIDUÁLNÍ PODMÍNKY</w:t>
      </w:r>
    </w:p>
    <w:tbl>
      <w:tblPr>
        <w:tblStyle w:val="TableGrid"/>
        <w:tblW w:w="9600" w:type="dxa"/>
        <w:tblInd w:w="0" w:type="dxa"/>
        <w:tblCellMar>
          <w:top w:w="52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7000"/>
      </w:tblGrid>
      <w:tr w:rsidR="004F45A3">
        <w:trPr>
          <w:trHeight w:val="320"/>
        </w:trPr>
        <w:tc>
          <w:tcPr>
            <w:tcW w:w="2600" w:type="dxa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7F7F78">
            <w:pPr>
              <w:spacing w:after="0" w:line="259" w:lineRule="auto"/>
              <w:ind w:left="0" w:firstLine="0"/>
            </w:pPr>
            <w:r>
              <w:rPr>
                <w:b/>
              </w:rPr>
              <w:t>Klient</w:t>
            </w:r>
          </w:p>
        </w:tc>
        <w:tc>
          <w:tcPr>
            <w:tcW w:w="7000" w:type="dxa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</w:tr>
      <w:tr w:rsidR="004F45A3">
        <w:trPr>
          <w:trHeight w:val="320"/>
        </w:trPr>
        <w:tc>
          <w:tcPr>
            <w:tcW w:w="26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Název:</w:t>
            </w:r>
          </w:p>
        </w:tc>
        <w:tc>
          <w:tcPr>
            <w:tcW w:w="70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Zlínský kraj</w:t>
            </w:r>
          </w:p>
        </w:tc>
      </w:tr>
      <w:tr w:rsidR="004F45A3">
        <w:trPr>
          <w:trHeight w:val="320"/>
        </w:trPr>
        <w:tc>
          <w:tcPr>
            <w:tcW w:w="26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IČ:</w:t>
            </w:r>
          </w:p>
        </w:tc>
        <w:tc>
          <w:tcPr>
            <w:tcW w:w="70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70891320</w:t>
            </w:r>
          </w:p>
        </w:tc>
      </w:tr>
    </w:tbl>
    <w:p w:rsidR="004F45A3" w:rsidRDefault="007F7F78">
      <w:pPr>
        <w:pStyle w:val="Nadpis2"/>
        <w:tabs>
          <w:tab w:val="center" w:pos="1277"/>
        </w:tabs>
        <w:ind w:left="-15" w:firstLine="0"/>
      </w:pPr>
      <w:r>
        <w:t>1.</w:t>
      </w:r>
      <w:r>
        <w:tab/>
        <w:t>Sjednané účty</w:t>
      </w:r>
    </w:p>
    <w:p w:rsidR="004F45A3" w:rsidRDefault="007F7F78">
      <w:pPr>
        <w:tabs>
          <w:tab w:val="center" w:pos="4283"/>
        </w:tabs>
        <w:ind w:left="-15" w:firstLine="0"/>
      </w:pPr>
      <w:r>
        <w:t>1.1</w:t>
      </w:r>
      <w:r>
        <w:tab/>
        <w:t>Podmínky uvedené v této příloze se uplatní pouze ve vztahu k následujícím Účtům:</w:t>
      </w:r>
    </w:p>
    <w:tbl>
      <w:tblPr>
        <w:tblStyle w:val="TableGrid"/>
        <w:tblW w:w="9600" w:type="dxa"/>
        <w:tblInd w:w="0" w:type="dxa"/>
        <w:tblCellMar>
          <w:top w:w="52" w:type="dxa"/>
          <w:left w:w="4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800"/>
        <w:gridCol w:w="3100"/>
        <w:gridCol w:w="2800"/>
      </w:tblGrid>
      <w:tr w:rsidR="004F45A3">
        <w:trPr>
          <w:trHeight w:val="320"/>
        </w:trPr>
        <w:tc>
          <w:tcPr>
            <w:tcW w:w="900" w:type="dxa"/>
            <w:tcBorders>
              <w:top w:val="single" w:sz="18" w:space="0" w:color="B06F41"/>
              <w:left w:val="nil"/>
              <w:bottom w:val="single" w:sz="4" w:space="0" w:color="B06F41"/>
              <w:right w:val="single" w:sz="4" w:space="0" w:color="B06F41"/>
            </w:tcBorders>
            <w:shd w:val="clear" w:color="auto" w:fill="D8D8D8"/>
          </w:tcPr>
          <w:p w:rsidR="004F45A3" w:rsidRDefault="007F7F78">
            <w:pPr>
              <w:spacing w:after="0" w:line="259" w:lineRule="auto"/>
              <w:ind w:left="154" w:firstLine="0"/>
            </w:pPr>
            <w:r>
              <w:rPr>
                <w:b/>
              </w:rPr>
              <w:t>Měna</w:t>
            </w:r>
          </w:p>
        </w:tc>
        <w:tc>
          <w:tcPr>
            <w:tcW w:w="2800" w:type="dxa"/>
            <w:tcBorders>
              <w:top w:val="single" w:sz="18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  <w:shd w:val="clear" w:color="auto" w:fill="D8D8D8"/>
          </w:tcPr>
          <w:p w:rsidR="004F45A3" w:rsidRDefault="007F7F78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>Číslo účtu / Kód banky</w:t>
            </w:r>
          </w:p>
        </w:tc>
        <w:tc>
          <w:tcPr>
            <w:tcW w:w="3100" w:type="dxa"/>
            <w:tcBorders>
              <w:top w:val="single" w:sz="18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  <w:shd w:val="clear" w:color="auto" w:fill="D8D8D8"/>
          </w:tcPr>
          <w:p w:rsidR="004F45A3" w:rsidRDefault="007F7F78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>Číslo účtu IBAN</w:t>
            </w:r>
          </w:p>
        </w:tc>
        <w:tc>
          <w:tcPr>
            <w:tcW w:w="2800" w:type="dxa"/>
            <w:tcBorders>
              <w:top w:val="single" w:sz="18" w:space="0" w:color="B06F41"/>
              <w:left w:val="single" w:sz="4" w:space="0" w:color="B06F41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7F7F78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>Účet zřízen ke dni</w:t>
            </w:r>
          </w:p>
        </w:tc>
      </w:tr>
      <w:tr w:rsidR="004F45A3">
        <w:trPr>
          <w:trHeight w:val="320"/>
        </w:trPr>
        <w:tc>
          <w:tcPr>
            <w:tcW w:w="9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210" w:firstLine="0"/>
            </w:pPr>
            <w:r>
              <w:t>CZK</w:t>
            </w:r>
          </w:p>
        </w:tc>
        <w:tc>
          <w:tcPr>
            <w:tcW w:w="28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0730090001 / 6000</w:t>
            </w:r>
          </w:p>
        </w:tc>
        <w:tc>
          <w:tcPr>
            <w:tcW w:w="31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  <w:jc w:val="both"/>
            </w:pPr>
            <w:r>
              <w:t>CZ30 6000 0000 0007 3009 0001</w:t>
            </w:r>
          </w:p>
        </w:tc>
        <w:tc>
          <w:tcPr>
            <w:tcW w:w="28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7F7F78">
            <w:pPr>
              <w:spacing w:after="0" w:line="259" w:lineRule="auto"/>
              <w:ind w:left="30" w:firstLine="0"/>
              <w:jc w:val="center"/>
            </w:pPr>
            <w:r>
              <w:t>16. 7. 2010</w:t>
            </w:r>
          </w:p>
        </w:tc>
      </w:tr>
    </w:tbl>
    <w:p w:rsidR="004F45A3" w:rsidRDefault="007F7F78">
      <w:pPr>
        <w:pStyle w:val="Nadpis2"/>
        <w:tabs>
          <w:tab w:val="center" w:pos="1183"/>
        </w:tabs>
        <w:ind w:left="-15" w:firstLine="0"/>
      </w:pPr>
      <w:r>
        <w:t>2.</w:t>
      </w:r>
      <w:r>
        <w:tab/>
        <w:t>Výpis z účtu</w:t>
      </w:r>
    </w:p>
    <w:p w:rsidR="004F45A3" w:rsidRDefault="007F7F78">
      <w:pPr>
        <w:spacing w:after="452"/>
        <w:ind w:left="-5"/>
      </w:pPr>
      <w:r>
        <w:t>Banka informuje Klienta o zúčtování plateb výpisem z Účtu ve frekvenci a způsobem sjednaným přílohou Rámcové smlouvy - Doručování dokumentů.</w:t>
      </w:r>
    </w:p>
    <w:p w:rsidR="004F45A3" w:rsidRDefault="007F7F78">
      <w:pPr>
        <w:pStyle w:val="Nadpis2"/>
        <w:tabs>
          <w:tab w:val="center" w:pos="1305"/>
        </w:tabs>
        <w:ind w:left="-15" w:firstLine="0"/>
      </w:pPr>
      <w:r>
        <w:t>3.</w:t>
      </w:r>
      <w:r>
        <w:tab/>
        <w:t>Úroková sazba</w:t>
      </w:r>
    </w:p>
    <w:p w:rsidR="004F45A3" w:rsidRDefault="007F7F78">
      <w:pPr>
        <w:numPr>
          <w:ilvl w:val="0"/>
          <w:numId w:val="1"/>
        </w:numPr>
        <w:spacing w:after="86"/>
        <w:ind w:hanging="600"/>
      </w:pPr>
      <w:r>
        <w:t>Peněžní prostředky na výše uvedených Účtech jsou úročeny individuální úrokovou sazbou.</w:t>
      </w:r>
    </w:p>
    <w:p w:rsidR="004F45A3" w:rsidRDefault="007F7F78">
      <w:pPr>
        <w:numPr>
          <w:ilvl w:val="0"/>
          <w:numId w:val="1"/>
        </w:numPr>
        <w:spacing w:after="67" w:line="243" w:lineRule="auto"/>
        <w:ind w:hanging="600"/>
      </w:pPr>
      <w:r>
        <w:t>Banka je op</w:t>
      </w:r>
      <w:r>
        <w:t>rávněna níže uvedené úrokové sazby kdykoli jednostranně změnit. Banka změnu úrokových sazeb oznámí Klientovi zasláním Oznámení o změně úrokových sazeb. Změny úrokových sazeb jsou účinné ve vztahu k příslušným Účtům ode dne stanoveného v Oznámení.</w:t>
      </w:r>
    </w:p>
    <w:p w:rsidR="004F45A3" w:rsidRDefault="007F7F78">
      <w:pPr>
        <w:numPr>
          <w:ilvl w:val="0"/>
          <w:numId w:val="1"/>
        </w:numPr>
        <w:spacing w:after="62"/>
        <w:ind w:hanging="600"/>
      </w:pPr>
      <w:r>
        <w:t xml:space="preserve">Banka je </w:t>
      </w:r>
      <w:r>
        <w:t>oprávněna níže uvedené úrokové sazby kdykoli ukončit. Banka ukončení úrokových sazeb oznámí Klientovi zasláním Oznámení o změně úrokových sazeb. Ode dne stanoveného v oznámení budou Účty úročeny dle aktuálního Přehledu úrokových sazeb.</w:t>
      </w:r>
    </w:p>
    <w:p w:rsidR="004F45A3" w:rsidRDefault="007F7F78">
      <w:pPr>
        <w:numPr>
          <w:ilvl w:val="0"/>
          <w:numId w:val="1"/>
        </w:numPr>
        <w:spacing w:after="86"/>
        <w:ind w:hanging="600"/>
      </w:pPr>
      <w:r>
        <w:t xml:space="preserve">Úroky se zúčtují ve </w:t>
      </w:r>
      <w:r>
        <w:t>prospěch nebo na vrub příslušného účtu.</w:t>
      </w:r>
    </w:p>
    <w:p w:rsidR="004F45A3" w:rsidRDefault="007F7F78">
      <w:pPr>
        <w:numPr>
          <w:ilvl w:val="0"/>
          <w:numId w:val="1"/>
        </w:numPr>
        <w:ind w:hanging="600"/>
      </w:pPr>
      <w:r>
        <w:t>Sjednané úrokové sazby</w:t>
      </w:r>
    </w:p>
    <w:tbl>
      <w:tblPr>
        <w:tblStyle w:val="TableGrid"/>
        <w:tblW w:w="9600" w:type="dxa"/>
        <w:tblInd w:w="0" w:type="dxa"/>
        <w:tblCellMar>
          <w:top w:w="5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2762"/>
        <w:gridCol w:w="5838"/>
      </w:tblGrid>
      <w:tr w:rsidR="004F45A3">
        <w:trPr>
          <w:trHeight w:val="320"/>
        </w:trPr>
        <w:tc>
          <w:tcPr>
            <w:tcW w:w="1000" w:type="dxa"/>
            <w:tcBorders>
              <w:top w:val="single" w:sz="18" w:space="0" w:color="B06F41"/>
              <w:left w:val="nil"/>
              <w:bottom w:val="single" w:sz="4" w:space="0" w:color="B06F41"/>
              <w:right w:val="single" w:sz="4" w:space="0" w:color="B06F41"/>
            </w:tcBorders>
            <w:shd w:val="clear" w:color="auto" w:fill="D8D8D8"/>
          </w:tcPr>
          <w:p w:rsidR="004F45A3" w:rsidRDefault="007F7F78">
            <w:pPr>
              <w:spacing w:after="0" w:line="259" w:lineRule="auto"/>
              <w:ind w:left="244" w:firstLine="0"/>
            </w:pPr>
            <w:r>
              <w:rPr>
                <w:b/>
              </w:rPr>
              <w:t>Měna</w:t>
            </w:r>
          </w:p>
        </w:tc>
        <w:tc>
          <w:tcPr>
            <w:tcW w:w="2762" w:type="dxa"/>
            <w:tcBorders>
              <w:top w:val="single" w:sz="18" w:space="0" w:color="B06F41"/>
              <w:left w:val="single" w:sz="4" w:space="0" w:color="B06F41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  <w:tc>
          <w:tcPr>
            <w:tcW w:w="5838" w:type="dxa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7F7F7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Kreditní úroková sazba (% p. </w:t>
            </w:r>
            <w:proofErr w:type="gramStart"/>
            <w:r>
              <w:rPr>
                <w:b/>
              </w:rPr>
              <w:t>a. )</w:t>
            </w:r>
            <w:proofErr w:type="gramEnd"/>
          </w:p>
        </w:tc>
      </w:tr>
      <w:tr w:rsidR="004F45A3">
        <w:trPr>
          <w:trHeight w:val="320"/>
        </w:trPr>
        <w:tc>
          <w:tcPr>
            <w:tcW w:w="10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115" w:firstLine="0"/>
              <w:jc w:val="center"/>
            </w:pPr>
            <w:r>
              <w:t>CZK</w:t>
            </w:r>
          </w:p>
        </w:tc>
        <w:tc>
          <w:tcPr>
            <w:tcW w:w="2762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7F7F78">
            <w:pPr>
              <w:spacing w:after="0" w:line="259" w:lineRule="auto"/>
              <w:ind w:left="40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5838" w:type="dxa"/>
            <w:tcBorders>
              <w:top w:val="single" w:sz="4" w:space="0" w:color="B06F41"/>
              <w:left w:val="nil"/>
              <w:bottom w:val="single" w:sz="4" w:space="0" w:color="B06F41"/>
              <w:right w:val="nil"/>
            </w:tcBorders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</w:tr>
    </w:tbl>
    <w:p w:rsidR="004F45A3" w:rsidRDefault="007F7F78">
      <w:pPr>
        <w:ind w:left="-5"/>
      </w:pPr>
      <w:r>
        <w:t>Nepovolený debetní zůstatek Účtu je úročen dle aktuálního Přehledu úrokových sazeb.</w:t>
      </w:r>
    </w:p>
    <w:p w:rsidR="004F45A3" w:rsidRDefault="007F7F78">
      <w:pPr>
        <w:spacing w:after="327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96000" cy="6350"/>
                <wp:effectExtent l="0" t="0" r="0" b="0"/>
                <wp:docPr id="4332" name="Group 4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6350"/>
                          <a:chOff x="0" y="0"/>
                          <a:chExt cx="6096000" cy="6350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0"/>
                            <a:ext cx="609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06F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2" style="width:480pt;height:0.5pt;mso-position-horizontal-relative:char;mso-position-vertical-relative:line" coordsize="60960,63">
                <v:shape id="Shape 524" style="position:absolute;width:60960;height:0;left:0;top:0;" coordsize="6096000,0" path="m0,0l6096000,0">
                  <v:stroke weight="0.5pt" endcap="flat" joinstyle="miter" miterlimit="10" on="true" color="#b06f41"/>
                  <v:fill on="false" color="#000000" opacity="0"/>
                </v:shape>
              </v:group>
            </w:pict>
          </mc:Fallback>
        </mc:AlternateContent>
      </w:r>
    </w:p>
    <w:p w:rsidR="004F45A3" w:rsidRDefault="007F7F78">
      <w:pPr>
        <w:pStyle w:val="Nadpis2"/>
        <w:tabs>
          <w:tab w:val="center" w:pos="844"/>
        </w:tabs>
        <w:ind w:left="-15" w:firstLine="0"/>
      </w:pPr>
      <w:r>
        <w:t>4.</w:t>
      </w:r>
      <w:r>
        <w:tab/>
        <w:t>Ceny</w:t>
      </w:r>
    </w:p>
    <w:p w:rsidR="004F45A3" w:rsidRDefault="007F7F78">
      <w:pPr>
        <w:numPr>
          <w:ilvl w:val="0"/>
          <w:numId w:val="2"/>
        </w:numPr>
        <w:spacing w:after="51"/>
        <w:ind w:hanging="600"/>
      </w:pPr>
      <w:r>
        <w:t>Ceny za služby související s výše uvedenými Účty jsou účtovány ve výši sjednané Rámcovou smlouvou.</w:t>
      </w:r>
    </w:p>
    <w:p w:rsidR="004F45A3" w:rsidRDefault="007F7F78">
      <w:pPr>
        <w:numPr>
          <w:ilvl w:val="0"/>
          <w:numId w:val="2"/>
        </w:numPr>
        <w:spacing w:after="406"/>
        <w:ind w:hanging="600"/>
      </w:pPr>
      <w:r>
        <w:t>Ceny se zúčtují na vrub příslušného účtu.</w:t>
      </w:r>
    </w:p>
    <w:p w:rsidR="004F45A3" w:rsidRDefault="007F7F78">
      <w:pPr>
        <w:spacing w:after="1640" w:line="403" w:lineRule="auto"/>
        <w:ind w:left="-5" w:right="6012"/>
      </w:pPr>
      <w:r>
        <w:rPr>
          <w:b/>
          <w:color w:val="9B6239"/>
        </w:rPr>
        <w:t>5.</w:t>
      </w:r>
      <w:r>
        <w:rPr>
          <w:b/>
          <w:color w:val="9B6239"/>
        </w:rPr>
        <w:tab/>
        <w:t xml:space="preserve">Zvláštní ustanovení </w:t>
      </w:r>
      <w:r>
        <w:t>Nesjednáno.</w:t>
      </w:r>
    </w:p>
    <w:p w:rsidR="004F45A3" w:rsidRDefault="007F7F78">
      <w:pPr>
        <w:tabs>
          <w:tab w:val="right" w:pos="9600"/>
        </w:tabs>
        <w:spacing w:after="273" w:line="259" w:lineRule="auto"/>
        <w:ind w:left="0" w:right="-15" w:firstLine="0"/>
      </w:pPr>
      <w:r>
        <w:rPr>
          <w:sz w:val="14"/>
        </w:rPr>
        <w:t>1/2</w:t>
      </w:r>
      <w:r>
        <w:rPr>
          <w:sz w:val="14"/>
        </w:rPr>
        <w:tab/>
        <w:t>PUCET_IND_CZ_20220908</w:t>
      </w:r>
    </w:p>
    <w:p w:rsidR="004F45A3" w:rsidRDefault="007F7F78">
      <w:pPr>
        <w:spacing w:after="537"/>
        <w:ind w:left="-5"/>
      </w:pPr>
      <w:r>
        <w:lastRenderedPageBreak/>
        <w:t>Tato příloha nabývá platnosti a účinnosti dne .......................... a nahrazuje jakékoli dříve s Klientem sjednané podmínky vztahující se k výše uvedeným účtům.</w:t>
      </w:r>
    </w:p>
    <w:p w:rsidR="004F45A3" w:rsidRDefault="007F7F78">
      <w:pPr>
        <w:ind w:left="-5"/>
      </w:pPr>
      <w:r>
        <w:t>V Praze dne ......................</w:t>
      </w:r>
    </w:p>
    <w:tbl>
      <w:tblPr>
        <w:tblStyle w:val="TableGrid"/>
        <w:tblW w:w="9600" w:type="dxa"/>
        <w:tblInd w:w="0" w:type="dxa"/>
        <w:tblCellMar>
          <w:top w:w="52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1200"/>
        <w:gridCol w:w="3600"/>
      </w:tblGrid>
      <w:tr w:rsidR="004F45A3">
        <w:trPr>
          <w:trHeight w:val="320"/>
        </w:trPr>
        <w:tc>
          <w:tcPr>
            <w:tcW w:w="4800" w:type="dxa"/>
            <w:gridSpan w:val="2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7F7F78">
            <w:pPr>
              <w:spacing w:after="0" w:line="259" w:lineRule="auto"/>
              <w:ind w:left="0" w:firstLine="0"/>
            </w:pPr>
            <w:r>
              <w:rPr>
                <w:b/>
              </w:rPr>
              <w:t>PPF banka a.s.</w:t>
            </w:r>
          </w:p>
        </w:tc>
        <w:tc>
          <w:tcPr>
            <w:tcW w:w="1200" w:type="dxa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  <w:tc>
          <w:tcPr>
            <w:tcW w:w="3600" w:type="dxa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</w:tr>
      <w:tr w:rsidR="004F45A3">
        <w:trPr>
          <w:trHeight w:val="54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  <w:vAlign w:val="center"/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Podpis: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  <w:vAlign w:val="center"/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Podpis: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</w:tr>
      <w:tr w:rsidR="004F45A3">
        <w:trPr>
          <w:trHeight w:val="32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Jméno: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Jméno: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proofErr w:type="spellStart"/>
            <w:r>
              <w:t>xxx</w:t>
            </w:r>
            <w:proofErr w:type="spellEnd"/>
          </w:p>
        </w:tc>
      </w:tr>
      <w:tr w:rsidR="004F45A3">
        <w:trPr>
          <w:trHeight w:val="32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Funkce: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Obchodní poradce - senior</w:t>
            </w: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Funkce: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Obchodní specialista</w:t>
            </w:r>
          </w:p>
        </w:tc>
      </w:tr>
    </w:tbl>
    <w:p w:rsidR="004F45A3" w:rsidRDefault="007F7F78">
      <w:pPr>
        <w:ind w:left="-5"/>
      </w:pPr>
      <w:r>
        <w:t>V Zlíně dne ......................</w:t>
      </w:r>
    </w:p>
    <w:tbl>
      <w:tblPr>
        <w:tblStyle w:val="TableGrid"/>
        <w:tblW w:w="9600" w:type="dxa"/>
        <w:tblInd w:w="0" w:type="dxa"/>
        <w:tblCellMar>
          <w:top w:w="52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1200"/>
        <w:gridCol w:w="3600"/>
      </w:tblGrid>
      <w:tr w:rsidR="004F45A3">
        <w:trPr>
          <w:trHeight w:val="320"/>
        </w:trPr>
        <w:tc>
          <w:tcPr>
            <w:tcW w:w="4800" w:type="dxa"/>
            <w:gridSpan w:val="2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7F7F78">
            <w:pPr>
              <w:spacing w:after="0" w:line="259" w:lineRule="auto"/>
              <w:ind w:left="0" w:firstLine="0"/>
            </w:pPr>
            <w:r>
              <w:rPr>
                <w:b/>
              </w:rPr>
              <w:t>Zlínský kraj</w:t>
            </w:r>
          </w:p>
        </w:tc>
        <w:tc>
          <w:tcPr>
            <w:tcW w:w="4800" w:type="dxa"/>
            <w:gridSpan w:val="2"/>
            <w:tcBorders>
              <w:top w:val="single" w:sz="18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4F45A3" w:rsidRDefault="004F45A3">
            <w:pPr>
              <w:spacing w:after="160" w:line="259" w:lineRule="auto"/>
              <w:ind w:left="0" w:firstLine="0"/>
            </w:pPr>
            <w:bookmarkStart w:id="0" w:name="_GoBack"/>
            <w:bookmarkEnd w:id="0"/>
          </w:p>
        </w:tc>
      </w:tr>
      <w:tr w:rsidR="004F45A3">
        <w:trPr>
          <w:trHeight w:val="54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  <w:vAlign w:val="center"/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Podpis: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  <w:vAlign w:val="center"/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Podpis: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</w:tr>
      <w:tr w:rsidR="004F45A3">
        <w:trPr>
          <w:trHeight w:val="32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Jméno: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Ing. Radim Holiš</w:t>
            </w: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Jméno: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</w:tr>
      <w:tr w:rsidR="004F45A3">
        <w:trPr>
          <w:trHeight w:val="320"/>
        </w:trPr>
        <w:tc>
          <w:tcPr>
            <w:tcW w:w="1200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Funkce: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Hejtman</w:t>
            </w:r>
          </w:p>
        </w:tc>
        <w:tc>
          <w:tcPr>
            <w:tcW w:w="12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4F45A3" w:rsidRDefault="007F7F78">
            <w:pPr>
              <w:spacing w:after="0" w:line="259" w:lineRule="auto"/>
              <w:ind w:left="0" w:firstLine="0"/>
            </w:pPr>
            <w:r>
              <w:t>Funkce:</w:t>
            </w:r>
          </w:p>
        </w:tc>
        <w:tc>
          <w:tcPr>
            <w:tcW w:w="360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4F45A3" w:rsidRDefault="004F45A3">
            <w:pPr>
              <w:spacing w:after="160" w:line="259" w:lineRule="auto"/>
              <w:ind w:left="0" w:firstLine="0"/>
            </w:pPr>
          </w:p>
        </w:tc>
      </w:tr>
    </w:tbl>
    <w:p w:rsidR="004F45A3" w:rsidRDefault="007F7F78">
      <w:pPr>
        <w:tabs>
          <w:tab w:val="right" w:pos="9600"/>
        </w:tabs>
        <w:spacing w:after="273" w:line="259" w:lineRule="auto"/>
        <w:ind w:left="0" w:right="-15" w:firstLine="0"/>
      </w:pPr>
      <w:r>
        <w:rPr>
          <w:sz w:val="14"/>
        </w:rPr>
        <w:t>2/2</w:t>
      </w:r>
      <w:r>
        <w:rPr>
          <w:sz w:val="14"/>
        </w:rPr>
        <w:tab/>
      </w:r>
      <w:r>
        <w:rPr>
          <w:sz w:val="14"/>
        </w:rPr>
        <w:t>PUCET_IND_CZ_20220908</w:t>
      </w:r>
    </w:p>
    <w:sectPr w:rsidR="004F45A3">
      <w:pgSz w:w="11900" w:h="16840"/>
      <w:pgMar w:top="760" w:right="700" w:bottom="741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6DA"/>
    <w:multiLevelType w:val="hybridMultilevel"/>
    <w:tmpl w:val="E2D2194A"/>
    <w:lvl w:ilvl="0" w:tplc="721AD78E">
      <w:start w:val="1"/>
      <w:numFmt w:val="lowerLetter"/>
      <w:lvlText w:val="(%1)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0C6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C202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DE82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92DE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ACA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66E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0C54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E2D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0C6F84"/>
    <w:multiLevelType w:val="hybridMultilevel"/>
    <w:tmpl w:val="E670E8A4"/>
    <w:lvl w:ilvl="0" w:tplc="82C66BF8">
      <w:start w:val="1"/>
      <w:numFmt w:val="lowerLetter"/>
      <w:lvlText w:val="(%1)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6E5A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3067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A4A0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F60D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63F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898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22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E48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A3"/>
    <w:rsid w:val="004F45A3"/>
    <w:rsid w:val="007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7824"/>
  <w15:docId w15:val="{09F2CC6B-3F74-4698-8F52-B60D56C4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2C5A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8"/>
      <w:ind w:left="10" w:hanging="10"/>
      <w:outlineLvl w:val="1"/>
    </w:pPr>
    <w:rPr>
      <w:rFonts w:ascii="Arial" w:eastAsia="Arial" w:hAnsi="Arial" w:cs="Arial"/>
      <w:b/>
      <w:color w:val="9B623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9B6239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2C5A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>PPFBanka,240962</cp:keywords>
  <cp:lastModifiedBy>Němcová Petra</cp:lastModifiedBy>
  <cp:revision>2</cp:revision>
  <dcterms:created xsi:type="dcterms:W3CDTF">2022-12-21T13:06:00Z</dcterms:created>
  <dcterms:modified xsi:type="dcterms:W3CDTF">2022-12-21T13:06:00Z</dcterms:modified>
</cp:coreProperties>
</file>