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818" w:rsidRPr="002F420A" w:rsidRDefault="00176818" w:rsidP="00176818">
      <w:pPr>
        <w:tabs>
          <w:tab w:val="right" w:pos="9638"/>
        </w:tabs>
        <w:spacing w:after="0"/>
        <w:jc w:val="right"/>
        <w:rPr>
          <w:rFonts w:ascii="Arial" w:hAnsi="Arial" w:cs="Arial"/>
        </w:rPr>
      </w:pPr>
      <w:r w:rsidRPr="00176818">
        <w:rPr>
          <w:rFonts w:ascii="Arial" w:hAnsi="Arial" w:cs="Arial"/>
        </w:rPr>
        <w:t>Ev. číslo: 22/334-0</w:t>
      </w:r>
    </w:p>
    <w:p w:rsidR="00176818" w:rsidRPr="008C0FF6" w:rsidRDefault="00176818" w:rsidP="00176818">
      <w:pPr>
        <w:tabs>
          <w:tab w:val="right" w:pos="9638"/>
        </w:tabs>
        <w:spacing w:after="240"/>
        <w:jc w:val="right"/>
        <w:rPr>
          <w:rFonts w:ascii="Arial" w:hAnsi="Arial" w:cs="Arial"/>
        </w:rPr>
      </w:pPr>
      <w:r>
        <w:rPr>
          <w:rFonts w:ascii="Arial" w:hAnsi="Arial" w:cs="Arial"/>
          <w:spacing w:val="1"/>
        </w:rPr>
        <w:t>Čj. 31166/</w:t>
      </w:r>
      <w:r w:rsidRPr="004B08DA">
        <w:rPr>
          <w:rFonts w:ascii="Arial" w:hAnsi="Arial" w:cs="Arial"/>
          <w:spacing w:val="1"/>
        </w:rPr>
        <w:t>202</w:t>
      </w:r>
      <w:r>
        <w:rPr>
          <w:rFonts w:ascii="Arial" w:hAnsi="Arial" w:cs="Arial"/>
          <w:spacing w:val="1"/>
        </w:rPr>
        <w:t>2</w:t>
      </w:r>
      <w:r w:rsidRPr="004B08DA">
        <w:rPr>
          <w:rFonts w:ascii="Arial" w:hAnsi="Arial" w:cs="Arial"/>
          <w:spacing w:val="1"/>
        </w:rPr>
        <w:t>-UVCR</w:t>
      </w:r>
      <w:r w:rsidRPr="008C0FF6">
        <w:rPr>
          <w:rFonts w:ascii="Arial" w:hAnsi="Arial" w:cs="Arial"/>
          <w:spacing w:val="1"/>
        </w:rPr>
        <w:t>-</w:t>
      </w:r>
      <w:r>
        <w:rPr>
          <w:rFonts w:ascii="Arial" w:hAnsi="Arial" w:cs="Arial"/>
          <w:spacing w:val="1"/>
        </w:rPr>
        <w:t>14</w:t>
      </w:r>
    </w:p>
    <w:p w:rsidR="00176818" w:rsidRPr="00333F06" w:rsidRDefault="00176818" w:rsidP="00176818">
      <w:pPr>
        <w:keepNext/>
        <w:spacing w:before="240" w:after="240"/>
        <w:jc w:val="center"/>
        <w:outlineLvl w:val="0"/>
        <w:rPr>
          <w:rFonts w:ascii="Arial" w:eastAsia="Times New Roman" w:hAnsi="Arial" w:cs="Arial"/>
          <w:b/>
          <w:bCs/>
          <w:caps/>
          <w:kern w:val="32"/>
          <w:sz w:val="28"/>
          <w:szCs w:val="28"/>
          <w:lang w:eastAsia="x-none"/>
        </w:rPr>
      </w:pPr>
      <w:r w:rsidRPr="00333F06">
        <w:rPr>
          <w:rFonts w:ascii="Arial" w:eastAsia="Times New Roman" w:hAnsi="Arial" w:cs="Arial"/>
          <w:b/>
          <w:bCs/>
          <w:caps/>
          <w:kern w:val="32"/>
          <w:sz w:val="28"/>
          <w:szCs w:val="28"/>
          <w:lang w:eastAsia="x-none"/>
        </w:rPr>
        <w:t>s</w:t>
      </w:r>
      <w:r w:rsidRPr="00333F06">
        <w:rPr>
          <w:rFonts w:ascii="Arial" w:eastAsia="Times New Roman" w:hAnsi="Arial" w:cs="Arial"/>
          <w:b/>
          <w:bCs/>
          <w:caps/>
          <w:kern w:val="32"/>
          <w:sz w:val="28"/>
          <w:szCs w:val="28"/>
          <w:lang w:val="x-none" w:eastAsia="x-none"/>
        </w:rPr>
        <w:t>mlouva</w:t>
      </w:r>
      <w:r w:rsidRPr="00333F06">
        <w:rPr>
          <w:rFonts w:ascii="Arial" w:eastAsia="Times New Roman" w:hAnsi="Arial" w:cs="Arial"/>
          <w:b/>
          <w:bCs/>
          <w:caps/>
          <w:kern w:val="32"/>
          <w:sz w:val="28"/>
          <w:szCs w:val="28"/>
          <w:lang w:eastAsia="x-none"/>
        </w:rPr>
        <w:t xml:space="preserve"> o </w:t>
      </w:r>
      <w:r>
        <w:rPr>
          <w:rFonts w:ascii="Arial" w:eastAsia="Times New Roman" w:hAnsi="Arial" w:cs="Arial"/>
          <w:b/>
          <w:bCs/>
          <w:caps/>
          <w:kern w:val="32"/>
          <w:sz w:val="28"/>
          <w:szCs w:val="28"/>
          <w:lang w:eastAsia="x-none"/>
        </w:rPr>
        <w:t>dílo</w:t>
      </w:r>
      <w:r w:rsidRPr="00333F06">
        <w:rPr>
          <w:rFonts w:ascii="Arial" w:eastAsia="Times New Roman" w:hAnsi="Arial" w:cs="Arial"/>
          <w:b/>
          <w:bCs/>
          <w:caps/>
          <w:kern w:val="32"/>
          <w:sz w:val="28"/>
          <w:szCs w:val="28"/>
          <w:lang w:eastAsia="x-none"/>
        </w:rPr>
        <w:t xml:space="preserve"> </w:t>
      </w:r>
    </w:p>
    <w:p w:rsidR="00176818" w:rsidRPr="00333F06" w:rsidRDefault="00176818" w:rsidP="00176818">
      <w:pPr>
        <w:keepNext/>
        <w:spacing w:before="240" w:after="240"/>
        <w:jc w:val="center"/>
        <w:outlineLvl w:val="0"/>
        <w:rPr>
          <w:rFonts w:ascii="Arial" w:eastAsia="Times New Roman" w:hAnsi="Arial" w:cs="Arial"/>
          <w:bCs/>
          <w:kern w:val="32"/>
          <w:sz w:val="28"/>
          <w:szCs w:val="28"/>
          <w:lang w:val="x-none" w:eastAsia="x-none"/>
        </w:rPr>
      </w:pPr>
      <w:r w:rsidRPr="00333F06">
        <w:rPr>
          <w:rFonts w:ascii="Arial" w:eastAsia="Times New Roman" w:hAnsi="Arial" w:cs="Arial"/>
          <w:b/>
          <w:bCs/>
          <w:kern w:val="32"/>
          <w:sz w:val="28"/>
          <w:szCs w:val="28"/>
          <w:lang w:val="x-none" w:eastAsia="x-none"/>
        </w:rPr>
        <w:t>„</w:t>
      </w:r>
      <w:r w:rsidRPr="0065467C">
        <w:rPr>
          <w:rFonts w:ascii="Arial" w:eastAsia="Times New Roman" w:hAnsi="Arial" w:cs="Arial"/>
          <w:b/>
          <w:bCs/>
          <w:kern w:val="32"/>
          <w:sz w:val="28"/>
          <w:szCs w:val="28"/>
          <w:lang w:eastAsia="x-none"/>
        </w:rPr>
        <w:t>Repase vstupních vrat v objektu Hrzánského paláce</w:t>
      </w:r>
      <w:r w:rsidRPr="00333F06">
        <w:rPr>
          <w:rFonts w:ascii="Arial" w:eastAsia="Times New Roman" w:hAnsi="Arial" w:cs="Arial"/>
          <w:b/>
          <w:bCs/>
          <w:kern w:val="32"/>
          <w:sz w:val="28"/>
          <w:szCs w:val="28"/>
          <w:lang w:val="x-none" w:eastAsia="x-none"/>
        </w:rPr>
        <w:t>“</w:t>
      </w:r>
    </w:p>
    <w:p w:rsidR="00176818" w:rsidRPr="00333F06" w:rsidRDefault="00176818" w:rsidP="00176818">
      <w:pPr>
        <w:spacing w:after="240"/>
        <w:jc w:val="center"/>
        <w:rPr>
          <w:rFonts w:ascii="Arial" w:eastAsia="Calibri" w:hAnsi="Arial" w:cs="Arial"/>
        </w:rPr>
      </w:pPr>
      <w:r w:rsidRPr="001F7EC9">
        <w:rPr>
          <w:rFonts w:ascii="Arial" w:hAnsi="Arial" w:cs="Arial"/>
        </w:rPr>
        <w:t>podle § 2586 a násl. zákona č. 89/2012 Sb., občanský zákoník, ve znění pozdějších předpisů</w:t>
      </w:r>
      <w:r w:rsidRPr="001F7EC9">
        <w:rPr>
          <w:rFonts w:ascii="Arial" w:hAnsi="Arial" w:cs="Arial"/>
        </w:rPr>
        <w:br/>
        <w:t>(dále jen „občanský zákoník“)</w:t>
      </w:r>
    </w:p>
    <w:p w:rsidR="00176818" w:rsidRPr="00333F06" w:rsidRDefault="00176818" w:rsidP="00176818">
      <w:pPr>
        <w:spacing w:before="240" w:after="240"/>
        <w:jc w:val="center"/>
        <w:rPr>
          <w:rFonts w:ascii="Arial" w:eastAsia="Calibri" w:hAnsi="Arial" w:cs="Arial"/>
          <w:b/>
        </w:rPr>
      </w:pPr>
      <w:r w:rsidRPr="00333F06">
        <w:rPr>
          <w:rFonts w:ascii="Arial" w:eastAsia="Calibri" w:hAnsi="Arial" w:cs="Arial"/>
          <w:b/>
        </w:rPr>
        <w:t>Smluvní strany</w:t>
      </w:r>
    </w:p>
    <w:p w:rsidR="00176818" w:rsidRPr="00333F06" w:rsidRDefault="00176818" w:rsidP="00176818">
      <w:pPr>
        <w:spacing w:before="240" w:after="240"/>
        <w:rPr>
          <w:rFonts w:ascii="Arial" w:eastAsia="Calibri" w:hAnsi="Arial" w:cs="Arial"/>
          <w:b/>
        </w:rPr>
      </w:pPr>
      <w:r w:rsidRPr="00333F06">
        <w:rPr>
          <w:rFonts w:ascii="Arial" w:eastAsia="Calibri" w:hAnsi="Arial" w:cs="Arial"/>
          <w:b/>
        </w:rPr>
        <w:t>Česká republika – Úřad vlády České republiky</w:t>
      </w:r>
    </w:p>
    <w:p w:rsidR="00176818" w:rsidRPr="00333F06" w:rsidRDefault="00176818" w:rsidP="00176818">
      <w:pPr>
        <w:spacing w:after="240"/>
        <w:ind w:left="2124" w:hanging="2124"/>
        <w:contextualSpacing/>
        <w:jc w:val="both"/>
        <w:rPr>
          <w:rFonts w:ascii="Arial" w:eastAsia="Calibri" w:hAnsi="Arial" w:cs="Arial"/>
        </w:rPr>
      </w:pPr>
      <w:r w:rsidRPr="00333F06">
        <w:rPr>
          <w:rFonts w:ascii="Arial" w:eastAsia="Calibri" w:hAnsi="Arial" w:cs="Arial"/>
        </w:rPr>
        <w:t>kterou zastupuje:</w:t>
      </w:r>
      <w:r w:rsidRPr="00333F06">
        <w:rPr>
          <w:rFonts w:ascii="Arial" w:eastAsia="Calibri" w:hAnsi="Arial" w:cs="Arial"/>
        </w:rPr>
        <w:tab/>
      </w:r>
      <w:r w:rsidRPr="0065467C">
        <w:rPr>
          <w:rFonts w:ascii="Arial" w:eastAsia="Calibri" w:hAnsi="Arial" w:cs="Arial"/>
        </w:rPr>
        <w:t>Ing. Tomáš Štainbruch, MBA, vedoucí Oddělení investic</w:t>
      </w:r>
      <w:r w:rsidRPr="00333F06">
        <w:rPr>
          <w:rFonts w:ascii="Arial" w:eastAsia="Calibri" w:hAnsi="Arial" w:cs="Arial"/>
        </w:rPr>
        <w:t>, na základě vnitřního předpisu</w:t>
      </w:r>
    </w:p>
    <w:p w:rsidR="00176818" w:rsidRPr="00333F06" w:rsidRDefault="00176818" w:rsidP="00176818">
      <w:pPr>
        <w:spacing w:after="240"/>
        <w:ind w:left="2124" w:hanging="2124"/>
        <w:contextualSpacing/>
        <w:jc w:val="both"/>
        <w:rPr>
          <w:rFonts w:ascii="Arial" w:eastAsia="Calibri" w:hAnsi="Arial" w:cs="Arial"/>
        </w:rPr>
      </w:pPr>
      <w:r w:rsidRPr="00333F06">
        <w:rPr>
          <w:rFonts w:ascii="Arial" w:eastAsia="Calibri" w:hAnsi="Arial" w:cs="Arial"/>
        </w:rPr>
        <w:t>kontaktní osoba:</w:t>
      </w:r>
      <w:r w:rsidRPr="00333F06">
        <w:rPr>
          <w:rFonts w:ascii="Arial" w:eastAsia="Calibri" w:hAnsi="Arial" w:cs="Arial"/>
        </w:rPr>
        <w:tab/>
      </w:r>
      <w:r w:rsidRPr="00176818">
        <w:rPr>
          <w:rFonts w:ascii="Arial" w:hAnsi="Arial" w:cs="Arial"/>
        </w:rPr>
        <w:t xml:space="preserve">Ing. </w:t>
      </w:r>
      <w:r w:rsidR="00776FAD">
        <w:rPr>
          <w:rFonts w:ascii="Arial" w:hAnsi="Arial" w:cs="Arial"/>
        </w:rPr>
        <w:t>Eva Tučková</w:t>
      </w:r>
      <w:r w:rsidRPr="00176818">
        <w:rPr>
          <w:rFonts w:ascii="Arial" w:hAnsi="Arial" w:cs="Arial"/>
        </w:rPr>
        <w:t xml:space="preserve">, </w:t>
      </w:r>
      <w:r w:rsidRPr="00176818">
        <w:rPr>
          <w:rFonts w:ascii="Arial" w:eastAsia="Calibri" w:hAnsi="Arial" w:cs="Arial"/>
        </w:rPr>
        <w:t xml:space="preserve">e-mail: </w:t>
      </w:r>
      <w:r w:rsidR="000334D1">
        <w:rPr>
          <w:rFonts w:ascii="Arial" w:hAnsi="Arial" w:cs="Arial"/>
        </w:rPr>
        <w:t>xxxxx</w:t>
      </w:r>
      <w:r w:rsidRPr="00176818">
        <w:rPr>
          <w:rFonts w:ascii="Arial" w:eastAsia="Calibri" w:hAnsi="Arial" w:cs="Arial"/>
        </w:rPr>
        <w:t xml:space="preserve">, tel.: </w:t>
      </w:r>
      <w:r w:rsidR="000334D1">
        <w:rPr>
          <w:rFonts w:ascii="Arial" w:hAnsi="Arial" w:cs="Arial"/>
        </w:rPr>
        <w:t>xxxxx</w:t>
      </w:r>
    </w:p>
    <w:p w:rsidR="00176818" w:rsidRPr="00333F06" w:rsidRDefault="00176818" w:rsidP="00176818">
      <w:pPr>
        <w:spacing w:after="240"/>
        <w:contextualSpacing/>
        <w:jc w:val="both"/>
        <w:rPr>
          <w:rFonts w:ascii="Arial" w:eastAsia="Calibri" w:hAnsi="Arial" w:cs="Arial"/>
        </w:rPr>
      </w:pPr>
      <w:r w:rsidRPr="00333F06">
        <w:rPr>
          <w:rFonts w:ascii="Arial" w:eastAsia="Calibri" w:hAnsi="Arial" w:cs="Arial"/>
        </w:rPr>
        <w:t>se sídlem:</w:t>
      </w:r>
      <w:r w:rsidRPr="00333F06">
        <w:rPr>
          <w:rFonts w:ascii="Arial" w:eastAsia="Calibri" w:hAnsi="Arial" w:cs="Arial"/>
        </w:rPr>
        <w:tab/>
      </w:r>
      <w:r w:rsidRPr="00333F06">
        <w:rPr>
          <w:rFonts w:ascii="Arial" w:eastAsia="Calibri" w:hAnsi="Arial" w:cs="Arial"/>
        </w:rPr>
        <w:tab/>
        <w:t>nábřeží Edvarda Beneše 128/4, 118 01 Praha 1 - Malá Strana</w:t>
      </w:r>
    </w:p>
    <w:p w:rsidR="00176818" w:rsidRPr="00333F06" w:rsidRDefault="00176818" w:rsidP="00176818">
      <w:pPr>
        <w:spacing w:after="240"/>
        <w:contextualSpacing/>
        <w:jc w:val="both"/>
        <w:rPr>
          <w:rFonts w:ascii="Arial" w:eastAsia="Calibri" w:hAnsi="Arial" w:cs="Arial"/>
          <w:snapToGrid w:val="0"/>
        </w:rPr>
      </w:pPr>
      <w:r w:rsidRPr="00333F06">
        <w:rPr>
          <w:rFonts w:ascii="Arial" w:eastAsia="Calibri" w:hAnsi="Arial" w:cs="Arial"/>
        </w:rPr>
        <w:t>IČO:</w:t>
      </w:r>
      <w:r w:rsidRPr="00333F06">
        <w:rPr>
          <w:rFonts w:ascii="Arial" w:eastAsia="Calibri" w:hAnsi="Arial" w:cs="Arial"/>
        </w:rPr>
        <w:tab/>
      </w:r>
      <w:r w:rsidRPr="00333F06">
        <w:rPr>
          <w:rFonts w:ascii="Arial" w:eastAsia="Calibri" w:hAnsi="Arial" w:cs="Arial"/>
        </w:rPr>
        <w:tab/>
      </w:r>
      <w:r w:rsidRPr="00333F06">
        <w:rPr>
          <w:rFonts w:ascii="Arial" w:eastAsia="Calibri" w:hAnsi="Arial" w:cs="Arial"/>
        </w:rPr>
        <w:tab/>
        <w:t>00006599</w:t>
      </w:r>
    </w:p>
    <w:p w:rsidR="00176818" w:rsidRPr="00333F06" w:rsidRDefault="00176818" w:rsidP="00176818">
      <w:pPr>
        <w:spacing w:after="240"/>
        <w:contextualSpacing/>
        <w:jc w:val="both"/>
        <w:rPr>
          <w:rFonts w:ascii="Arial" w:eastAsia="Calibri" w:hAnsi="Arial" w:cs="Arial"/>
        </w:rPr>
      </w:pPr>
      <w:r w:rsidRPr="00333F06">
        <w:rPr>
          <w:rFonts w:ascii="Arial" w:eastAsia="Calibri" w:hAnsi="Arial" w:cs="Arial"/>
          <w:snapToGrid w:val="0"/>
        </w:rPr>
        <w:t xml:space="preserve">DIČ: </w:t>
      </w:r>
      <w:r w:rsidRPr="00333F06">
        <w:rPr>
          <w:rFonts w:ascii="Arial" w:eastAsia="Calibri" w:hAnsi="Arial" w:cs="Arial"/>
          <w:snapToGrid w:val="0"/>
        </w:rPr>
        <w:tab/>
      </w:r>
      <w:r w:rsidRPr="00333F06">
        <w:rPr>
          <w:rFonts w:ascii="Arial" w:eastAsia="Calibri" w:hAnsi="Arial" w:cs="Arial"/>
          <w:snapToGrid w:val="0"/>
        </w:rPr>
        <w:tab/>
      </w:r>
      <w:r w:rsidRPr="00333F06">
        <w:rPr>
          <w:rFonts w:ascii="Arial" w:eastAsia="Calibri" w:hAnsi="Arial" w:cs="Arial"/>
          <w:snapToGrid w:val="0"/>
        </w:rPr>
        <w:tab/>
        <w:t>CZ00006599</w:t>
      </w:r>
    </w:p>
    <w:p w:rsidR="00176818" w:rsidRPr="00333F06" w:rsidRDefault="00176818" w:rsidP="00176818">
      <w:pPr>
        <w:spacing w:after="240"/>
        <w:jc w:val="both"/>
        <w:rPr>
          <w:rFonts w:ascii="Arial" w:eastAsia="Calibri" w:hAnsi="Arial" w:cs="Arial"/>
        </w:rPr>
      </w:pPr>
      <w:r w:rsidRPr="00333F06">
        <w:rPr>
          <w:rFonts w:ascii="Arial" w:eastAsia="Calibri" w:hAnsi="Arial" w:cs="Arial"/>
        </w:rPr>
        <w:t xml:space="preserve">bankovní spojení: </w:t>
      </w:r>
      <w:r w:rsidRPr="00333F06">
        <w:rPr>
          <w:rFonts w:ascii="Arial" w:eastAsia="Calibri" w:hAnsi="Arial" w:cs="Arial"/>
        </w:rPr>
        <w:tab/>
        <w:t>ČNB Praha, účet č.: 4320001/0710</w:t>
      </w:r>
    </w:p>
    <w:p w:rsidR="00176818" w:rsidRPr="00333F06" w:rsidRDefault="00176818" w:rsidP="00176818">
      <w:pPr>
        <w:spacing w:after="240"/>
        <w:rPr>
          <w:rFonts w:ascii="Arial" w:eastAsia="Calibri" w:hAnsi="Arial" w:cs="Arial"/>
        </w:rPr>
      </w:pPr>
      <w:r w:rsidRPr="00333F06">
        <w:rPr>
          <w:rFonts w:ascii="Arial" w:eastAsia="Calibri" w:hAnsi="Arial" w:cs="Arial"/>
        </w:rPr>
        <w:t>(dále jen „</w:t>
      </w:r>
      <w:r w:rsidRPr="00333F06">
        <w:rPr>
          <w:rFonts w:ascii="Arial" w:eastAsia="Calibri" w:hAnsi="Arial" w:cs="Arial"/>
          <w:b/>
        </w:rPr>
        <w:t>objednatel</w:t>
      </w:r>
      <w:r w:rsidRPr="00333F06">
        <w:rPr>
          <w:rFonts w:ascii="Arial" w:eastAsia="Calibri" w:hAnsi="Arial" w:cs="Arial"/>
        </w:rPr>
        <w:t>“)</w:t>
      </w:r>
    </w:p>
    <w:p w:rsidR="00176818" w:rsidRPr="00A66F08" w:rsidRDefault="00176818" w:rsidP="00176818">
      <w:pPr>
        <w:spacing w:after="240"/>
        <w:rPr>
          <w:rFonts w:ascii="Arial" w:hAnsi="Arial" w:cs="Arial"/>
        </w:rPr>
      </w:pPr>
      <w:r w:rsidRPr="00A66F08">
        <w:rPr>
          <w:rFonts w:ascii="Arial" w:hAnsi="Arial" w:cs="Arial"/>
        </w:rPr>
        <w:t>a</w:t>
      </w:r>
    </w:p>
    <w:p w:rsidR="00413C5D" w:rsidRPr="000B583C" w:rsidRDefault="00413C5D" w:rsidP="00413C5D">
      <w:pPr>
        <w:spacing w:after="240"/>
        <w:rPr>
          <w:rFonts w:ascii="Arial" w:eastAsia="Calibri" w:hAnsi="Arial" w:cs="Arial"/>
          <w:b/>
        </w:rPr>
      </w:pPr>
      <w:r w:rsidRPr="000B583C">
        <w:rPr>
          <w:rFonts w:ascii="Arial" w:eastAsia="Calibri" w:hAnsi="Arial" w:cs="Arial"/>
          <w:b/>
        </w:rPr>
        <w:t>KOZEL FENESTRA s.r.o.</w:t>
      </w:r>
    </w:p>
    <w:p w:rsidR="00413C5D" w:rsidRPr="00413C5D" w:rsidRDefault="00413C5D" w:rsidP="00413C5D">
      <w:pPr>
        <w:spacing w:after="240"/>
        <w:ind w:left="2127" w:hanging="2127"/>
        <w:contextualSpacing/>
        <w:rPr>
          <w:rFonts w:ascii="Arial" w:eastAsia="Calibri" w:hAnsi="Arial" w:cs="Arial"/>
        </w:rPr>
      </w:pPr>
      <w:r w:rsidRPr="00413C5D">
        <w:rPr>
          <w:rFonts w:ascii="Arial" w:eastAsia="Calibri" w:hAnsi="Arial" w:cs="Arial"/>
        </w:rPr>
        <w:t>kterou zastupuje:</w:t>
      </w:r>
      <w:r w:rsidRPr="00413C5D">
        <w:rPr>
          <w:rFonts w:ascii="Arial" w:eastAsia="Calibri" w:hAnsi="Arial" w:cs="Arial"/>
        </w:rPr>
        <w:tab/>
        <w:t>Ing. Michal Skřivan, jednatel</w:t>
      </w:r>
      <w:r>
        <w:rPr>
          <w:rFonts w:ascii="Arial" w:eastAsia="Calibri" w:hAnsi="Arial" w:cs="Arial"/>
        </w:rPr>
        <w:t xml:space="preserve"> společnosti</w:t>
      </w:r>
    </w:p>
    <w:p w:rsidR="00413C5D" w:rsidRPr="00413C5D" w:rsidRDefault="00413C5D" w:rsidP="00413C5D">
      <w:pPr>
        <w:spacing w:after="240"/>
        <w:ind w:left="2127" w:hanging="2127"/>
        <w:contextualSpacing/>
        <w:rPr>
          <w:rFonts w:ascii="Arial" w:eastAsia="Calibri" w:hAnsi="Arial" w:cs="Arial"/>
        </w:rPr>
      </w:pPr>
      <w:r w:rsidRPr="00413C5D">
        <w:rPr>
          <w:rFonts w:ascii="Arial" w:eastAsia="Calibri" w:hAnsi="Arial" w:cs="Arial"/>
        </w:rPr>
        <w:t>kontaktní osoba:</w:t>
      </w:r>
      <w:r w:rsidRPr="00413C5D">
        <w:rPr>
          <w:rFonts w:ascii="Arial" w:eastAsia="Calibri" w:hAnsi="Arial" w:cs="Arial"/>
        </w:rPr>
        <w:tab/>
      </w:r>
      <w:r w:rsidR="006A3E9B">
        <w:rPr>
          <w:rFonts w:ascii="Arial" w:eastAsia="Calibri" w:hAnsi="Arial" w:cs="Arial"/>
        </w:rPr>
        <w:t>xxxxxxxxxxx</w:t>
      </w:r>
      <w:r w:rsidRPr="00413C5D">
        <w:rPr>
          <w:rFonts w:ascii="Arial" w:eastAsia="Calibri" w:hAnsi="Arial" w:cs="Arial"/>
        </w:rPr>
        <w:t xml:space="preserve">, e-mail: </w:t>
      </w:r>
      <w:r w:rsidR="000334D1">
        <w:rPr>
          <w:rFonts w:ascii="Arial" w:eastAsia="Calibri" w:hAnsi="Arial" w:cs="Arial"/>
        </w:rPr>
        <w:t>xxxxx</w:t>
      </w:r>
      <w:r w:rsidRPr="00413C5D">
        <w:rPr>
          <w:rFonts w:ascii="Arial" w:eastAsia="Calibri" w:hAnsi="Arial" w:cs="Arial"/>
        </w:rPr>
        <w:t>, tel.:</w:t>
      </w:r>
      <w:r>
        <w:rPr>
          <w:rFonts w:ascii="Arial" w:eastAsia="Calibri" w:hAnsi="Arial" w:cs="Arial"/>
        </w:rPr>
        <w:t xml:space="preserve"> </w:t>
      </w:r>
      <w:r w:rsidR="000334D1">
        <w:rPr>
          <w:rFonts w:ascii="Arial" w:eastAsia="Calibri" w:hAnsi="Arial" w:cs="Arial"/>
        </w:rPr>
        <w:t>xxxxx</w:t>
      </w:r>
    </w:p>
    <w:p w:rsidR="00413C5D" w:rsidRPr="00413C5D" w:rsidRDefault="00413C5D" w:rsidP="00413C5D">
      <w:pPr>
        <w:spacing w:after="240"/>
        <w:contextualSpacing/>
        <w:rPr>
          <w:rFonts w:ascii="Arial" w:eastAsia="Calibri" w:hAnsi="Arial" w:cs="Arial"/>
        </w:rPr>
      </w:pPr>
      <w:r w:rsidRPr="00413C5D">
        <w:rPr>
          <w:rFonts w:ascii="Arial" w:eastAsia="Calibri" w:hAnsi="Arial" w:cs="Arial"/>
        </w:rPr>
        <w:t>se sídlem:</w:t>
      </w:r>
      <w:r w:rsidRPr="00413C5D">
        <w:rPr>
          <w:rFonts w:ascii="Arial" w:eastAsia="Calibri" w:hAnsi="Arial" w:cs="Arial"/>
        </w:rPr>
        <w:tab/>
      </w:r>
      <w:r w:rsidRPr="00413C5D">
        <w:rPr>
          <w:rFonts w:ascii="Arial" w:eastAsia="Calibri" w:hAnsi="Arial" w:cs="Arial"/>
        </w:rPr>
        <w:tab/>
        <w:t>Paříkova 910/11a, 190 00 Praha 9</w:t>
      </w:r>
    </w:p>
    <w:p w:rsidR="00413C5D" w:rsidRPr="00413C5D" w:rsidRDefault="00413C5D" w:rsidP="00413C5D">
      <w:pPr>
        <w:spacing w:after="240"/>
        <w:contextualSpacing/>
        <w:rPr>
          <w:rFonts w:ascii="Arial" w:eastAsia="Calibri" w:hAnsi="Arial" w:cs="Arial"/>
        </w:rPr>
      </w:pPr>
      <w:r w:rsidRPr="00413C5D">
        <w:rPr>
          <w:rFonts w:ascii="Arial" w:eastAsia="Calibri" w:hAnsi="Arial" w:cs="Arial"/>
        </w:rPr>
        <w:t>IČO:</w:t>
      </w:r>
      <w:r w:rsidRPr="00413C5D">
        <w:rPr>
          <w:rFonts w:ascii="Arial" w:eastAsia="Calibri" w:hAnsi="Arial" w:cs="Arial"/>
        </w:rPr>
        <w:tab/>
      </w:r>
      <w:r w:rsidRPr="00413C5D">
        <w:rPr>
          <w:rFonts w:ascii="Arial" w:eastAsia="Calibri" w:hAnsi="Arial" w:cs="Arial"/>
        </w:rPr>
        <w:tab/>
      </w:r>
      <w:r w:rsidRPr="00413C5D">
        <w:rPr>
          <w:rFonts w:ascii="Arial" w:eastAsia="Calibri" w:hAnsi="Arial" w:cs="Arial"/>
        </w:rPr>
        <w:tab/>
        <w:t>27171761</w:t>
      </w:r>
    </w:p>
    <w:p w:rsidR="00413C5D" w:rsidRPr="00413C5D" w:rsidRDefault="00413C5D" w:rsidP="00413C5D">
      <w:pPr>
        <w:spacing w:after="240"/>
        <w:contextualSpacing/>
        <w:rPr>
          <w:rFonts w:ascii="Arial" w:eastAsia="Calibri" w:hAnsi="Arial" w:cs="Arial"/>
        </w:rPr>
      </w:pPr>
      <w:r w:rsidRPr="00413C5D">
        <w:rPr>
          <w:rFonts w:ascii="Arial" w:eastAsia="Calibri" w:hAnsi="Arial" w:cs="Arial"/>
        </w:rPr>
        <w:t>DIČ:</w:t>
      </w:r>
      <w:r w:rsidRPr="00413C5D">
        <w:rPr>
          <w:rFonts w:ascii="Arial" w:eastAsia="Calibri" w:hAnsi="Arial" w:cs="Arial"/>
        </w:rPr>
        <w:tab/>
      </w:r>
      <w:r w:rsidRPr="00413C5D">
        <w:rPr>
          <w:rFonts w:ascii="Arial" w:eastAsia="Calibri" w:hAnsi="Arial" w:cs="Arial"/>
        </w:rPr>
        <w:tab/>
      </w:r>
      <w:r w:rsidRPr="00413C5D">
        <w:rPr>
          <w:rFonts w:ascii="Arial" w:eastAsia="Calibri" w:hAnsi="Arial" w:cs="Arial"/>
        </w:rPr>
        <w:tab/>
        <w:t xml:space="preserve">CZ27171761 </w:t>
      </w:r>
    </w:p>
    <w:p w:rsidR="00413C5D" w:rsidRPr="00413C5D" w:rsidRDefault="00413C5D" w:rsidP="00413C5D">
      <w:pPr>
        <w:spacing w:after="240"/>
        <w:contextualSpacing/>
        <w:rPr>
          <w:rFonts w:ascii="Arial" w:eastAsia="Calibri" w:hAnsi="Arial" w:cs="Arial"/>
        </w:rPr>
      </w:pPr>
      <w:r w:rsidRPr="00413C5D">
        <w:rPr>
          <w:rFonts w:ascii="Arial" w:eastAsia="Calibri" w:hAnsi="Arial" w:cs="Arial"/>
        </w:rPr>
        <w:t>bankovní spojení:</w:t>
      </w:r>
      <w:r w:rsidRPr="00413C5D">
        <w:rPr>
          <w:rFonts w:ascii="Arial" w:eastAsia="Calibri" w:hAnsi="Arial" w:cs="Arial"/>
        </w:rPr>
        <w:tab/>
        <w:t>Česká spořitelna, a.s. účet č.: 6040911359/0800</w:t>
      </w:r>
    </w:p>
    <w:p w:rsidR="00413C5D" w:rsidRPr="00413C5D" w:rsidRDefault="00413C5D" w:rsidP="00413C5D">
      <w:pPr>
        <w:spacing w:after="240"/>
        <w:rPr>
          <w:rFonts w:ascii="Arial" w:eastAsia="Calibri" w:hAnsi="Arial" w:cs="Arial"/>
        </w:rPr>
      </w:pPr>
      <w:r w:rsidRPr="00413C5D">
        <w:rPr>
          <w:rFonts w:ascii="Arial" w:eastAsia="Calibri" w:hAnsi="Arial" w:cs="Arial"/>
        </w:rPr>
        <w:t xml:space="preserve">společnost je zapsaná v Obchodním rejstříku vedeném </w:t>
      </w:r>
      <w:r w:rsidRPr="00413C5D">
        <w:rPr>
          <w:rFonts w:ascii="Arial" w:eastAsia="Calibri" w:hAnsi="Arial" w:cs="Arial"/>
          <w:u w:color="000000"/>
        </w:rPr>
        <w:t xml:space="preserve">u MS v Praze </w:t>
      </w:r>
      <w:r w:rsidRPr="00413C5D">
        <w:rPr>
          <w:rFonts w:ascii="Arial" w:eastAsia="Calibri" w:hAnsi="Arial" w:cs="Arial"/>
        </w:rPr>
        <w:t>oddíl C vložka č. 101774.</w:t>
      </w:r>
    </w:p>
    <w:p w:rsidR="00176818" w:rsidRPr="00A66F08" w:rsidRDefault="00413C5D" w:rsidP="00413C5D">
      <w:pPr>
        <w:spacing w:after="240"/>
        <w:rPr>
          <w:rFonts w:ascii="Arial" w:hAnsi="Arial" w:cs="Arial"/>
        </w:rPr>
      </w:pPr>
      <w:r w:rsidRPr="00A66F08">
        <w:rPr>
          <w:rFonts w:ascii="Arial" w:hAnsi="Arial" w:cs="Arial"/>
        </w:rPr>
        <w:t xml:space="preserve"> </w:t>
      </w:r>
      <w:r w:rsidR="00176818" w:rsidRPr="00A66F08">
        <w:rPr>
          <w:rFonts w:ascii="Arial" w:hAnsi="Arial" w:cs="Arial"/>
        </w:rPr>
        <w:t>(dále jen „</w:t>
      </w:r>
      <w:r w:rsidR="00176818">
        <w:rPr>
          <w:rFonts w:ascii="Arial" w:hAnsi="Arial" w:cs="Arial"/>
          <w:b/>
        </w:rPr>
        <w:t>zhotovitel</w:t>
      </w:r>
      <w:r w:rsidR="00176818" w:rsidRPr="00A66F08">
        <w:rPr>
          <w:rFonts w:ascii="Arial" w:hAnsi="Arial" w:cs="Arial"/>
        </w:rPr>
        <w:t>“).</w:t>
      </w:r>
    </w:p>
    <w:p w:rsidR="00176818" w:rsidRPr="00333F06" w:rsidRDefault="00176818" w:rsidP="00176818">
      <w:pPr>
        <w:spacing w:after="240"/>
        <w:jc w:val="both"/>
        <w:rPr>
          <w:rFonts w:ascii="Arial" w:eastAsia="Calibri" w:hAnsi="Arial" w:cs="Arial"/>
        </w:rPr>
      </w:pPr>
      <w:r w:rsidRPr="00F90CEA">
        <w:rPr>
          <w:rFonts w:ascii="Arial" w:eastAsia="Calibri" w:hAnsi="Arial" w:cs="Arial"/>
        </w:rPr>
        <w:t xml:space="preserve">uzavřely níže uvedeného dne, měsíce a roku v souladu s nabídkou </w:t>
      </w:r>
      <w:r>
        <w:rPr>
          <w:rFonts w:ascii="Arial" w:eastAsia="Calibri" w:hAnsi="Arial" w:cs="Arial"/>
          <w:lang w:eastAsia="cs-CZ"/>
        </w:rPr>
        <w:t>zhotovite</w:t>
      </w:r>
      <w:r w:rsidRPr="00333F06">
        <w:rPr>
          <w:rFonts w:ascii="Arial" w:eastAsia="Calibri" w:hAnsi="Arial" w:cs="Arial"/>
          <w:lang w:eastAsia="cs-CZ"/>
        </w:rPr>
        <w:t>l</w:t>
      </w:r>
      <w:r w:rsidRPr="00F90CEA">
        <w:rPr>
          <w:rFonts w:ascii="Arial" w:eastAsia="Calibri" w:hAnsi="Arial" w:cs="Arial"/>
        </w:rPr>
        <w:t>e (dále jen „nabídka“) a</w:t>
      </w:r>
      <w:r>
        <w:rPr>
          <w:rFonts w:ascii="Arial" w:eastAsia="Calibri" w:hAnsi="Arial" w:cs="Arial"/>
        </w:rPr>
        <w:t> </w:t>
      </w:r>
      <w:r w:rsidRPr="00F90CEA">
        <w:rPr>
          <w:rFonts w:ascii="Arial" w:eastAsia="Calibri" w:hAnsi="Arial" w:cs="Arial"/>
        </w:rPr>
        <w:t>rozhodnutím objednatele jako zadavatele o výběru nejvýhodnější nabídky ve výběrovém říze</w:t>
      </w:r>
      <w:r>
        <w:rPr>
          <w:rFonts w:ascii="Arial" w:eastAsia="Calibri" w:hAnsi="Arial" w:cs="Arial"/>
        </w:rPr>
        <w:t xml:space="preserve">ní veřejné zakázky sp. zn. </w:t>
      </w:r>
      <w:r>
        <w:rPr>
          <w:rFonts w:ascii="Arial" w:hAnsi="Arial" w:cs="Arial"/>
          <w:spacing w:val="1"/>
        </w:rPr>
        <w:t>31166/</w:t>
      </w:r>
      <w:r w:rsidRPr="004B08DA">
        <w:rPr>
          <w:rFonts w:ascii="Arial" w:hAnsi="Arial" w:cs="Arial"/>
          <w:spacing w:val="1"/>
        </w:rPr>
        <w:t>202</w:t>
      </w:r>
      <w:r>
        <w:rPr>
          <w:rFonts w:ascii="Arial" w:hAnsi="Arial" w:cs="Arial"/>
          <w:spacing w:val="1"/>
        </w:rPr>
        <w:t>2</w:t>
      </w:r>
      <w:r w:rsidRPr="004B08DA">
        <w:rPr>
          <w:rFonts w:ascii="Arial" w:hAnsi="Arial" w:cs="Arial"/>
          <w:spacing w:val="1"/>
        </w:rPr>
        <w:t>-UVCR</w:t>
      </w:r>
      <w:r w:rsidRPr="00F90CEA">
        <w:rPr>
          <w:rFonts w:ascii="Arial" w:eastAsia="Calibri" w:hAnsi="Arial" w:cs="Arial"/>
        </w:rPr>
        <w:t xml:space="preserve"> s názvem „</w:t>
      </w:r>
      <w:r w:rsidRPr="00FD3805">
        <w:rPr>
          <w:rFonts w:ascii="Arial" w:eastAsia="Calibri" w:hAnsi="Arial" w:cs="Arial"/>
        </w:rPr>
        <w:t>Repase vstupních vrat v objektu Hrzánského paláce</w:t>
      </w:r>
      <w:r w:rsidRPr="00F90CEA">
        <w:rPr>
          <w:rFonts w:ascii="Arial" w:eastAsia="Calibri" w:hAnsi="Arial" w:cs="Arial"/>
        </w:rPr>
        <w:t xml:space="preserve">” tuto smlouvu o </w:t>
      </w:r>
      <w:r>
        <w:rPr>
          <w:rFonts w:ascii="Arial" w:eastAsia="Calibri" w:hAnsi="Arial" w:cs="Arial"/>
        </w:rPr>
        <w:t>dílo</w:t>
      </w:r>
      <w:r w:rsidRPr="00F90CEA">
        <w:rPr>
          <w:rFonts w:ascii="Arial" w:eastAsia="Calibri" w:hAnsi="Arial" w:cs="Arial"/>
        </w:rPr>
        <w:t xml:space="preserve"> (dále jen „smlouva“).</w:t>
      </w:r>
    </w:p>
    <w:p w:rsidR="00176818" w:rsidRDefault="00176818" w:rsidP="00176818">
      <w:pPr>
        <w:spacing w:after="240"/>
        <w:jc w:val="both"/>
        <w:rPr>
          <w:rFonts w:ascii="Arial" w:eastAsia="Calibri" w:hAnsi="Arial" w:cs="Arial"/>
        </w:rPr>
      </w:pPr>
      <w:r w:rsidRPr="00333F06">
        <w:rPr>
          <w:rFonts w:ascii="Arial" w:eastAsia="Calibri" w:hAnsi="Arial" w:cs="Arial"/>
        </w:rPr>
        <w:t>Plnění této smlouvy je veřejnou zakázkou malého rozsahu dle § 27 zákona č. 134/2016 Sb., o zadávání veřejných zakázek, ve znění pozdějších předpisů (dále jen „ZZVZ“).</w:t>
      </w:r>
    </w:p>
    <w:p w:rsidR="000334D1" w:rsidRPr="00333F06" w:rsidRDefault="000334D1" w:rsidP="00176818">
      <w:pPr>
        <w:spacing w:after="240"/>
        <w:jc w:val="both"/>
        <w:rPr>
          <w:rFonts w:ascii="Arial" w:eastAsia="Calibri" w:hAnsi="Arial" w:cs="Arial"/>
        </w:rPr>
      </w:pPr>
    </w:p>
    <w:p w:rsidR="00176818" w:rsidRPr="00333F06" w:rsidRDefault="00176818" w:rsidP="00176818">
      <w:pPr>
        <w:numPr>
          <w:ilvl w:val="0"/>
          <w:numId w:val="9"/>
        </w:numPr>
        <w:tabs>
          <w:tab w:val="num" w:pos="360"/>
        </w:tabs>
        <w:spacing w:after="240"/>
        <w:ind w:left="0" w:firstLine="0"/>
        <w:contextualSpacing/>
        <w:jc w:val="center"/>
        <w:outlineLvl w:val="3"/>
        <w:rPr>
          <w:rFonts w:ascii="Arial" w:eastAsia="Calibri" w:hAnsi="Arial" w:cs="Arial"/>
          <w:b/>
        </w:rPr>
      </w:pPr>
      <w:r w:rsidRPr="00333F06">
        <w:rPr>
          <w:rFonts w:ascii="Arial" w:eastAsia="Calibri" w:hAnsi="Arial" w:cs="Arial"/>
          <w:b/>
        </w:rPr>
        <w:lastRenderedPageBreak/>
        <w:br/>
        <w:t>Předmět smlouvy</w:t>
      </w:r>
    </w:p>
    <w:p w:rsidR="00176818" w:rsidRPr="00087470" w:rsidRDefault="00176818" w:rsidP="00176818">
      <w:pPr>
        <w:numPr>
          <w:ilvl w:val="0"/>
          <w:numId w:val="1"/>
        </w:numPr>
        <w:spacing w:after="240"/>
        <w:ind w:left="425" w:hanging="425"/>
        <w:jc w:val="both"/>
        <w:rPr>
          <w:rFonts w:ascii="Arial" w:hAnsi="Arial" w:cs="Arial"/>
          <w:bCs/>
          <w:color w:val="000000"/>
        </w:rPr>
      </w:pPr>
      <w:r w:rsidRPr="00087470">
        <w:rPr>
          <w:rFonts w:ascii="Arial" w:hAnsi="Arial" w:cs="Arial"/>
        </w:rPr>
        <w:t>Objednatel je příslušný hospodařit s majetkem České republiky, objekt Hrzánského paláce nacházející se na adrese Loretánská 177/9, Praha 1 (dále jen „objekt“). Objekt je nemovitou kulturní památkou a je umístěn v Pražské památkové rezervaci, což je zhotovitel při plnění díla povinen respektovat.</w:t>
      </w:r>
    </w:p>
    <w:p w:rsidR="00176818" w:rsidRDefault="00176818" w:rsidP="00176818">
      <w:pPr>
        <w:pStyle w:val="Odstavecseseznamem"/>
        <w:numPr>
          <w:ilvl w:val="0"/>
          <w:numId w:val="1"/>
        </w:numPr>
        <w:spacing w:after="240"/>
        <w:ind w:left="426" w:hanging="426"/>
        <w:jc w:val="both"/>
        <w:rPr>
          <w:rFonts w:ascii="Arial" w:hAnsi="Arial" w:cs="Arial"/>
        </w:rPr>
      </w:pPr>
      <w:r w:rsidRPr="00087470">
        <w:rPr>
          <w:rFonts w:ascii="Arial" w:hAnsi="Arial" w:cs="Arial"/>
        </w:rPr>
        <w:t>Předmětem této smlouvy je závazek zhotovitele provést na svůj náklad a nebezpečí pro objednatele repasi vstupních vrat Hrzánského paláce</w:t>
      </w:r>
      <w:r>
        <w:rPr>
          <w:rFonts w:ascii="Arial" w:hAnsi="Arial" w:cs="Arial"/>
        </w:rPr>
        <w:t xml:space="preserve"> – křídel i zárubní - </w:t>
      </w:r>
      <w:r w:rsidRPr="00087470">
        <w:rPr>
          <w:rFonts w:ascii="Arial" w:hAnsi="Arial" w:cs="Arial"/>
        </w:rPr>
        <w:t xml:space="preserve">včetně kovových prvků. Repase zahrnuje </w:t>
      </w:r>
      <w:r>
        <w:rPr>
          <w:rFonts w:ascii="Arial" w:hAnsi="Arial" w:cs="Arial"/>
        </w:rPr>
        <w:t xml:space="preserve">mimo jiné </w:t>
      </w:r>
      <w:r w:rsidRPr="00087470">
        <w:rPr>
          <w:rFonts w:ascii="Arial" w:hAnsi="Arial" w:cs="Arial"/>
        </w:rPr>
        <w:t xml:space="preserve">očištění povrchu, sejmutí starých nátěrů </w:t>
      </w:r>
      <w:r>
        <w:rPr>
          <w:rFonts w:ascii="Arial" w:hAnsi="Arial" w:cs="Arial"/>
        </w:rPr>
        <w:t>(</w:t>
      </w:r>
      <w:r w:rsidRPr="00087470">
        <w:rPr>
          <w:rFonts w:ascii="Arial" w:hAnsi="Arial" w:cs="Arial"/>
        </w:rPr>
        <w:t>v případě potřeby</w:t>
      </w:r>
      <w:r>
        <w:rPr>
          <w:rFonts w:ascii="Arial" w:hAnsi="Arial" w:cs="Arial"/>
        </w:rPr>
        <w:t>)</w:t>
      </w:r>
      <w:r w:rsidRPr="00087470">
        <w:rPr>
          <w:rFonts w:ascii="Arial" w:hAnsi="Arial" w:cs="Arial"/>
        </w:rPr>
        <w:t xml:space="preserve">, sanaci proti </w:t>
      </w:r>
      <w:r>
        <w:rPr>
          <w:rFonts w:ascii="Arial" w:hAnsi="Arial" w:cs="Arial"/>
        </w:rPr>
        <w:t xml:space="preserve">hmyzu a </w:t>
      </w:r>
      <w:r w:rsidRPr="00087470">
        <w:rPr>
          <w:rFonts w:ascii="Arial" w:hAnsi="Arial" w:cs="Arial"/>
        </w:rPr>
        <w:t>dřevokazným houbám, konstrukční zpevnění, přiklížení uvolněných části, doplnění chybějících či poškozených dílů stejným druhem dřeva s ohledem na kresbu a barevnost dřeva, broušení, tmelení, sjednocení barevného povrchu, opravu kovových prvků včetně závěsů. Součástí díla je demontáž stávajících vratových křídel a nadsvětlíku, osazení prozatímními dveřmi pro uzavření objektu</w:t>
      </w:r>
      <w:r>
        <w:rPr>
          <w:rFonts w:ascii="Arial" w:hAnsi="Arial" w:cs="Arial"/>
        </w:rPr>
        <w:t xml:space="preserve"> (objekt musí být trvale plnohodnotně uzavíratelný a zabezpečený EZS)</w:t>
      </w:r>
      <w:r w:rsidRPr="00087470">
        <w:rPr>
          <w:rFonts w:ascii="Arial" w:hAnsi="Arial" w:cs="Arial"/>
        </w:rPr>
        <w:t>, převoz do restaurátorských dílen a následné zpětné osazení vrat. Součástí vrat jsou prvky slaboproudých a silnoproudých rozvodů, které budou v součinnosti s objednatelem demontovány a zpětně namontovány na provizorní i nově zrepasované dveře. Veškeré práce budou probíhat za dozoru orgánů památkové péče a postupy, které budou těmito orgány schváleny včetně vypracování příslušných restaurátorských záměrů a závěrečné zprávy, budou-li to orgány památkové péče vyžadovat. Práce budou probíhat pod odborným dozorem restaurátora s povolením k restaurování uměleckořemeslných děl dle §14a) odst.</w:t>
      </w:r>
      <w:r w:rsidR="00413C5D">
        <w:rPr>
          <w:rFonts w:ascii="Arial" w:hAnsi="Arial" w:cs="Arial"/>
        </w:rPr>
        <w:t xml:space="preserve"> </w:t>
      </w:r>
      <w:r w:rsidRPr="00087470">
        <w:rPr>
          <w:rFonts w:ascii="Arial" w:hAnsi="Arial" w:cs="Arial"/>
        </w:rPr>
        <w:t>1 zákona 20/1987 Sb., o</w:t>
      </w:r>
      <w:r>
        <w:rPr>
          <w:rFonts w:ascii="Arial" w:hAnsi="Arial" w:cs="Arial"/>
        </w:rPr>
        <w:t> </w:t>
      </w:r>
      <w:r w:rsidRPr="00087470">
        <w:rPr>
          <w:rFonts w:ascii="Arial" w:hAnsi="Arial" w:cs="Arial"/>
        </w:rPr>
        <w:t xml:space="preserve">státní památkové péči, v platném znění. </w:t>
      </w:r>
    </w:p>
    <w:p w:rsidR="00176818" w:rsidRPr="00333F06" w:rsidRDefault="00176818" w:rsidP="00176818">
      <w:pPr>
        <w:numPr>
          <w:ilvl w:val="0"/>
          <w:numId w:val="9"/>
        </w:numPr>
        <w:tabs>
          <w:tab w:val="num" w:pos="360"/>
        </w:tabs>
        <w:spacing w:after="240"/>
        <w:ind w:left="0" w:firstLine="0"/>
        <w:contextualSpacing/>
        <w:jc w:val="center"/>
        <w:outlineLvl w:val="3"/>
        <w:rPr>
          <w:rFonts w:ascii="Arial" w:eastAsia="Calibri" w:hAnsi="Arial" w:cs="Arial"/>
          <w:b/>
        </w:rPr>
      </w:pPr>
      <w:r w:rsidRPr="00333F06">
        <w:rPr>
          <w:rFonts w:ascii="Arial" w:eastAsia="Calibri" w:hAnsi="Arial" w:cs="Arial"/>
          <w:b/>
        </w:rPr>
        <w:br/>
        <w:t>Doba a místo plnění</w:t>
      </w:r>
    </w:p>
    <w:p w:rsidR="00176818" w:rsidRDefault="00176818" w:rsidP="00176818">
      <w:pPr>
        <w:numPr>
          <w:ilvl w:val="0"/>
          <w:numId w:val="2"/>
        </w:numPr>
        <w:spacing w:after="240"/>
        <w:ind w:left="425" w:hanging="425"/>
        <w:jc w:val="both"/>
        <w:rPr>
          <w:rFonts w:ascii="Arial" w:eastAsia="Calibri" w:hAnsi="Arial" w:cs="Arial"/>
        </w:rPr>
      </w:pPr>
      <w:r w:rsidRPr="00333F06">
        <w:rPr>
          <w:rFonts w:ascii="Arial" w:eastAsia="Calibri" w:hAnsi="Arial" w:cs="Arial"/>
        </w:rPr>
        <w:t xml:space="preserve">Místem plnění této smlouvy </w:t>
      </w:r>
      <w:r w:rsidRPr="00052259">
        <w:rPr>
          <w:rFonts w:ascii="Arial" w:eastAsia="Calibri" w:hAnsi="Arial" w:cs="Arial"/>
        </w:rPr>
        <w:t xml:space="preserve">je </w:t>
      </w:r>
      <w:r w:rsidRPr="00052259">
        <w:rPr>
          <w:rFonts w:ascii="Arial" w:eastAsia="Times New Roman" w:hAnsi="Arial" w:cs="Arial"/>
        </w:rPr>
        <w:t>objekt objednatele uvedený v čl. I. odst. 1</w:t>
      </w:r>
      <w:r w:rsidRPr="00052259">
        <w:rPr>
          <w:rFonts w:ascii="Arial" w:eastAsia="Calibri" w:hAnsi="Arial" w:cs="Arial"/>
        </w:rPr>
        <w:t>.</w:t>
      </w:r>
    </w:p>
    <w:p w:rsidR="00176818" w:rsidRDefault="00176818" w:rsidP="00176818">
      <w:pPr>
        <w:numPr>
          <w:ilvl w:val="0"/>
          <w:numId w:val="2"/>
        </w:numPr>
        <w:spacing w:after="240"/>
        <w:ind w:left="425" w:hanging="425"/>
        <w:jc w:val="both"/>
        <w:rPr>
          <w:rFonts w:ascii="Arial" w:eastAsia="Calibri" w:hAnsi="Arial" w:cs="Arial"/>
        </w:rPr>
      </w:pPr>
      <w:r>
        <w:rPr>
          <w:rFonts w:ascii="Arial" w:eastAsia="Times New Roman" w:hAnsi="Arial" w:cs="Arial"/>
        </w:rPr>
        <w:t>Předpoklad</w:t>
      </w:r>
      <w:r w:rsidRPr="00052259">
        <w:rPr>
          <w:rFonts w:ascii="Arial" w:eastAsia="Times New Roman" w:hAnsi="Arial" w:cs="Arial"/>
        </w:rPr>
        <w:t xml:space="preserve"> zaháj</w:t>
      </w:r>
      <w:r>
        <w:rPr>
          <w:rFonts w:ascii="Arial" w:eastAsia="Times New Roman" w:hAnsi="Arial" w:cs="Arial"/>
        </w:rPr>
        <w:t>ení</w:t>
      </w:r>
      <w:r w:rsidRPr="00052259">
        <w:rPr>
          <w:rFonts w:ascii="Arial" w:eastAsia="Times New Roman" w:hAnsi="Arial" w:cs="Arial"/>
        </w:rPr>
        <w:t xml:space="preserve"> díl</w:t>
      </w:r>
      <w:r>
        <w:rPr>
          <w:rFonts w:ascii="Arial" w:eastAsia="Times New Roman" w:hAnsi="Arial" w:cs="Arial"/>
        </w:rPr>
        <w:t>a je</w:t>
      </w:r>
      <w:r w:rsidRPr="00052259">
        <w:rPr>
          <w:rFonts w:ascii="Arial" w:eastAsia="Times New Roman" w:hAnsi="Arial" w:cs="Arial"/>
        </w:rPr>
        <w:t xml:space="preserve"> v průběhu ledna 2023 a </w:t>
      </w:r>
      <w:r>
        <w:rPr>
          <w:rFonts w:ascii="Arial" w:eastAsia="Times New Roman" w:hAnsi="Arial" w:cs="Arial"/>
        </w:rPr>
        <w:t xml:space="preserve">zhotovitel je povinen </w:t>
      </w:r>
      <w:r w:rsidRPr="00052259">
        <w:rPr>
          <w:rFonts w:ascii="Arial" w:eastAsia="Times New Roman" w:hAnsi="Arial" w:cs="Arial"/>
        </w:rPr>
        <w:t xml:space="preserve">provést dílo do 6 týdnů od předání staveniště. Přesný termín </w:t>
      </w:r>
      <w:r>
        <w:rPr>
          <w:rFonts w:ascii="Arial" w:eastAsia="Times New Roman" w:hAnsi="Arial" w:cs="Arial"/>
        </w:rPr>
        <w:t xml:space="preserve">předání staveniště </w:t>
      </w:r>
      <w:r w:rsidRPr="00052259">
        <w:rPr>
          <w:rFonts w:ascii="Arial" w:eastAsia="Times New Roman" w:hAnsi="Arial" w:cs="Arial"/>
        </w:rPr>
        <w:t>bude určen písemnou výzvou objednatele. Objednatel si vyhrazuje právo posunout termín zahájení z provozních důvodů</w:t>
      </w:r>
      <w:r>
        <w:rPr>
          <w:rFonts w:ascii="Arial" w:eastAsia="Calibri" w:hAnsi="Arial" w:cs="Arial"/>
        </w:rPr>
        <w:t>. Dobu mezi uzavřením smlouvy a předáním staveniště využije zhotovitel k výrobě provizorních vrat. Provizorní vrata budou plně funkční, tj. pro vstup i pro vjezd vozidel.</w:t>
      </w:r>
    </w:p>
    <w:p w:rsidR="00176818" w:rsidRDefault="00176818" w:rsidP="00176818">
      <w:pPr>
        <w:numPr>
          <w:ilvl w:val="0"/>
          <w:numId w:val="2"/>
        </w:numPr>
        <w:spacing w:after="240"/>
        <w:ind w:left="425" w:hanging="425"/>
        <w:jc w:val="both"/>
        <w:rPr>
          <w:rFonts w:ascii="Arial" w:eastAsia="Times New Roman" w:hAnsi="Arial" w:cs="Arial"/>
        </w:rPr>
      </w:pPr>
      <w:r w:rsidRPr="00052259">
        <w:rPr>
          <w:rFonts w:ascii="Arial" w:eastAsia="Times New Roman" w:hAnsi="Arial" w:cs="Arial"/>
        </w:rPr>
        <w:t>Zhotovitel je povinen přerušit práce ve dnech dle požadavku objednatele, zejména z důvodu konání protokolárních akcí. Zhotovitel nemá právo na úhradu nákladů spojených s přerušením díla. Nutnost přerušení díla na žádost objednatele se nepovažuje za neposkytnutí součinnosti objednatele zhotoviteli a nemůže být důvodem k odstoupení od smlouvy. Lhůta pro dokončení se prodlužuje o dobu, po kterou zhotovitel prokazatelně nemohl provádět práce z uvedeného důvodu</w:t>
      </w:r>
      <w:r>
        <w:rPr>
          <w:rFonts w:ascii="Arial" w:eastAsia="Times New Roman" w:hAnsi="Arial" w:cs="Arial"/>
        </w:rPr>
        <w:t>.</w:t>
      </w:r>
    </w:p>
    <w:p w:rsidR="00176818" w:rsidRDefault="00176818" w:rsidP="00176818">
      <w:pPr>
        <w:rPr>
          <w:rFonts w:ascii="Arial" w:eastAsia="Times New Roman" w:hAnsi="Arial" w:cs="Arial"/>
        </w:rPr>
      </w:pPr>
      <w:r>
        <w:rPr>
          <w:rFonts w:ascii="Arial" w:eastAsia="Times New Roman" w:hAnsi="Arial" w:cs="Arial"/>
        </w:rPr>
        <w:br w:type="page"/>
      </w:r>
    </w:p>
    <w:p w:rsidR="00176818" w:rsidRPr="006366FD" w:rsidRDefault="00176818" w:rsidP="00176818">
      <w:pPr>
        <w:spacing w:after="240"/>
        <w:ind w:left="425"/>
        <w:jc w:val="both"/>
        <w:rPr>
          <w:rFonts w:ascii="Arial" w:eastAsia="Calibri" w:hAnsi="Arial" w:cs="Arial"/>
        </w:rPr>
      </w:pPr>
    </w:p>
    <w:p w:rsidR="00176818" w:rsidRPr="00211616" w:rsidRDefault="00176818" w:rsidP="00176818">
      <w:pPr>
        <w:numPr>
          <w:ilvl w:val="0"/>
          <w:numId w:val="9"/>
        </w:numPr>
        <w:tabs>
          <w:tab w:val="num" w:pos="360"/>
        </w:tabs>
        <w:spacing w:after="240"/>
        <w:ind w:left="0" w:firstLine="0"/>
        <w:contextualSpacing/>
        <w:jc w:val="center"/>
        <w:outlineLvl w:val="3"/>
        <w:rPr>
          <w:rFonts w:ascii="Arial" w:eastAsia="Calibri" w:hAnsi="Arial" w:cs="Arial"/>
          <w:b/>
        </w:rPr>
      </w:pPr>
      <w:r w:rsidRPr="00333F06">
        <w:rPr>
          <w:rFonts w:ascii="Arial" w:eastAsia="Calibri" w:hAnsi="Arial" w:cs="Arial"/>
          <w:b/>
        </w:rPr>
        <w:br/>
      </w:r>
      <w:r w:rsidRPr="00211616">
        <w:rPr>
          <w:rFonts w:ascii="Arial" w:hAnsi="Arial" w:cs="Arial"/>
          <w:b/>
        </w:rPr>
        <w:t>Práv</w:t>
      </w:r>
      <w:r>
        <w:rPr>
          <w:rFonts w:ascii="Arial" w:hAnsi="Arial" w:cs="Arial"/>
          <w:b/>
        </w:rPr>
        <w:t>a a povinnosti smluvních stran</w:t>
      </w:r>
    </w:p>
    <w:p w:rsidR="00176818" w:rsidRPr="00333F06" w:rsidRDefault="00176818" w:rsidP="00176818">
      <w:pPr>
        <w:spacing w:after="240"/>
        <w:contextualSpacing/>
        <w:outlineLvl w:val="3"/>
        <w:rPr>
          <w:rFonts w:ascii="Arial" w:eastAsia="Calibri" w:hAnsi="Arial" w:cs="Arial"/>
          <w:b/>
        </w:rPr>
      </w:pPr>
    </w:p>
    <w:p w:rsidR="00176818" w:rsidRPr="00A94713" w:rsidRDefault="00176818" w:rsidP="00176818">
      <w:pPr>
        <w:numPr>
          <w:ilvl w:val="0"/>
          <w:numId w:val="16"/>
        </w:numPr>
        <w:spacing w:after="120"/>
        <w:ind w:left="426" w:right="-20" w:hanging="426"/>
        <w:jc w:val="both"/>
        <w:rPr>
          <w:rFonts w:ascii="Arial" w:eastAsia="Calibri" w:hAnsi="Arial" w:cs="Arial"/>
        </w:rPr>
      </w:pPr>
      <w:r w:rsidRPr="00A94713">
        <w:rPr>
          <w:rFonts w:ascii="Arial" w:eastAsia="Times New Roman" w:hAnsi="Arial" w:cs="Arial"/>
        </w:rPr>
        <w:t>Práce na díle budou provedeny v souladu s právním předpisy vztahujícími se k předmětu plnění této smlouvy. Práce na díle budou prováděny pracovníky s odbornou kvalifikací a platným oprávněním pro výkon činnosti, je-li k výkonu těchto prací nezbytné</w:t>
      </w:r>
      <w:r w:rsidRPr="00A94713">
        <w:rPr>
          <w:rFonts w:ascii="Arial" w:eastAsia="Calibri" w:hAnsi="Arial" w:cs="Arial"/>
        </w:rPr>
        <w:t>.</w:t>
      </w:r>
    </w:p>
    <w:p w:rsidR="00176818" w:rsidRPr="00A94713" w:rsidRDefault="00176818" w:rsidP="00176818">
      <w:pPr>
        <w:numPr>
          <w:ilvl w:val="0"/>
          <w:numId w:val="16"/>
        </w:numPr>
        <w:spacing w:after="120"/>
        <w:jc w:val="both"/>
        <w:rPr>
          <w:rFonts w:ascii="Arial" w:eastAsia="Times New Roman" w:hAnsi="Arial" w:cs="Arial"/>
        </w:rPr>
      </w:pPr>
      <w:r w:rsidRPr="00A94713">
        <w:rPr>
          <w:rFonts w:ascii="Arial" w:eastAsia="Times New Roman" w:hAnsi="Arial" w:cs="Arial"/>
        </w:rPr>
        <w:t>Zhotovitel je povinen postup prací konzultovat s orgány památkové péče, práce budou prováděny pod dozorem restaurátora s příslušným oprávněním provádět tyto práce</w:t>
      </w:r>
      <w:r>
        <w:rPr>
          <w:rFonts w:ascii="Arial" w:eastAsia="Times New Roman" w:hAnsi="Arial" w:cs="Arial"/>
        </w:rPr>
        <w:t xml:space="preserve"> uvedeného v nabídce</w:t>
      </w:r>
      <w:r w:rsidRPr="00A94713">
        <w:rPr>
          <w:rFonts w:ascii="Arial" w:eastAsia="Times New Roman" w:hAnsi="Arial" w:cs="Arial"/>
        </w:rPr>
        <w:t>.</w:t>
      </w:r>
    </w:p>
    <w:p w:rsidR="00176818" w:rsidRPr="00A94713" w:rsidRDefault="00176818" w:rsidP="00176818">
      <w:pPr>
        <w:numPr>
          <w:ilvl w:val="0"/>
          <w:numId w:val="16"/>
        </w:numPr>
        <w:spacing w:after="120"/>
        <w:jc w:val="both"/>
        <w:rPr>
          <w:rFonts w:ascii="Arial" w:eastAsia="Times New Roman" w:hAnsi="Arial" w:cs="Arial"/>
        </w:rPr>
      </w:pPr>
      <w:r w:rsidRPr="00A94713">
        <w:rPr>
          <w:rFonts w:ascii="Arial" w:eastAsia="Times New Roman" w:hAnsi="Arial" w:cs="Arial"/>
        </w:rPr>
        <w:t>Veškeré práce potřebné k provedení díla, které je možné provádět mimo objekt objednatele (tzv. dílensky), bude zhotovitel provádět mimo tento objekt, ve vlastních prostorách.</w:t>
      </w:r>
    </w:p>
    <w:p w:rsidR="00176818" w:rsidRPr="00A94713" w:rsidRDefault="00176818" w:rsidP="00176818">
      <w:pPr>
        <w:numPr>
          <w:ilvl w:val="0"/>
          <w:numId w:val="16"/>
        </w:numPr>
        <w:spacing w:after="120"/>
        <w:jc w:val="both"/>
        <w:rPr>
          <w:rFonts w:ascii="Arial" w:eastAsia="Times New Roman" w:hAnsi="Arial" w:cs="Arial"/>
        </w:rPr>
      </w:pPr>
      <w:r w:rsidRPr="00A94713">
        <w:rPr>
          <w:rFonts w:ascii="Arial" w:eastAsia="Times New Roman" w:hAnsi="Arial" w:cs="Arial"/>
        </w:rPr>
        <w:t>Zhotovitel je povinen předložit objednateli minimálně 3 dny před zahájením plnění díla seznam pracovníků zhotovitele i subdodavatelů podílejících se na realizaci díla v objektu objednatele včetně požadovaných dat (jméno, příjmení, číslo občanského průkazu a datum narození). Objednatel si vyhrazuje právo neschválit oprávnění vstupu pracovníka na základě podnětu Policie České republiky.</w:t>
      </w:r>
    </w:p>
    <w:p w:rsidR="00176818" w:rsidRPr="00A94713" w:rsidRDefault="00176818" w:rsidP="00176818">
      <w:pPr>
        <w:numPr>
          <w:ilvl w:val="0"/>
          <w:numId w:val="16"/>
        </w:numPr>
        <w:spacing w:after="120"/>
        <w:jc w:val="both"/>
        <w:rPr>
          <w:rFonts w:ascii="Arial" w:eastAsia="Times New Roman" w:hAnsi="Arial" w:cs="Arial"/>
        </w:rPr>
      </w:pPr>
      <w:r w:rsidRPr="00A94713">
        <w:rPr>
          <w:rFonts w:ascii="Arial" w:eastAsia="Times New Roman" w:hAnsi="Arial" w:cs="Arial"/>
        </w:rPr>
        <w:t>V případě, že bude třeba při plnění svářečských prací a jiných prací s otevřeným ohněm (dále jen „svařování“) v objektu, je zhotovitel povinen zajistit splnění veškerých podmínek pro svařování dle příslušných právních předpisů (zejména dle vyhlášky č. 87/2000 Sb., kterou se stanoví podmínky požární bezpečnosti při svařování a nahřívání živic v tavných nádobách) a ostatních předpisů, především technických norem (zejména ČSN 05 0600), tj. zajistit všechny potřebné úkony požární bezpečnosti, především zajistit požární dohled při přerušení a po skončení svařování. Zhotovitel je povinen 24 hodin před zahájením svařování v objektu oznámit záměr objednateli, který vystaví příkaz ke svařování obsahující všechny stanovené údaje o opatřeních při pracích před svařování, během svařování a po svařování (zejména vymezení oprávnění a povinnosti osob k zajištění požární bezpečnosti při zahájení svařování, v jeh průběhu, při přerušení svařování a po jeho ukončení) a dále před každým zahájením svařovacích prací v objektu oznámit dobu, po kterou zhotovitel předpokládá provádění svařovacích prací. Zhotovitel je oprávněn zahájit svařování v objektu až po odsouhlasení údajů uvedených v tomto odstavci objednatelem. Objednatel je oprávněn neodsouhlasit zejména dobu provádění svařovacích prací a požadovat jejich změnu.</w:t>
      </w:r>
    </w:p>
    <w:p w:rsidR="00176818" w:rsidRPr="00A94713" w:rsidRDefault="00176818" w:rsidP="00176818">
      <w:pPr>
        <w:numPr>
          <w:ilvl w:val="0"/>
          <w:numId w:val="16"/>
        </w:numPr>
        <w:spacing w:after="120"/>
        <w:jc w:val="both"/>
        <w:rPr>
          <w:rFonts w:ascii="Arial" w:eastAsia="Times New Roman" w:hAnsi="Arial" w:cs="Arial"/>
        </w:rPr>
      </w:pPr>
      <w:r w:rsidRPr="00A94713">
        <w:rPr>
          <w:rFonts w:ascii="Arial" w:eastAsia="Times New Roman" w:hAnsi="Arial" w:cs="Arial"/>
        </w:rPr>
        <w:t xml:space="preserve">Zhotovitel přejímá v plném rozsahu odpovědnost za vlastní řízení postupu prací, dodržování předpisů o bezpečnosti práce a ochraně zdraví při práci, dodržování protipožárních opatření </w:t>
      </w:r>
      <w:r w:rsidR="00413C5D">
        <w:rPr>
          <w:rFonts w:ascii="Arial" w:eastAsia="Times New Roman" w:hAnsi="Arial" w:cs="Arial"/>
        </w:rPr>
        <w:br/>
      </w:r>
      <w:r w:rsidRPr="00A94713">
        <w:rPr>
          <w:rFonts w:ascii="Arial" w:eastAsia="Times New Roman" w:hAnsi="Arial" w:cs="Arial"/>
        </w:rPr>
        <w:t>a předpisů, dodržování hygienických a jiných předpisů souvisejících s realizací díla a zavazuje se uhradit veškeré škody na zdraví a majetku vzniklé porušením uvedených předpisů.</w:t>
      </w:r>
    </w:p>
    <w:p w:rsidR="00176818" w:rsidRPr="00A94713" w:rsidRDefault="00176818" w:rsidP="00176818">
      <w:pPr>
        <w:numPr>
          <w:ilvl w:val="0"/>
          <w:numId w:val="16"/>
        </w:numPr>
        <w:spacing w:after="120"/>
        <w:jc w:val="both"/>
        <w:rPr>
          <w:rFonts w:ascii="Arial" w:eastAsia="Times New Roman" w:hAnsi="Arial" w:cs="Arial"/>
        </w:rPr>
      </w:pPr>
      <w:r w:rsidRPr="00A94713">
        <w:rPr>
          <w:rFonts w:ascii="Arial" w:eastAsia="Times New Roman" w:hAnsi="Arial" w:cs="Arial"/>
        </w:rPr>
        <w:t xml:space="preserve">Zhotovitel se zavazuje poskytnout nezbytnou součinnost </w:t>
      </w:r>
      <w:r>
        <w:rPr>
          <w:rFonts w:ascii="Arial" w:eastAsia="Times New Roman" w:hAnsi="Arial" w:cs="Arial"/>
        </w:rPr>
        <w:t xml:space="preserve">externí firmě, která zajistí odpojení </w:t>
      </w:r>
      <w:r w:rsidR="00413C5D">
        <w:rPr>
          <w:rFonts w:ascii="Arial" w:eastAsia="Times New Roman" w:hAnsi="Arial" w:cs="Arial"/>
        </w:rPr>
        <w:br/>
      </w:r>
      <w:r>
        <w:rPr>
          <w:rFonts w:ascii="Arial" w:eastAsia="Times New Roman" w:hAnsi="Arial" w:cs="Arial"/>
        </w:rPr>
        <w:t xml:space="preserve">a připojení stávajících i provizorních vrat a dále </w:t>
      </w:r>
      <w:r w:rsidRPr="00A94713">
        <w:rPr>
          <w:rFonts w:ascii="Arial" w:eastAsia="Times New Roman" w:hAnsi="Arial" w:cs="Arial"/>
        </w:rPr>
        <w:t>osobám, které určí objednatel.</w:t>
      </w:r>
    </w:p>
    <w:p w:rsidR="00176818" w:rsidRPr="00A94713" w:rsidRDefault="00176818" w:rsidP="00176818">
      <w:pPr>
        <w:numPr>
          <w:ilvl w:val="0"/>
          <w:numId w:val="16"/>
        </w:numPr>
        <w:spacing w:after="120"/>
        <w:jc w:val="both"/>
        <w:rPr>
          <w:rFonts w:ascii="Arial" w:eastAsia="Times New Roman" w:hAnsi="Arial" w:cs="Arial"/>
        </w:rPr>
      </w:pPr>
      <w:r w:rsidRPr="00A94713">
        <w:rPr>
          <w:rFonts w:ascii="Arial" w:eastAsia="Times New Roman" w:hAnsi="Arial" w:cs="Arial"/>
        </w:rPr>
        <w:t>Zhotovitel je povinen přerušit práce v objektu ve dnech dle požadavku objednatele, zejména z důvodu konání protokolárních akcí. Zhotovitel nemá právo na úhradu nákladů spojených s přerušením díla. Nutnost přerušení díla na žádost objednatele se nepovažuje za neposkytnutí součinnosti objednatele zhotoviteli a nemůže být důvodem pro odstoupení zhotovitele od smlouvy.</w:t>
      </w:r>
    </w:p>
    <w:p w:rsidR="00176818" w:rsidRPr="00A94713" w:rsidRDefault="00176818" w:rsidP="00176818">
      <w:pPr>
        <w:numPr>
          <w:ilvl w:val="0"/>
          <w:numId w:val="16"/>
        </w:numPr>
        <w:spacing w:after="120"/>
        <w:jc w:val="both"/>
        <w:rPr>
          <w:rFonts w:ascii="Arial" w:eastAsia="Times New Roman" w:hAnsi="Arial" w:cs="Arial"/>
        </w:rPr>
      </w:pPr>
      <w:r w:rsidRPr="00A94713">
        <w:rPr>
          <w:rFonts w:ascii="Arial" w:eastAsia="Times New Roman" w:hAnsi="Arial" w:cs="Arial"/>
        </w:rPr>
        <w:t xml:space="preserve">Zhotovitel je povinen zajistit, aby se pracovníci zhotovitele, včetně pracovníků případných subdodavatelů, pohybovali pouze v objednatelem vymezených trasách v objektu a udržovali </w:t>
      </w:r>
      <w:r w:rsidRPr="00A94713">
        <w:rPr>
          <w:rFonts w:ascii="Arial" w:eastAsia="Times New Roman" w:hAnsi="Arial" w:cs="Arial"/>
        </w:rPr>
        <w:lastRenderedPageBreak/>
        <w:t>pořádek a čistotu v prostorách, ve kterých se pohybují. Dále je povinen zajistit, aby tito pracovníci dodržovali zákaz požívání alkoholických nápojů a zákaz kouření.</w:t>
      </w:r>
    </w:p>
    <w:p w:rsidR="00176818" w:rsidRPr="00A94713" w:rsidRDefault="00176818" w:rsidP="00176818">
      <w:pPr>
        <w:numPr>
          <w:ilvl w:val="0"/>
          <w:numId w:val="16"/>
        </w:numPr>
        <w:spacing w:after="120"/>
        <w:jc w:val="both"/>
        <w:rPr>
          <w:rFonts w:ascii="Arial" w:eastAsia="Times New Roman" w:hAnsi="Arial" w:cs="Arial"/>
        </w:rPr>
      </w:pPr>
      <w:r w:rsidRPr="00A94713">
        <w:rPr>
          <w:rFonts w:ascii="Arial" w:eastAsia="Times New Roman" w:hAnsi="Arial" w:cs="Arial"/>
        </w:rPr>
        <w:t>Zhotovitel nemá právo zajistit si náhradní plnění dle § 2591 občanského zákoníku na účet objednatele.</w:t>
      </w:r>
    </w:p>
    <w:p w:rsidR="00176818" w:rsidRPr="00A94713" w:rsidRDefault="00176818" w:rsidP="00176818">
      <w:pPr>
        <w:numPr>
          <w:ilvl w:val="0"/>
          <w:numId w:val="16"/>
        </w:numPr>
        <w:spacing w:after="120"/>
        <w:jc w:val="both"/>
        <w:rPr>
          <w:rFonts w:ascii="Arial" w:eastAsia="Times New Roman" w:hAnsi="Arial" w:cs="Arial"/>
        </w:rPr>
      </w:pPr>
      <w:r w:rsidRPr="00A94713">
        <w:rPr>
          <w:rFonts w:ascii="Arial" w:eastAsia="Times New Roman" w:hAnsi="Arial" w:cs="Arial"/>
        </w:rPr>
        <w:t>Zhotovitel bere na vědomí, že plnění díla mohou přerušit nebo omezit bezpečnostní a hygienická opatření přijatá objednatelem v souvislosti s bojem proti onemocnění COVID-19 nebo jiného podobného onemocnění. V případě přerušení prací z těchto důvodů se prodlužuje doba plnění o dobu, po kterou bylo zastaveno nebo omezeno plnění díla. Tato skutečnost není důvodem pro nevýšení ceny díla.</w:t>
      </w:r>
    </w:p>
    <w:p w:rsidR="00176818" w:rsidRPr="00A94713" w:rsidRDefault="00176818" w:rsidP="00413C5D">
      <w:pPr>
        <w:pStyle w:val="Odstavecseseznamem"/>
        <w:numPr>
          <w:ilvl w:val="0"/>
          <w:numId w:val="16"/>
        </w:numPr>
        <w:spacing w:before="20" w:after="120"/>
        <w:ind w:left="357" w:right="51" w:hanging="357"/>
        <w:contextualSpacing w:val="0"/>
        <w:jc w:val="both"/>
        <w:rPr>
          <w:rFonts w:ascii="Arial" w:hAnsi="Arial" w:cs="Arial"/>
          <w:spacing w:val="-1"/>
        </w:rPr>
      </w:pPr>
      <w:r w:rsidRPr="00A94713">
        <w:rPr>
          <w:rFonts w:ascii="Arial" w:hAnsi="Arial" w:cs="Arial"/>
          <w:spacing w:val="-1"/>
        </w:rPr>
        <w:t>Zhotovitel se zavazuje, že při provádění díla bude dbát o dodržování pracovněprávních předpisů a důstojných pracovních podmínek svých zaměstnanců, kteří se na provádění díla budou podílet, zejména, že bude:</w:t>
      </w:r>
    </w:p>
    <w:p w:rsidR="00176818" w:rsidRPr="00A94713" w:rsidRDefault="00176818" w:rsidP="00413C5D">
      <w:pPr>
        <w:pStyle w:val="Odstavecseseznamem"/>
        <w:numPr>
          <w:ilvl w:val="0"/>
          <w:numId w:val="19"/>
        </w:numPr>
        <w:spacing w:before="120" w:after="60"/>
        <w:ind w:left="714" w:right="51" w:hanging="357"/>
        <w:contextualSpacing w:val="0"/>
        <w:jc w:val="both"/>
        <w:rPr>
          <w:rFonts w:ascii="Arial" w:hAnsi="Arial" w:cs="Arial"/>
          <w:spacing w:val="-1"/>
        </w:rPr>
      </w:pPr>
      <w:r w:rsidRPr="00A94713">
        <w:rPr>
          <w:rFonts w:ascii="Arial" w:hAnsi="Arial" w:cs="Arial"/>
        </w:rPr>
        <w:t>provádění díla zajišťovat zaměstnanci s řádně uzavřenými pracovními smlouvami</w:t>
      </w:r>
      <w:r w:rsidRPr="00A94713">
        <w:rPr>
          <w:rFonts w:ascii="Arial" w:hAnsi="Arial" w:cs="Arial"/>
          <w:spacing w:val="-1"/>
        </w:rPr>
        <w:t>,</w:t>
      </w:r>
    </w:p>
    <w:p w:rsidR="00176818" w:rsidRPr="00A94713" w:rsidRDefault="00176818" w:rsidP="00413C5D">
      <w:pPr>
        <w:pStyle w:val="Odstavecseseznamem"/>
        <w:numPr>
          <w:ilvl w:val="0"/>
          <w:numId w:val="19"/>
        </w:numPr>
        <w:spacing w:before="120" w:after="60"/>
        <w:ind w:left="714" w:right="51" w:hanging="357"/>
        <w:contextualSpacing w:val="0"/>
        <w:jc w:val="both"/>
        <w:rPr>
          <w:rFonts w:ascii="Arial" w:hAnsi="Arial" w:cs="Arial"/>
          <w:spacing w:val="-1"/>
        </w:rPr>
      </w:pPr>
      <w:r w:rsidRPr="00A94713">
        <w:rPr>
          <w:rFonts w:ascii="Arial" w:hAnsi="Arial" w:cs="Arial"/>
        </w:rPr>
        <w:t>ve vztahu k zaměstnancům důsledně dodržovat pracovněprávní práva a povinnosti vyplývající z obecně závazných právních předpisů a</w:t>
      </w:r>
      <w:r w:rsidR="00413C5D">
        <w:rPr>
          <w:rFonts w:ascii="Arial" w:hAnsi="Arial" w:cs="Arial"/>
        </w:rPr>
        <w:t xml:space="preserve"> smluv, zejména vytvářet slušné </w:t>
      </w:r>
      <w:r w:rsidRPr="00A94713">
        <w:rPr>
          <w:rFonts w:ascii="Arial" w:hAnsi="Arial" w:cs="Arial"/>
        </w:rPr>
        <w:t>a důstojné pracovní podmínky, dbát na bezpečnost a o ochranu zdraví zaměstnanců při práci, poskytovat vhodné a dostatečné pracovní pomůcky a ochranné prostředky, dodržovat pravidla pro stanovování pracovní doby a doby odpočinku,</w:t>
      </w:r>
    </w:p>
    <w:p w:rsidR="00176818" w:rsidRPr="00A94713" w:rsidRDefault="00176818" w:rsidP="00413C5D">
      <w:pPr>
        <w:pStyle w:val="Odstavecseseznamem"/>
        <w:numPr>
          <w:ilvl w:val="0"/>
          <w:numId w:val="19"/>
        </w:numPr>
        <w:spacing w:before="120" w:after="60"/>
        <w:ind w:left="714" w:right="51" w:hanging="357"/>
        <w:contextualSpacing w:val="0"/>
        <w:jc w:val="both"/>
        <w:rPr>
          <w:rFonts w:ascii="Arial" w:hAnsi="Arial" w:cs="Arial"/>
          <w:spacing w:val="-1"/>
        </w:rPr>
      </w:pPr>
      <w:r w:rsidRPr="00A94713">
        <w:rPr>
          <w:rFonts w:ascii="Arial" w:hAnsi="Arial" w:cs="Arial"/>
        </w:rPr>
        <w:t>zaměstnancům poskytovat pracovněprávní odměnu v souladu s právní úpravou odměňování v pracovněprávních vztazích a rovněž odpovídající odměnu (příplatek) za případnou práci přesčas, práci v noci, práci ve svátek atp.</w:t>
      </w:r>
    </w:p>
    <w:p w:rsidR="00176818" w:rsidRPr="00A70B42" w:rsidRDefault="00176818" w:rsidP="00413C5D">
      <w:pPr>
        <w:pStyle w:val="Odstavecseseznamem"/>
        <w:numPr>
          <w:ilvl w:val="0"/>
          <w:numId w:val="19"/>
        </w:numPr>
        <w:spacing w:before="120" w:after="60"/>
        <w:ind w:left="714" w:right="51" w:hanging="357"/>
        <w:contextualSpacing w:val="0"/>
        <w:jc w:val="both"/>
        <w:rPr>
          <w:rFonts w:ascii="Arial" w:hAnsi="Arial" w:cs="Arial"/>
          <w:spacing w:val="-1"/>
        </w:rPr>
      </w:pPr>
      <w:r w:rsidRPr="00A94713">
        <w:rPr>
          <w:rFonts w:ascii="Arial" w:hAnsi="Arial" w:cs="Arial"/>
        </w:rPr>
        <w:t>na výzvu objednatele za účelem kontroly předkládat (či zajistí předložení) příslušných dokladů (zejména, nikoli však výlučně pracovněprávních smluv a dokladů o výplatě mzdy) a to bez zbytečného odkladu od výzvy, nejpozději však do 2 pracovních dnů.</w:t>
      </w:r>
    </w:p>
    <w:p w:rsidR="00176818" w:rsidRPr="001D347B" w:rsidRDefault="00176818" w:rsidP="00176818">
      <w:pPr>
        <w:numPr>
          <w:ilvl w:val="0"/>
          <w:numId w:val="16"/>
        </w:numPr>
        <w:spacing w:before="120" w:after="120"/>
        <w:jc w:val="both"/>
        <w:rPr>
          <w:rFonts w:eastAsia="Times New Roman" w:cs="Arial"/>
        </w:rPr>
      </w:pPr>
      <w:r w:rsidRPr="00A94713">
        <w:rPr>
          <w:rFonts w:ascii="Arial" w:eastAsia="Times New Roman" w:hAnsi="Arial" w:cs="Arial"/>
        </w:rPr>
        <w:t>O předání konečného díla bude sepsán předávací protokol podepsaný kontaktní osobou objednatele a oprávněnou osobou zhotovitele. Součástí předávacího protokolu bude závěrečná restaurátorská zpráva vypracovaná restaurátorem s příslušným oprávněním ve 2 vyhotoveních. Objednatel není povinen převzít dílo ani s ojedinělými drobnými vadami, které samy o sobě ani ve spojení s jinými nebrání užívání díla funkčně nebo esteticky. V případě převzetí díla s drobnými vadami a nedodělky bude stanoven termín odstranění těchto vad</w:t>
      </w:r>
      <w:r>
        <w:rPr>
          <w:rFonts w:eastAsia="Times New Roman" w:cs="Arial"/>
        </w:rPr>
        <w:t xml:space="preserve">. </w:t>
      </w:r>
    </w:p>
    <w:p w:rsidR="00176818" w:rsidRDefault="00176818" w:rsidP="00176818">
      <w:pPr>
        <w:numPr>
          <w:ilvl w:val="0"/>
          <w:numId w:val="9"/>
        </w:numPr>
        <w:tabs>
          <w:tab w:val="num" w:pos="360"/>
        </w:tabs>
        <w:spacing w:after="240"/>
        <w:ind w:left="0" w:firstLine="0"/>
        <w:contextualSpacing/>
        <w:jc w:val="center"/>
        <w:outlineLvl w:val="3"/>
        <w:rPr>
          <w:rFonts w:ascii="Arial" w:eastAsia="Calibri" w:hAnsi="Arial" w:cs="Arial"/>
          <w:b/>
        </w:rPr>
      </w:pPr>
      <w:r w:rsidRPr="00333F06">
        <w:rPr>
          <w:rFonts w:ascii="Arial" w:eastAsia="Calibri" w:hAnsi="Arial" w:cs="Arial"/>
          <w:b/>
        </w:rPr>
        <w:br/>
        <w:t>Cena a platební podmínky</w:t>
      </w:r>
    </w:p>
    <w:p w:rsidR="00176818" w:rsidRPr="00333F06" w:rsidRDefault="00176818" w:rsidP="00176818">
      <w:pPr>
        <w:spacing w:after="240"/>
        <w:contextualSpacing/>
        <w:outlineLvl w:val="3"/>
        <w:rPr>
          <w:rFonts w:ascii="Arial" w:eastAsia="Calibri" w:hAnsi="Arial" w:cs="Arial"/>
          <w:b/>
        </w:rPr>
      </w:pPr>
    </w:p>
    <w:p w:rsidR="00176818" w:rsidRPr="001F7EC9" w:rsidRDefault="00176818" w:rsidP="00176818">
      <w:pPr>
        <w:numPr>
          <w:ilvl w:val="0"/>
          <w:numId w:val="17"/>
        </w:numPr>
        <w:tabs>
          <w:tab w:val="num" w:pos="426"/>
        </w:tabs>
        <w:spacing w:after="120"/>
        <w:ind w:left="425" w:hanging="425"/>
        <w:jc w:val="both"/>
        <w:rPr>
          <w:rFonts w:ascii="Arial" w:hAnsi="Arial" w:cs="Arial"/>
          <w:b/>
        </w:rPr>
      </w:pPr>
      <w:r w:rsidRPr="001F7EC9">
        <w:rPr>
          <w:rFonts w:ascii="Arial" w:hAnsi="Arial" w:cs="Arial"/>
          <w:b/>
          <w:spacing w:val="1"/>
        </w:rPr>
        <w:t>C</w:t>
      </w:r>
      <w:r w:rsidRPr="001F7EC9">
        <w:rPr>
          <w:rFonts w:ascii="Arial" w:hAnsi="Arial" w:cs="Arial"/>
          <w:b/>
          <w:spacing w:val="-1"/>
        </w:rPr>
        <w:t>e</w:t>
      </w:r>
      <w:r w:rsidRPr="001F7EC9">
        <w:rPr>
          <w:rFonts w:ascii="Arial" w:hAnsi="Arial" w:cs="Arial"/>
          <w:b/>
        </w:rPr>
        <w:t xml:space="preserve">lková </w:t>
      </w:r>
      <w:r w:rsidRPr="001F7EC9">
        <w:rPr>
          <w:rFonts w:ascii="Arial" w:hAnsi="Arial" w:cs="Arial"/>
          <w:b/>
          <w:spacing w:val="-1"/>
        </w:rPr>
        <w:t>ce</w:t>
      </w:r>
      <w:r w:rsidRPr="001F7EC9">
        <w:rPr>
          <w:rFonts w:ascii="Arial" w:hAnsi="Arial" w:cs="Arial"/>
          <w:b/>
        </w:rPr>
        <w:t>na díla bez DPH v Kč</w:t>
      </w:r>
      <w:r w:rsidRPr="001F7EC9">
        <w:rPr>
          <w:rFonts w:ascii="Arial" w:hAnsi="Arial" w:cs="Arial"/>
          <w:b/>
        </w:rPr>
        <w:tab/>
      </w:r>
      <w:r w:rsidR="00187777">
        <w:rPr>
          <w:rFonts w:ascii="Arial" w:eastAsia="Calibri" w:hAnsi="Arial" w:cs="Arial"/>
        </w:rPr>
        <w:t>322.283</w:t>
      </w:r>
    </w:p>
    <w:p w:rsidR="00176818" w:rsidRPr="001F7EC9" w:rsidRDefault="00176818" w:rsidP="00176818">
      <w:pPr>
        <w:spacing w:before="120" w:after="120"/>
        <w:ind w:left="426" w:right="-20"/>
        <w:rPr>
          <w:rFonts w:ascii="Arial" w:hAnsi="Arial" w:cs="Arial"/>
          <w:b/>
        </w:rPr>
      </w:pPr>
      <w:r w:rsidRPr="001F7EC9">
        <w:rPr>
          <w:rFonts w:ascii="Arial" w:hAnsi="Arial" w:cs="Arial"/>
          <w:b/>
        </w:rPr>
        <w:t>Výše DPH v Kč</w:t>
      </w:r>
      <w:r w:rsidRPr="001F7EC9">
        <w:rPr>
          <w:rFonts w:ascii="Arial" w:hAnsi="Arial" w:cs="Arial"/>
          <w:b/>
        </w:rPr>
        <w:tab/>
      </w:r>
      <w:r w:rsidRPr="001F7EC9">
        <w:rPr>
          <w:rFonts w:ascii="Arial" w:hAnsi="Arial" w:cs="Arial"/>
          <w:b/>
        </w:rPr>
        <w:tab/>
      </w:r>
      <w:r w:rsidRPr="001F7EC9">
        <w:rPr>
          <w:rFonts w:ascii="Arial" w:hAnsi="Arial" w:cs="Arial"/>
          <w:b/>
        </w:rPr>
        <w:tab/>
      </w:r>
      <w:r w:rsidRPr="001F7EC9">
        <w:rPr>
          <w:rFonts w:ascii="Arial" w:hAnsi="Arial" w:cs="Arial"/>
          <w:b/>
        </w:rPr>
        <w:tab/>
      </w:r>
      <w:r w:rsidR="00187777">
        <w:rPr>
          <w:rFonts w:ascii="Arial" w:eastAsia="Calibri" w:hAnsi="Arial" w:cs="Arial"/>
        </w:rPr>
        <w:t>67.679,43</w:t>
      </w:r>
    </w:p>
    <w:p w:rsidR="00176818" w:rsidRDefault="00176818" w:rsidP="00176818">
      <w:pPr>
        <w:spacing w:after="120"/>
        <w:ind w:left="426"/>
        <w:rPr>
          <w:rFonts w:ascii="Arial" w:hAnsi="Arial" w:cs="Arial"/>
          <w:b/>
        </w:rPr>
      </w:pPr>
      <w:r w:rsidRPr="001F7EC9">
        <w:rPr>
          <w:rFonts w:ascii="Arial" w:hAnsi="Arial" w:cs="Arial"/>
          <w:b/>
        </w:rPr>
        <w:t xml:space="preserve">Celková cena díla včetně DPH v Kč </w:t>
      </w:r>
      <w:r w:rsidRPr="001F7EC9">
        <w:rPr>
          <w:rFonts w:ascii="Arial" w:hAnsi="Arial" w:cs="Arial"/>
          <w:b/>
        </w:rPr>
        <w:tab/>
      </w:r>
      <w:r w:rsidR="00187777">
        <w:rPr>
          <w:rFonts w:ascii="Arial" w:eastAsia="Calibri" w:hAnsi="Arial" w:cs="Arial"/>
        </w:rPr>
        <w:t>389.</w:t>
      </w:r>
      <w:r w:rsidR="00187777" w:rsidRPr="000B583C">
        <w:rPr>
          <w:rFonts w:ascii="Arial" w:eastAsia="Calibri" w:hAnsi="Arial" w:cs="Arial"/>
        </w:rPr>
        <w:t>962,43</w:t>
      </w:r>
    </w:p>
    <w:p w:rsidR="00176818" w:rsidRPr="00A94713" w:rsidRDefault="00176818" w:rsidP="00176818">
      <w:pPr>
        <w:spacing w:after="120"/>
        <w:ind w:left="426"/>
        <w:rPr>
          <w:rFonts w:ascii="Arial" w:eastAsia="Times New Roman" w:hAnsi="Arial" w:cs="Arial"/>
          <w:spacing w:val="-1"/>
        </w:rPr>
      </w:pPr>
      <w:r w:rsidRPr="00A94713">
        <w:rPr>
          <w:rFonts w:ascii="Arial" w:eastAsia="Times New Roman" w:hAnsi="Arial" w:cs="Arial"/>
        </w:rPr>
        <w:t xml:space="preserve">Celková cena díla </w:t>
      </w:r>
      <w:r w:rsidRPr="00A94713">
        <w:rPr>
          <w:rFonts w:ascii="Arial" w:eastAsia="Times New Roman" w:hAnsi="Arial" w:cs="Arial"/>
          <w:spacing w:val="-1"/>
        </w:rPr>
        <w:t xml:space="preserve">včetně položkového členění v příloze č. 1 </w:t>
      </w:r>
      <w:r>
        <w:rPr>
          <w:rFonts w:ascii="Arial" w:eastAsia="Times New Roman" w:hAnsi="Arial" w:cs="Arial"/>
          <w:spacing w:val="-1"/>
        </w:rPr>
        <w:t>–</w:t>
      </w:r>
      <w:r w:rsidRPr="00A94713">
        <w:rPr>
          <w:rFonts w:ascii="Arial" w:eastAsia="Times New Roman" w:hAnsi="Arial" w:cs="Arial"/>
          <w:spacing w:val="-1"/>
        </w:rPr>
        <w:t xml:space="preserve"> </w:t>
      </w:r>
      <w:r>
        <w:rPr>
          <w:rFonts w:ascii="Arial" w:eastAsia="Times New Roman" w:hAnsi="Arial" w:cs="Arial"/>
          <w:spacing w:val="-1"/>
        </w:rPr>
        <w:t>Kalkulace nabídkové ceny</w:t>
      </w:r>
      <w:r w:rsidRPr="00A94713">
        <w:rPr>
          <w:rFonts w:ascii="Arial" w:eastAsia="Times New Roman" w:hAnsi="Arial" w:cs="Arial"/>
          <w:spacing w:val="-1"/>
        </w:rPr>
        <w:t>.</w:t>
      </w:r>
    </w:p>
    <w:p w:rsidR="00176818" w:rsidRPr="00A94713" w:rsidRDefault="00176818" w:rsidP="00176818">
      <w:pPr>
        <w:spacing w:after="120"/>
        <w:ind w:left="426"/>
        <w:jc w:val="both"/>
        <w:rPr>
          <w:rFonts w:ascii="Arial" w:hAnsi="Arial" w:cs="Arial"/>
          <w:b/>
        </w:rPr>
      </w:pPr>
      <w:r w:rsidRPr="00A94713">
        <w:rPr>
          <w:rFonts w:ascii="Arial" w:eastAsia="Times New Roman" w:hAnsi="Arial" w:cs="Arial"/>
          <w:spacing w:val="1"/>
        </w:rPr>
        <w:t>Zhotovitel prohlašuje, že položkový rozpočet obsahuje veškeré náklady dle stanoveného rozsahu a předmětu plnění, za podmínek vyplývajících se zadávací dokumentace, a této smlouvy. Zhotovitel nese plné riziko správnosti a úplnosti nacenění přílohy č. 1. Zhotovitel nemůže účtovat za prováděné práce dle této smlouvy žádné vícenáklady, a to ani v případě nárůstu cen.</w:t>
      </w:r>
    </w:p>
    <w:p w:rsidR="00176818" w:rsidRPr="003B1B22" w:rsidRDefault="00176818" w:rsidP="00176818">
      <w:pPr>
        <w:pStyle w:val="Odstavecseseznamem"/>
        <w:numPr>
          <w:ilvl w:val="0"/>
          <w:numId w:val="17"/>
        </w:numPr>
        <w:spacing w:after="240"/>
        <w:jc w:val="both"/>
        <w:rPr>
          <w:rFonts w:ascii="Arial" w:eastAsia="Calibri" w:hAnsi="Arial" w:cs="Arial"/>
        </w:rPr>
      </w:pPr>
      <w:r w:rsidRPr="003B1B22">
        <w:rPr>
          <w:rFonts w:ascii="Arial" w:hAnsi="Arial" w:cs="Arial"/>
        </w:rPr>
        <w:lastRenderedPageBreak/>
        <w:t>Celková cena dle čl. IV odst. 1 této smlouvy je stanovena jako cena nejvýše přípustná</w:t>
      </w:r>
      <w:r w:rsidRPr="003B1B22">
        <w:rPr>
          <w:rFonts w:ascii="Arial" w:hAnsi="Arial" w:cs="Arial"/>
        </w:rPr>
        <w:br/>
        <w:t xml:space="preserve">a nepřekročitelná a zahrnuje zejména veškeré náklady </w:t>
      </w:r>
      <w:r>
        <w:rPr>
          <w:rFonts w:ascii="Arial" w:hAnsi="Arial" w:cs="Arial"/>
        </w:rPr>
        <w:t>zhotovitele</w:t>
      </w:r>
      <w:r w:rsidRPr="003B1B22">
        <w:rPr>
          <w:rFonts w:ascii="Arial" w:hAnsi="Arial" w:cs="Arial"/>
        </w:rPr>
        <w:t xml:space="preserve"> spojené s plněním předmětu smlouvy, včetně dopravy do místa plnění. Cenu je možné měnit pouze v případě změny sazby DPH; v takovém případě není třeba uzavírat dodatek k této smlouvě, ale bude aplikována sazba DPH vždy v aktuální výši dle platných právních předpisů.</w:t>
      </w:r>
    </w:p>
    <w:p w:rsidR="00176818" w:rsidRDefault="00176818" w:rsidP="00176818">
      <w:pPr>
        <w:numPr>
          <w:ilvl w:val="0"/>
          <w:numId w:val="17"/>
        </w:numPr>
        <w:spacing w:after="240"/>
        <w:ind w:left="425" w:hanging="425"/>
        <w:jc w:val="both"/>
        <w:rPr>
          <w:rFonts w:ascii="Arial" w:eastAsia="Calibri" w:hAnsi="Arial" w:cs="Arial"/>
        </w:rPr>
      </w:pPr>
      <w:r w:rsidRPr="001F7EC9">
        <w:rPr>
          <w:rFonts w:ascii="Arial" w:hAnsi="Arial" w:cs="Arial"/>
          <w:color w:val="000000"/>
        </w:rPr>
        <w:t>Zhotovitel prohlašuje, že oceněn</w:t>
      </w:r>
      <w:r>
        <w:rPr>
          <w:rFonts w:ascii="Arial" w:hAnsi="Arial" w:cs="Arial"/>
          <w:color w:val="000000"/>
        </w:rPr>
        <w:t>é položky</w:t>
      </w:r>
      <w:r w:rsidRPr="001F7EC9">
        <w:rPr>
          <w:rFonts w:ascii="Arial" w:hAnsi="Arial" w:cs="Arial"/>
          <w:color w:val="000000"/>
        </w:rPr>
        <w:t xml:space="preserve"> obsahuj</w:t>
      </w:r>
      <w:r>
        <w:rPr>
          <w:rFonts w:ascii="Arial" w:hAnsi="Arial" w:cs="Arial"/>
          <w:color w:val="000000"/>
        </w:rPr>
        <w:t>í</w:t>
      </w:r>
      <w:r w:rsidRPr="001F7EC9">
        <w:rPr>
          <w:rFonts w:ascii="Arial" w:hAnsi="Arial" w:cs="Arial"/>
          <w:color w:val="000000"/>
        </w:rPr>
        <w:t xml:space="preserve"> veškeré náklady dle stanov</w:t>
      </w:r>
      <w:r>
        <w:rPr>
          <w:rFonts w:ascii="Arial" w:hAnsi="Arial" w:cs="Arial"/>
          <w:color w:val="000000"/>
        </w:rPr>
        <w:t>eného rozsahu a předmětu plnění</w:t>
      </w:r>
      <w:r w:rsidRPr="001F7EC9">
        <w:rPr>
          <w:rFonts w:ascii="Arial" w:hAnsi="Arial" w:cs="Arial"/>
        </w:rPr>
        <w:t>, ale zhotovitel, jakožto odborník, o nich ví nebo má vědět, že jsou nezbytné pro plnění předmětu této smlouvy.</w:t>
      </w:r>
      <w:r w:rsidRPr="001F7EC9">
        <w:rPr>
          <w:rFonts w:ascii="Arial" w:hAnsi="Arial" w:cs="Arial"/>
          <w:color w:val="000000"/>
        </w:rPr>
        <w:t xml:space="preserve"> </w:t>
      </w:r>
      <w:r w:rsidRPr="001F7EC9">
        <w:rPr>
          <w:rFonts w:ascii="Arial" w:hAnsi="Arial" w:cs="Arial"/>
        </w:rPr>
        <w:t>Zhotovitel nese plné riziko správnosti a úplnosti kalkulace nabídkové ceny</w:t>
      </w:r>
      <w:r>
        <w:rPr>
          <w:rFonts w:ascii="Arial" w:hAnsi="Arial" w:cs="Arial"/>
        </w:rPr>
        <w:t xml:space="preserve"> za jednotlivé položky předmětu plnění</w:t>
      </w:r>
      <w:r w:rsidRPr="001F7EC9">
        <w:rPr>
          <w:rFonts w:ascii="Arial" w:hAnsi="Arial" w:cs="Arial"/>
        </w:rPr>
        <w:t>. Pokud cenu za položku neuvedl, ačkoliv uvést měl, nárok na zaplacení této položky mu nevzniká</w:t>
      </w:r>
      <w:r w:rsidRPr="00333F06">
        <w:rPr>
          <w:rFonts w:ascii="Arial" w:eastAsia="Calibri" w:hAnsi="Arial" w:cs="Arial"/>
        </w:rPr>
        <w:t>.</w:t>
      </w:r>
    </w:p>
    <w:p w:rsidR="00176818" w:rsidRDefault="00176818" w:rsidP="00176818">
      <w:pPr>
        <w:numPr>
          <w:ilvl w:val="0"/>
          <w:numId w:val="17"/>
        </w:numPr>
        <w:spacing w:after="240"/>
        <w:ind w:left="425" w:hanging="425"/>
        <w:jc w:val="both"/>
        <w:rPr>
          <w:rFonts w:ascii="Arial" w:eastAsia="Calibri" w:hAnsi="Arial" w:cs="Arial"/>
        </w:rPr>
      </w:pPr>
      <w:r w:rsidRPr="001F7EC9">
        <w:rPr>
          <w:rFonts w:ascii="Arial" w:hAnsi="Arial" w:cs="Arial"/>
        </w:rPr>
        <w:t>Objednatel neposkytuje zálohové platby</w:t>
      </w:r>
      <w:r>
        <w:rPr>
          <w:rFonts w:ascii="Arial" w:hAnsi="Arial" w:cs="Arial"/>
        </w:rPr>
        <w:t>.</w:t>
      </w:r>
    </w:p>
    <w:p w:rsidR="00176818" w:rsidRPr="00333F06" w:rsidRDefault="00176818" w:rsidP="00176818">
      <w:pPr>
        <w:numPr>
          <w:ilvl w:val="0"/>
          <w:numId w:val="17"/>
        </w:numPr>
        <w:spacing w:after="240"/>
        <w:ind w:left="425" w:hanging="425"/>
        <w:jc w:val="both"/>
        <w:rPr>
          <w:rFonts w:ascii="Arial" w:eastAsia="Calibri" w:hAnsi="Arial" w:cs="Arial"/>
        </w:rPr>
      </w:pPr>
      <w:r w:rsidRPr="00A94713">
        <w:rPr>
          <w:rFonts w:ascii="Arial" w:eastAsia="Times New Roman" w:hAnsi="Arial" w:cs="Arial"/>
          <w:spacing w:val="1"/>
        </w:rPr>
        <w:t>Cena díla bude zhotoviteli zaplacena po protokolárním převzetí díla objednatelem po odstranění všech případných vad a nedodělků</w:t>
      </w:r>
      <w:r>
        <w:rPr>
          <w:rFonts w:ascii="Arial" w:hAnsi="Arial" w:cs="Arial"/>
        </w:rPr>
        <w:t>.</w:t>
      </w:r>
      <w:r w:rsidRPr="001F7EC9">
        <w:rPr>
          <w:rFonts w:ascii="Arial" w:hAnsi="Arial" w:cs="Arial"/>
        </w:rPr>
        <w:t xml:space="preserve"> Cenu díla uhradí objednatel na základě faktury zhotovitele bezhotovostním převodem, přičemž splatnost faktury je 21 dnů ode dne jejího doručení objednateli. Povinnost objednatele zaplatit fakturovanou částku dle této smlouvy je splněna odepsáním příslušné částky z účtu objednatele</w:t>
      </w:r>
    </w:p>
    <w:p w:rsidR="00176818" w:rsidRPr="00333F06" w:rsidRDefault="00176818" w:rsidP="00176818">
      <w:pPr>
        <w:numPr>
          <w:ilvl w:val="0"/>
          <w:numId w:val="17"/>
        </w:numPr>
        <w:spacing w:after="240"/>
        <w:ind w:left="425" w:hanging="425"/>
        <w:jc w:val="both"/>
        <w:rPr>
          <w:rFonts w:ascii="Arial" w:eastAsia="Calibri" w:hAnsi="Arial" w:cs="Arial"/>
        </w:rPr>
      </w:pPr>
      <w:r w:rsidRPr="008556E0">
        <w:rPr>
          <w:rFonts w:ascii="Arial" w:hAnsi="Arial" w:cs="Arial"/>
        </w:rPr>
        <w:t xml:space="preserve">Faktura </w:t>
      </w:r>
      <w:r>
        <w:rPr>
          <w:rFonts w:ascii="Arial" w:eastAsia="Calibri" w:hAnsi="Arial" w:cs="Arial"/>
          <w:lang w:eastAsia="cs-CZ"/>
        </w:rPr>
        <w:t>zhotovite</w:t>
      </w:r>
      <w:r w:rsidRPr="00333F06">
        <w:rPr>
          <w:rFonts w:ascii="Arial" w:eastAsia="Calibri" w:hAnsi="Arial" w:cs="Arial"/>
          <w:lang w:eastAsia="cs-CZ"/>
        </w:rPr>
        <w:t>l</w:t>
      </w:r>
      <w:r>
        <w:rPr>
          <w:rFonts w:ascii="Arial" w:hAnsi="Arial" w:cs="Arial"/>
        </w:rPr>
        <w:t>e</w:t>
      </w:r>
      <w:r w:rsidRPr="008556E0">
        <w:rPr>
          <w:rFonts w:ascii="Arial" w:hAnsi="Arial" w:cs="Arial"/>
        </w:rPr>
        <w:t xml:space="preserv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w:t>
      </w:r>
      <w:r>
        <w:rPr>
          <w:rFonts w:ascii="Arial" w:hAnsi="Arial" w:cs="Arial"/>
        </w:rPr>
        <w:t>objednatelem</w:t>
      </w:r>
      <w:r w:rsidRPr="008556E0">
        <w:rPr>
          <w:rFonts w:ascii="Arial" w:hAnsi="Arial" w:cs="Arial"/>
        </w:rPr>
        <w:t xml:space="preserve"> v záhlaví této smlouvy a </w:t>
      </w:r>
      <w:r>
        <w:rPr>
          <w:rFonts w:ascii="Arial" w:hAnsi="Arial" w:cs="Arial"/>
        </w:rPr>
        <w:t xml:space="preserve">přílohou faktury musí být kopie </w:t>
      </w:r>
      <w:r w:rsidRPr="008556E0">
        <w:rPr>
          <w:rFonts w:ascii="Arial" w:hAnsi="Arial" w:cs="Arial"/>
        </w:rPr>
        <w:t>předávacího protokolu</w:t>
      </w:r>
      <w:r>
        <w:rPr>
          <w:rFonts w:ascii="Arial" w:hAnsi="Arial" w:cs="Arial"/>
        </w:rPr>
        <w:t xml:space="preserve"> </w:t>
      </w:r>
      <w:r w:rsidRPr="008556E0">
        <w:rPr>
          <w:rFonts w:ascii="Arial" w:hAnsi="Arial" w:cs="Arial"/>
        </w:rPr>
        <w:t>dle čl. II</w:t>
      </w:r>
      <w:r>
        <w:rPr>
          <w:rFonts w:ascii="Arial" w:hAnsi="Arial" w:cs="Arial"/>
        </w:rPr>
        <w:t>I</w:t>
      </w:r>
      <w:r w:rsidRPr="008556E0">
        <w:rPr>
          <w:rFonts w:ascii="Arial" w:hAnsi="Arial" w:cs="Arial"/>
        </w:rPr>
        <w:t xml:space="preserve"> odst. </w:t>
      </w:r>
      <w:r>
        <w:rPr>
          <w:rFonts w:ascii="Arial" w:hAnsi="Arial" w:cs="Arial"/>
        </w:rPr>
        <w:t>2</w:t>
      </w:r>
      <w:r w:rsidRPr="008556E0">
        <w:rPr>
          <w:rFonts w:ascii="Arial" w:hAnsi="Arial" w:cs="Arial"/>
        </w:rPr>
        <w:t xml:space="preserve"> této smlouvy.</w:t>
      </w:r>
    </w:p>
    <w:p w:rsidR="00176818" w:rsidRPr="00333F06" w:rsidRDefault="00176818" w:rsidP="00176818">
      <w:pPr>
        <w:numPr>
          <w:ilvl w:val="0"/>
          <w:numId w:val="17"/>
        </w:numPr>
        <w:spacing w:after="240"/>
        <w:ind w:left="425" w:hanging="425"/>
        <w:jc w:val="both"/>
        <w:rPr>
          <w:rFonts w:ascii="Arial" w:eastAsia="Calibri" w:hAnsi="Arial" w:cs="Arial"/>
        </w:rPr>
      </w:pPr>
      <w:r w:rsidRPr="00333F06">
        <w:rPr>
          <w:rFonts w:ascii="Arial" w:eastAsia="Calibri" w:hAnsi="Arial" w:cs="Arial"/>
        </w:rPr>
        <w:t xml:space="preserve">V případě, že faktura nebude mít stanovené náležitosti nebo bude obsahovat chybné údaje, je objednatel oprávněn tuto fakturu ve lhůtě její splatnosti vrátit </w:t>
      </w:r>
      <w:r>
        <w:rPr>
          <w:rFonts w:ascii="Arial" w:eastAsia="Calibri" w:hAnsi="Arial" w:cs="Arial"/>
        </w:rPr>
        <w:t>zhotoviteli,</w:t>
      </w:r>
      <w:r w:rsidRPr="00333F06">
        <w:rPr>
          <w:rFonts w:ascii="Arial" w:eastAsia="Calibri" w:hAnsi="Arial" w:cs="Arial"/>
        </w:rPr>
        <w:t xml:space="preserve"> aniž by se tím objednatel dostal do prodlení s úhradou faktury. Nová lhůta splatnosti počíná běžet dnem obdržení opravené nebo nově vystavené faktury. Důvod případného vrácení faktury musí být objednatelem jednoznačně vymezen.</w:t>
      </w:r>
    </w:p>
    <w:p w:rsidR="00176818" w:rsidRPr="00333F06" w:rsidRDefault="00176818" w:rsidP="00176818">
      <w:pPr>
        <w:numPr>
          <w:ilvl w:val="0"/>
          <w:numId w:val="17"/>
        </w:numPr>
        <w:spacing w:after="240"/>
        <w:ind w:left="425" w:hanging="425"/>
        <w:jc w:val="both"/>
        <w:rPr>
          <w:rFonts w:ascii="Arial" w:eastAsia="Calibri" w:hAnsi="Arial" w:cs="Arial"/>
        </w:rPr>
      </w:pPr>
      <w:r>
        <w:rPr>
          <w:rFonts w:ascii="Arial" w:eastAsia="Calibri" w:hAnsi="Arial" w:cs="Arial"/>
        </w:rPr>
        <w:t>Zhotovitel</w:t>
      </w:r>
      <w:r w:rsidRPr="00333F06">
        <w:rPr>
          <w:rFonts w:ascii="Arial" w:eastAsia="Calibri" w:hAnsi="Arial" w:cs="Arial"/>
        </w:rPr>
        <w:t xml:space="preserve"> je oprávněn fakturu včetně všech jejích příloh vystavit v elektronické formě dle § 26 ZDPH, a to ve formátu ISDOC nebo ISDOCX verze 5.2 nebo vyšší. </w:t>
      </w:r>
      <w:r>
        <w:rPr>
          <w:rFonts w:ascii="Arial" w:eastAsia="Calibri" w:hAnsi="Arial" w:cs="Arial"/>
        </w:rPr>
        <w:t>Zhotovitel</w:t>
      </w:r>
      <w:r w:rsidRPr="00333F06">
        <w:rPr>
          <w:rFonts w:ascii="Arial" w:eastAsia="Calibri" w:hAnsi="Arial" w:cs="Arial"/>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w:t>
      </w:r>
    </w:p>
    <w:p w:rsidR="00176818" w:rsidRPr="00333F06" w:rsidRDefault="00176818" w:rsidP="00176818">
      <w:pPr>
        <w:numPr>
          <w:ilvl w:val="0"/>
          <w:numId w:val="17"/>
        </w:numPr>
        <w:spacing w:after="240"/>
        <w:ind w:left="425" w:hanging="425"/>
        <w:jc w:val="both"/>
        <w:rPr>
          <w:rFonts w:ascii="Arial" w:eastAsia="Calibri" w:hAnsi="Arial" w:cs="Arial"/>
        </w:rPr>
      </w:pPr>
      <w:r w:rsidRPr="00333F06">
        <w:rPr>
          <w:rFonts w:ascii="Arial" w:eastAsia="Calibri" w:hAnsi="Arial" w:cs="Arial"/>
        </w:rPr>
        <w:t xml:space="preserve">V případě, že úhrada má být provedena zcela nebo zčásti bezhotovostním převodem na účet vedený </w:t>
      </w:r>
      <w:r>
        <w:rPr>
          <w:rFonts w:ascii="Arial" w:eastAsia="Calibri" w:hAnsi="Arial" w:cs="Arial"/>
        </w:rPr>
        <w:t>zhotovitelem</w:t>
      </w:r>
      <w:r w:rsidRPr="00333F06">
        <w:rPr>
          <w:rFonts w:ascii="Arial" w:eastAsia="Calibri" w:hAnsi="Arial" w:cs="Arial"/>
        </w:rPr>
        <w:t xml:space="preserve"> platebních služeb mimo tuzemsko ve smyslu § 109 odst. 2 písm. b) ZDPH, nebo číslo bankovního účtu </w:t>
      </w:r>
      <w:r>
        <w:rPr>
          <w:rFonts w:ascii="Arial" w:eastAsia="Calibri" w:hAnsi="Arial" w:cs="Arial"/>
        </w:rPr>
        <w:t>zhotovitele</w:t>
      </w:r>
      <w:r w:rsidRPr="00333F06">
        <w:rPr>
          <w:rFonts w:ascii="Arial" w:eastAsia="Calibri" w:hAnsi="Arial" w:cs="Arial"/>
        </w:rPr>
        <w:t xml:space="preserve"> uvedené v této smlouvě nebo na daňovém dokladu vystaveném </w:t>
      </w: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Calibri" w:hAnsi="Arial" w:cs="Arial"/>
        </w:rPr>
        <w:t xml:space="preserve">em nebude uveřejněno způsobem umožňujícím dálkový přístup ve smyslu § 109 odst. 2 písm. c) ZDPH a nebo stane-li se </w:t>
      </w:r>
      <w:r>
        <w:rPr>
          <w:rFonts w:ascii="Arial" w:eastAsia="Calibri" w:hAnsi="Arial" w:cs="Arial"/>
        </w:rPr>
        <w:t>zhotovitel</w:t>
      </w:r>
      <w:r w:rsidRPr="00333F06">
        <w:rPr>
          <w:rFonts w:ascii="Arial" w:eastAsia="Calibri" w:hAnsi="Arial" w:cs="Arial"/>
        </w:rPr>
        <w:t xml:space="preserve"> nespolehlivým plátcem ve smyslu § 106a ZDPH, je objednatel oprávněn uhradit </w:t>
      </w:r>
      <w:r>
        <w:rPr>
          <w:rFonts w:ascii="Arial" w:eastAsia="Calibri" w:hAnsi="Arial" w:cs="Arial"/>
        </w:rPr>
        <w:t>zhotoviteli</w:t>
      </w:r>
      <w:r w:rsidRPr="00333F06">
        <w:rPr>
          <w:rFonts w:ascii="Arial" w:eastAsia="Calibri" w:hAnsi="Arial" w:cs="Arial"/>
        </w:rPr>
        <w:t xml:space="preserve">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 </w:t>
      </w:r>
    </w:p>
    <w:p w:rsidR="00176818" w:rsidRDefault="00176818" w:rsidP="00176818">
      <w:pPr>
        <w:numPr>
          <w:ilvl w:val="0"/>
          <w:numId w:val="17"/>
        </w:numPr>
        <w:spacing w:after="240"/>
        <w:ind w:left="425" w:hanging="425"/>
        <w:jc w:val="both"/>
        <w:rPr>
          <w:rFonts w:ascii="Arial" w:eastAsia="Calibri" w:hAnsi="Arial" w:cs="Arial"/>
        </w:rPr>
      </w:pPr>
      <w:r w:rsidRPr="00333F06">
        <w:rPr>
          <w:rFonts w:ascii="Arial" w:eastAsia="Calibri" w:hAnsi="Arial" w:cs="Arial"/>
        </w:rPr>
        <w:t xml:space="preserve">Povinnost objednatele zaplatit fakturovanou částku dle této smlouvy je splněna odepsáním příslušné částky z účtu objednatele ve prospěch účtu </w:t>
      </w:r>
      <w:r>
        <w:rPr>
          <w:rFonts w:ascii="Arial" w:eastAsia="Calibri" w:hAnsi="Arial" w:cs="Arial"/>
        </w:rPr>
        <w:t>zhotovitele</w:t>
      </w:r>
      <w:r w:rsidRPr="00333F06">
        <w:rPr>
          <w:rFonts w:ascii="Arial" w:eastAsia="Calibri" w:hAnsi="Arial" w:cs="Arial"/>
        </w:rPr>
        <w:t>.</w:t>
      </w:r>
    </w:p>
    <w:p w:rsidR="00176818" w:rsidRPr="00333F06" w:rsidRDefault="00176818" w:rsidP="00176818">
      <w:pPr>
        <w:rPr>
          <w:rFonts w:ascii="Arial" w:eastAsia="Calibri" w:hAnsi="Arial" w:cs="Arial"/>
        </w:rPr>
      </w:pPr>
      <w:r>
        <w:rPr>
          <w:rFonts w:ascii="Arial" w:eastAsia="Calibri" w:hAnsi="Arial" w:cs="Arial"/>
        </w:rPr>
        <w:lastRenderedPageBreak/>
        <w:br w:type="page"/>
      </w:r>
    </w:p>
    <w:p w:rsidR="00176818" w:rsidRPr="00561E5B" w:rsidRDefault="00176818" w:rsidP="00176818">
      <w:pPr>
        <w:pStyle w:val="Nadpis4"/>
        <w:tabs>
          <w:tab w:val="clear" w:pos="360"/>
        </w:tabs>
        <w:spacing w:line="276" w:lineRule="auto"/>
      </w:pPr>
      <w:r w:rsidRPr="00561E5B">
        <w:lastRenderedPageBreak/>
        <w:br/>
        <w:t>Vady díla, záruka za jakost, odpovědnost za škodu</w:t>
      </w:r>
    </w:p>
    <w:p w:rsidR="00176818" w:rsidRPr="00A66FE6" w:rsidRDefault="00176818" w:rsidP="00176818">
      <w:pPr>
        <w:numPr>
          <w:ilvl w:val="0"/>
          <w:numId w:val="18"/>
        </w:numPr>
        <w:spacing w:after="120"/>
        <w:ind w:left="426" w:hanging="425"/>
        <w:jc w:val="both"/>
        <w:rPr>
          <w:rFonts w:ascii="Arial" w:hAnsi="Arial" w:cs="Arial"/>
        </w:rPr>
      </w:pPr>
      <w:r w:rsidRPr="00A66FE6">
        <w:rPr>
          <w:rFonts w:ascii="Arial" w:eastAsia="Times New Roman" w:hAnsi="Arial" w:cs="Arial"/>
          <w:spacing w:val="-1"/>
        </w:rPr>
        <w:t>Zhotovitel odpovídá za vady díla. Vadami díla se rozumí jakékoli vady, které se projeví na díle v záruční době bez ohledu na to, zda vznikly při zhotovení díla nebo v záruční době</w:t>
      </w:r>
      <w:r w:rsidRPr="00A66FE6">
        <w:rPr>
          <w:rFonts w:ascii="Arial" w:hAnsi="Arial" w:cs="Arial"/>
        </w:rPr>
        <w:t xml:space="preserve">. </w:t>
      </w:r>
    </w:p>
    <w:p w:rsidR="00176818" w:rsidRPr="00A66FE6" w:rsidRDefault="00176818" w:rsidP="00176818">
      <w:pPr>
        <w:numPr>
          <w:ilvl w:val="0"/>
          <w:numId w:val="18"/>
        </w:numPr>
        <w:spacing w:after="120"/>
        <w:ind w:left="425" w:hanging="425"/>
        <w:jc w:val="both"/>
        <w:rPr>
          <w:rFonts w:ascii="Arial" w:hAnsi="Arial" w:cs="Arial"/>
        </w:rPr>
      </w:pPr>
      <w:r w:rsidRPr="00A66FE6">
        <w:rPr>
          <w:rFonts w:ascii="Arial" w:eastAsia="Times New Roman" w:hAnsi="Arial" w:cs="Arial"/>
          <w:spacing w:val="-1"/>
        </w:rPr>
        <w:t xml:space="preserve">Zhotovitel poskytuje objednateli záruku na dílo po dobu trvání </w:t>
      </w:r>
      <w:r>
        <w:rPr>
          <w:rFonts w:ascii="Arial" w:eastAsia="Times New Roman" w:hAnsi="Arial" w:cs="Arial"/>
          <w:spacing w:val="-1"/>
        </w:rPr>
        <w:t>5</w:t>
      </w:r>
      <w:r w:rsidRPr="00A66FE6">
        <w:rPr>
          <w:rFonts w:ascii="Arial" w:eastAsia="Times New Roman" w:hAnsi="Arial" w:cs="Arial"/>
          <w:spacing w:val="-1"/>
        </w:rPr>
        <w:t xml:space="preserve"> let. Záruční doba počíná plynout dnem následujícím po dni protokolárního předání a převzetí celého díla</w:t>
      </w:r>
      <w:r w:rsidRPr="00A66FE6">
        <w:rPr>
          <w:rFonts w:ascii="Arial" w:hAnsi="Arial" w:cs="Arial"/>
        </w:rPr>
        <w:t>.</w:t>
      </w:r>
    </w:p>
    <w:p w:rsidR="00176818" w:rsidRPr="00A66FE6" w:rsidRDefault="00176818" w:rsidP="00176818">
      <w:pPr>
        <w:numPr>
          <w:ilvl w:val="0"/>
          <w:numId w:val="18"/>
        </w:numPr>
        <w:spacing w:after="120"/>
        <w:ind w:left="426" w:right="13" w:hanging="425"/>
        <w:jc w:val="both"/>
        <w:rPr>
          <w:rFonts w:ascii="Arial" w:hAnsi="Arial" w:cs="Arial"/>
          <w:spacing w:val="-3"/>
        </w:rPr>
      </w:pPr>
      <w:r w:rsidRPr="00A66FE6">
        <w:rPr>
          <w:rFonts w:ascii="Arial" w:hAnsi="Arial" w:cs="Arial"/>
        </w:rPr>
        <w:t xml:space="preserve">Objednatel je povinen v průběhu záruční doby uplatnit vady bez zbytečného odkladu od jejich zjištění. Termín pro odstranění vady činí </w:t>
      </w:r>
      <w:r>
        <w:rPr>
          <w:rFonts w:ascii="Arial" w:hAnsi="Arial" w:cs="Arial"/>
        </w:rPr>
        <w:t>10</w:t>
      </w:r>
      <w:r w:rsidRPr="00A66FE6">
        <w:rPr>
          <w:rFonts w:ascii="Arial" w:hAnsi="Arial" w:cs="Arial"/>
        </w:rPr>
        <w:t xml:space="preserve"> pracovních dnů ode dne doručení oznámení o vadách zhotoviteli, pokud se smluvní strany, vzhledem k povaze vady nedohodnou jinak</w:t>
      </w:r>
      <w:r w:rsidRPr="00A66FE6">
        <w:rPr>
          <w:rFonts w:ascii="Arial" w:hAnsi="Arial" w:cs="Arial"/>
          <w:spacing w:val="-3"/>
        </w:rPr>
        <w:t>.</w:t>
      </w:r>
      <w:r>
        <w:rPr>
          <w:rFonts w:ascii="Arial" w:hAnsi="Arial" w:cs="Arial"/>
          <w:spacing w:val="-3"/>
        </w:rPr>
        <w:t xml:space="preserve"> V případě, že se jedná o vadu bránící uzavření objektu a/nebo jeho zastřežení, musí být vada odstraněna do 24 hodin od nahlášení, pokud se strany nedohodnou jinak.</w:t>
      </w:r>
      <w:r w:rsidRPr="00A66FE6">
        <w:rPr>
          <w:rFonts w:ascii="Arial" w:hAnsi="Arial" w:cs="Arial"/>
          <w:spacing w:val="-3"/>
        </w:rPr>
        <w:t xml:space="preserve"> </w:t>
      </w:r>
    </w:p>
    <w:p w:rsidR="00176818" w:rsidRPr="00A66FE6" w:rsidRDefault="00176818" w:rsidP="00176818">
      <w:pPr>
        <w:numPr>
          <w:ilvl w:val="0"/>
          <w:numId w:val="18"/>
        </w:numPr>
        <w:spacing w:after="120"/>
        <w:ind w:left="426" w:right="13" w:hanging="425"/>
        <w:jc w:val="both"/>
        <w:rPr>
          <w:rFonts w:ascii="Arial" w:hAnsi="Arial" w:cs="Arial"/>
          <w:spacing w:val="-3"/>
        </w:rPr>
      </w:pPr>
      <w:r w:rsidRPr="00A66FE6">
        <w:rPr>
          <w:rFonts w:ascii="Arial" w:eastAsia="Times New Roman" w:hAnsi="Arial" w:cs="Arial"/>
          <w:spacing w:val="-1"/>
        </w:rPr>
        <w:t>Zhotovitel odstraní v záruční době reklamované vady na svůj náklad. Odmítne-li zhotovitel odstranit reklamované vady, případně neodstraní-li je do 5 dnů od stanoveného termínu, je objednatel oprávněn odstranit vady sám nebo prostřednictvím třetího subjektu a náklady s tím spojené vyúčtovat zhotoviteli</w:t>
      </w:r>
      <w:r w:rsidRPr="00A66FE6">
        <w:rPr>
          <w:rFonts w:ascii="Arial" w:hAnsi="Arial" w:cs="Arial"/>
          <w:spacing w:val="-3"/>
        </w:rPr>
        <w:t>.</w:t>
      </w:r>
      <w:r>
        <w:rPr>
          <w:rFonts w:ascii="Arial" w:hAnsi="Arial" w:cs="Arial"/>
          <w:spacing w:val="-3"/>
        </w:rPr>
        <w:t xml:space="preserve"> </w:t>
      </w:r>
    </w:p>
    <w:p w:rsidR="00176818" w:rsidRPr="00A66FE6" w:rsidRDefault="00176818" w:rsidP="00176818">
      <w:pPr>
        <w:numPr>
          <w:ilvl w:val="0"/>
          <w:numId w:val="18"/>
        </w:numPr>
        <w:spacing w:after="120"/>
        <w:ind w:left="426" w:right="13" w:hanging="425"/>
        <w:jc w:val="both"/>
        <w:rPr>
          <w:rFonts w:ascii="Arial" w:hAnsi="Arial" w:cs="Arial"/>
          <w:spacing w:val="-3"/>
        </w:rPr>
      </w:pPr>
      <w:r w:rsidRPr="00A66FE6">
        <w:rPr>
          <w:rFonts w:ascii="Arial" w:hAnsi="Arial" w:cs="Arial"/>
          <w:spacing w:val="-3"/>
        </w:rPr>
        <w:t>Uplatněním odpovědnosti za vady nejsou dotčeny nároky na náhradu škody nebo na uplatnění smluvní pokuty.</w:t>
      </w:r>
    </w:p>
    <w:p w:rsidR="00176818" w:rsidRPr="001F7EC9" w:rsidRDefault="00176818" w:rsidP="00176818">
      <w:pPr>
        <w:numPr>
          <w:ilvl w:val="0"/>
          <w:numId w:val="18"/>
        </w:numPr>
        <w:spacing w:after="120"/>
        <w:ind w:left="426" w:right="13" w:hanging="425"/>
        <w:jc w:val="both"/>
        <w:rPr>
          <w:rFonts w:ascii="Arial" w:hAnsi="Arial" w:cs="Arial"/>
          <w:spacing w:val="-3"/>
        </w:rPr>
      </w:pPr>
      <w:r w:rsidRPr="001F7EC9">
        <w:rPr>
          <w:rFonts w:ascii="Arial" w:hAnsi="Arial" w:cs="Arial"/>
          <w:spacing w:val="-3"/>
        </w:rPr>
        <w:t xml:space="preserve">V případě sporu o oprávněnost reklamace budou smluvní strany respektovat vyjádření </w:t>
      </w:r>
      <w:r w:rsidRPr="001F7EC9">
        <w:rPr>
          <w:rFonts w:ascii="Arial" w:hAnsi="Arial" w:cs="Arial"/>
          <w:spacing w:val="-3"/>
        </w:rPr>
        <w:br/>
        <w:t>a konečné stanovisko soudního znalce vybraného objednatelem. Náklady na vypracování znaleckého posudku nese v plné výši smluvní strana, která nebude ve sporu o oprávněnost reklamace úspěšná.</w:t>
      </w:r>
    </w:p>
    <w:p w:rsidR="00176818" w:rsidRPr="001F7EC9" w:rsidRDefault="00176818" w:rsidP="00176818">
      <w:pPr>
        <w:numPr>
          <w:ilvl w:val="0"/>
          <w:numId w:val="18"/>
        </w:numPr>
        <w:spacing w:after="120"/>
        <w:ind w:right="13"/>
        <w:jc w:val="both"/>
        <w:rPr>
          <w:rFonts w:ascii="Arial" w:hAnsi="Arial" w:cs="Arial"/>
          <w:spacing w:val="-3"/>
        </w:rPr>
      </w:pPr>
      <w:r w:rsidRPr="001F7EC9">
        <w:rPr>
          <w:rFonts w:ascii="Arial" w:hAnsi="Arial" w:cs="Arial"/>
          <w:spacing w:val="-3"/>
        </w:rPr>
        <w:t xml:space="preserve">Každá smluvní strana je povinna nahradit způsobenou škodu v rámci platných právních předpisů a  této smlouvy. Obě smluvní strany se zavazují k vyvinutí maximálního úsilí k předcházení škodám a k minimalizaci vzniklých škod. Zhotovitel odpovídá za škody, které svou činností způsobí objednateli nebo třetím osobám, a to zejména v důsledku neplnění podmínek vyplývajících z právních předpisů nebo z této smlouvy. Jakoukoliv škodu takto vzniklou je zhotovitel povinen bezodkladně odstranit a není-li to možné, pak finančně nahradit v plné výši. </w:t>
      </w:r>
    </w:p>
    <w:p w:rsidR="00176818" w:rsidRPr="001F7EC9" w:rsidRDefault="00176818" w:rsidP="00176818">
      <w:pPr>
        <w:numPr>
          <w:ilvl w:val="0"/>
          <w:numId w:val="18"/>
        </w:numPr>
        <w:spacing w:after="120"/>
        <w:ind w:right="13"/>
        <w:jc w:val="both"/>
        <w:rPr>
          <w:rFonts w:ascii="Arial" w:hAnsi="Arial" w:cs="Arial"/>
          <w:spacing w:val="-3"/>
        </w:rPr>
      </w:pPr>
      <w:r w:rsidRPr="001F7EC9">
        <w:rPr>
          <w:rFonts w:ascii="Arial" w:hAnsi="Arial" w:cs="Arial"/>
          <w:spacing w:val="-3"/>
        </w:rPr>
        <w:t xml:space="preserve">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 </w:t>
      </w:r>
    </w:p>
    <w:p w:rsidR="00176818" w:rsidRPr="00067BCD" w:rsidRDefault="00176818" w:rsidP="00176818">
      <w:pPr>
        <w:pStyle w:val="Odstavecseseznamem"/>
        <w:numPr>
          <w:ilvl w:val="0"/>
          <w:numId w:val="18"/>
        </w:numPr>
        <w:spacing w:after="240"/>
        <w:jc w:val="both"/>
        <w:rPr>
          <w:rFonts w:ascii="Arial" w:eastAsia="Calibri" w:hAnsi="Arial" w:cs="Arial"/>
        </w:rPr>
      </w:pPr>
      <w:r w:rsidRPr="00067BCD">
        <w:rPr>
          <w:rFonts w:ascii="Arial" w:hAnsi="Arial" w:cs="Arial"/>
          <w:spacing w:val="-3"/>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rsidR="00176818" w:rsidRPr="00333F06" w:rsidRDefault="00176818" w:rsidP="00176818">
      <w:pPr>
        <w:keepNext/>
        <w:keepLines/>
        <w:numPr>
          <w:ilvl w:val="0"/>
          <w:numId w:val="9"/>
        </w:numPr>
        <w:tabs>
          <w:tab w:val="num" w:pos="360"/>
        </w:tabs>
        <w:spacing w:after="240"/>
        <w:ind w:left="0" w:firstLine="0"/>
        <w:contextualSpacing/>
        <w:jc w:val="center"/>
        <w:outlineLvl w:val="3"/>
        <w:rPr>
          <w:rFonts w:ascii="Arial" w:eastAsia="Calibri" w:hAnsi="Arial" w:cs="Arial"/>
          <w:b/>
        </w:rPr>
      </w:pPr>
      <w:r w:rsidRPr="00333F06">
        <w:rPr>
          <w:rFonts w:ascii="Arial" w:eastAsia="Calibri" w:hAnsi="Arial" w:cs="Arial"/>
          <w:b/>
        </w:rPr>
        <w:br/>
        <w:t>Ochrana informací</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6"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Smluvní strany jsou si vědomy toho, že v rámci plnění závazků z této smlouvy</w:t>
      </w:r>
    </w:p>
    <w:p w:rsidR="00176818" w:rsidRPr="00333F06" w:rsidRDefault="00176818" w:rsidP="00176818">
      <w:pPr>
        <w:numPr>
          <w:ilvl w:val="0"/>
          <w:numId w:val="12"/>
        </w:numPr>
        <w:tabs>
          <w:tab w:val="left" w:pos="-720"/>
          <w:tab w:val="left" w:pos="0"/>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si mohou vzájemně vědomě nebo opomenutím poskytnout informace, které budou považovány za důvěrné (dále jen „důvěrné informace“),</w:t>
      </w:r>
    </w:p>
    <w:p w:rsidR="00176818" w:rsidRPr="00333F06" w:rsidRDefault="00176818" w:rsidP="00176818">
      <w:pPr>
        <w:numPr>
          <w:ilvl w:val="0"/>
          <w:numId w:val="12"/>
        </w:numPr>
        <w:tabs>
          <w:tab w:val="left" w:pos="-720"/>
          <w:tab w:val="left" w:pos="0"/>
          <w:tab w:val="left" w:pos="1440"/>
          <w:tab w:val="left" w:pos="2160"/>
          <w:tab w:val="left" w:pos="2880"/>
          <w:tab w:val="left" w:pos="3600"/>
          <w:tab w:val="left" w:pos="4320"/>
        </w:tabs>
        <w:autoSpaceDE w:val="0"/>
        <w:autoSpaceDN w:val="0"/>
        <w:adjustRightInd w:val="0"/>
        <w:spacing w:after="24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lastRenderedPageBreak/>
        <w:t>mohou jejich zaměstnanci či osoby v obdobném postavení získat vědomou činností druhé smluvní strany nebo i jejím opomenutím přístup k důvěrným informacím druhé smluvní strany.</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Za třetí osoby dle odst. 2 tohoto článku se nepovažují:</w:t>
      </w:r>
    </w:p>
    <w:p w:rsidR="00176818" w:rsidRPr="00333F06" w:rsidRDefault="00176818" w:rsidP="00176818">
      <w:pPr>
        <w:numPr>
          <w:ilvl w:val="0"/>
          <w:numId w:val="13"/>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zaměstnanci smluvních stran a osoby v obdobném postavení,</w:t>
      </w:r>
    </w:p>
    <w:p w:rsidR="00176818" w:rsidRPr="00333F06" w:rsidRDefault="00176818" w:rsidP="00176818">
      <w:pPr>
        <w:numPr>
          <w:ilvl w:val="0"/>
          <w:numId w:val="13"/>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orgány smluvních stran a jejich členové,</w:t>
      </w:r>
    </w:p>
    <w:p w:rsidR="00176818" w:rsidRPr="00333F06" w:rsidRDefault="00176818" w:rsidP="00176818">
      <w:pPr>
        <w:numPr>
          <w:ilvl w:val="0"/>
          <w:numId w:val="13"/>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 xml:space="preserve">ve vztahu k důvěrným informacím objednatele subdodavatelé </w:t>
      </w:r>
      <w:r>
        <w:rPr>
          <w:rFonts w:ascii="Arial" w:eastAsia="@Arial Unicode MS" w:hAnsi="Arial" w:cs="Arial"/>
          <w:color w:val="000000"/>
          <w:lang w:eastAsia="cs-CZ"/>
        </w:rPr>
        <w:t>zhotovitele</w:t>
      </w:r>
      <w:r w:rsidRPr="00333F06">
        <w:rPr>
          <w:rFonts w:ascii="Arial" w:eastAsia="@Arial Unicode MS" w:hAnsi="Arial" w:cs="Arial"/>
          <w:color w:val="000000"/>
          <w:lang w:eastAsia="cs-CZ"/>
        </w:rPr>
        <w:t>,</w:t>
      </w:r>
    </w:p>
    <w:p w:rsidR="00176818" w:rsidRPr="00333F06" w:rsidRDefault="00176818" w:rsidP="00176818">
      <w:pPr>
        <w:numPr>
          <w:ilvl w:val="0"/>
          <w:numId w:val="13"/>
        </w:numPr>
        <w:tabs>
          <w:tab w:val="left" w:pos="-720"/>
          <w:tab w:val="left" w:pos="0"/>
          <w:tab w:val="left" w:pos="851"/>
          <w:tab w:val="left" w:pos="1440"/>
          <w:tab w:val="left" w:pos="2160"/>
          <w:tab w:val="left" w:pos="2880"/>
          <w:tab w:val="left" w:pos="3600"/>
          <w:tab w:val="left" w:pos="4320"/>
        </w:tabs>
        <w:autoSpaceDE w:val="0"/>
        <w:autoSpaceDN w:val="0"/>
        <w:adjustRightInd w:val="0"/>
        <w:spacing w:after="24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 xml:space="preserve">ve vztahu k důvěrným informacím </w:t>
      </w:r>
      <w:r>
        <w:rPr>
          <w:rFonts w:ascii="Arial" w:eastAsia="@Arial Unicode MS" w:hAnsi="Arial" w:cs="Arial"/>
          <w:color w:val="000000"/>
          <w:lang w:eastAsia="cs-CZ"/>
        </w:rPr>
        <w:t>zhotovitele</w:t>
      </w:r>
      <w:r w:rsidRPr="00333F06">
        <w:rPr>
          <w:rFonts w:ascii="Arial" w:eastAsia="@Arial Unicode MS" w:hAnsi="Arial" w:cs="Arial"/>
          <w:color w:val="000000"/>
          <w:lang w:eastAsia="cs-CZ"/>
        </w:rPr>
        <w:t xml:space="preserve"> externí dodavatelé objednatele, a to i potenciální,</w:t>
      </w:r>
    </w:p>
    <w:p w:rsidR="00176818" w:rsidRPr="00333F06" w:rsidRDefault="00176818" w:rsidP="00176818">
      <w:p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jc w:val="both"/>
        <w:rPr>
          <w:rFonts w:ascii="Arial" w:eastAsia="@Arial Unicode MS" w:hAnsi="Arial" w:cs="Arial"/>
          <w:color w:val="000000"/>
          <w:lang w:eastAsia="cs-CZ"/>
        </w:rPr>
      </w:pPr>
      <w:r w:rsidRPr="00333F06">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 xml:space="preserve">Smluvní strany se zavazují v plném rozsahu zachovávat povinnost mlčenlivosti a povinnost chránit důvěrné informace vyplývající z této smlouvy a z příslušných právních předpisů, zejména povinnosti vyplývající z </w:t>
      </w:r>
      <w:r w:rsidRPr="00333F06">
        <w:rPr>
          <w:rFonts w:ascii="Arial" w:eastAsia="Calibri" w:hAnsi="Arial" w:cs="Arial"/>
          <w:lang w:eastAsia="cs-CZ"/>
        </w:rPr>
        <w:t>Nařízení Evropského parlamentu a Rady (EU) 2016/679 ze dne 27. dubna 2016 o ochraně fyzických osob v souvislosti se zpracováním osobních údajů a o volném pohybu těchto údajů a o zrušení směrnice 95/46/ES (dále jen „obecné nařízení“).</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 xml:space="preserve">Budou-li informace poskytnuté objednatelem, </w:t>
      </w:r>
      <w:r>
        <w:rPr>
          <w:rFonts w:ascii="Arial" w:eastAsia="@Arial Unicode MS" w:hAnsi="Arial" w:cs="Arial"/>
          <w:color w:val="000000"/>
          <w:lang w:eastAsia="cs-CZ"/>
        </w:rPr>
        <w:t>zhotovitelem</w:t>
      </w:r>
      <w:r w:rsidRPr="00333F06">
        <w:rPr>
          <w:rFonts w:ascii="Arial" w:eastAsia="@Arial Unicode MS" w:hAnsi="Arial" w:cs="Arial"/>
          <w:color w:val="000000"/>
          <w:lang w:eastAsia="cs-CZ"/>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lastRenderedPageBreak/>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Bez ohledu na výše uvedená ustanovení se za důvěrné nepovažují informace, které:</w:t>
      </w:r>
    </w:p>
    <w:p w:rsidR="00176818" w:rsidRPr="00333F06" w:rsidRDefault="00176818" w:rsidP="00176818">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se staly veřejně známými, aniž by jejich zveřejněním došlo k porušení závazků přijímající smluvní strany či právních předpisů,</w:t>
      </w:r>
    </w:p>
    <w:p w:rsidR="00176818" w:rsidRPr="00333F06" w:rsidRDefault="00176818" w:rsidP="00176818">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měla přijímající strana prokazatelně legálně k dispozici před uzavřením této smlouvy, pokud takové informace nebyly předmětem jiné, dříve mezi smluvními stranami uzavřené smlouvy o ochraně informací,</w:t>
      </w:r>
    </w:p>
    <w:p w:rsidR="00176818" w:rsidRPr="00333F06" w:rsidRDefault="00176818" w:rsidP="00176818">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jsou výsledkem postupu, při kterém k nim přijímající strana dospěje nezávisle a to je schopna doložit svými záznamy nebo informacemi, včetně důvěrných, třetí strany,</w:t>
      </w:r>
    </w:p>
    <w:p w:rsidR="00176818" w:rsidRPr="00333F06" w:rsidRDefault="00176818" w:rsidP="00176818">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po podpisu této smlouvy poskytne přijímající straně třetí osoba, jež není omezena v takovém nakládání s informacemi,</w:t>
      </w:r>
    </w:p>
    <w:p w:rsidR="00176818" w:rsidRPr="00333F06" w:rsidRDefault="00176818" w:rsidP="00176818">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mají být zpřístupněny na základě zákona či jiného právního předpisu včetně práva EU nebo závazného rozhodnutí oprávněného orgánu veřejné moci,</w:t>
      </w:r>
    </w:p>
    <w:p w:rsidR="00176818" w:rsidRPr="00333F06" w:rsidRDefault="00176818" w:rsidP="00176818">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240"/>
        <w:ind w:left="782" w:hanging="357"/>
        <w:jc w:val="both"/>
        <w:rPr>
          <w:rFonts w:ascii="Arial" w:eastAsia="@Arial Unicode MS" w:hAnsi="Arial" w:cs="Arial"/>
          <w:color w:val="000000"/>
          <w:lang w:eastAsia="cs-CZ"/>
        </w:rPr>
      </w:pPr>
      <w:r w:rsidRPr="00333F06">
        <w:rPr>
          <w:rFonts w:ascii="Arial" w:eastAsia="@Arial Unicode MS" w:hAnsi="Arial" w:cs="Arial"/>
          <w:color w:val="000000"/>
          <w:lang w:eastAsia="cs-CZ"/>
        </w:rPr>
        <w:t>jsou obsažené v této smlouvě a jsou zveřejněné dle § 219 ZZVZ nebo dle zákona č. 340/2015 Sb., o zvláštních podmínkách účinnosti některých smluv, uveřejňování těchto smluv a o registru smluv, ve znění pozdějších předpisů (dále jen „zákon o registru smluv“).</w:t>
      </w:r>
    </w:p>
    <w:p w:rsidR="00176818" w:rsidRPr="00333F06" w:rsidRDefault="00176818" w:rsidP="00176818">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lang w:eastAsia="cs-CZ"/>
        </w:rPr>
      </w:pPr>
      <w:r w:rsidRPr="00333F06">
        <w:rPr>
          <w:rFonts w:ascii="Arial" w:eastAsia="@Arial Unicode MS" w:hAnsi="Arial" w:cs="Arial"/>
          <w:color w:val="000000"/>
          <w:lang w:eastAsia="cs-CZ"/>
        </w:rPr>
        <w:t xml:space="preserve">Každá smluvní strana se zavazuje přijmout technická a organizační vnitřní opatření nezbytná k ochraně důvěrných informací. </w:t>
      </w:r>
      <w:r>
        <w:rPr>
          <w:rFonts w:ascii="Arial" w:eastAsia="@Arial Unicode MS" w:hAnsi="Arial" w:cs="Arial"/>
          <w:color w:val="000000"/>
          <w:lang w:eastAsia="cs-CZ"/>
        </w:rPr>
        <w:t>Zhotovitel</w:t>
      </w:r>
      <w:r w:rsidRPr="00333F06">
        <w:rPr>
          <w:rFonts w:ascii="Arial" w:eastAsia="@Arial Unicode MS" w:hAnsi="Arial" w:cs="Arial"/>
          <w:color w:val="000000"/>
          <w:lang w:eastAsia="cs-CZ"/>
        </w:rPr>
        <w:t xml:space="preserve"> je povinen poučit své zaměstnance a členy svých orgánů o povinnosti zachovávat mlčenlivost podle této smlouvy a je povinen zachování mlčenlivosti z jejich strany řádně kontrolovat. Zaměstnanci </w:t>
      </w:r>
      <w:r>
        <w:rPr>
          <w:rFonts w:ascii="Arial" w:eastAsia="@Arial Unicode MS" w:hAnsi="Arial" w:cs="Arial"/>
          <w:color w:val="000000"/>
          <w:lang w:eastAsia="cs-CZ"/>
        </w:rPr>
        <w:t>zhotovitele</w:t>
      </w:r>
      <w:r w:rsidRPr="00333F06">
        <w:rPr>
          <w:rFonts w:ascii="Arial" w:eastAsia="@Arial Unicode MS" w:hAnsi="Arial" w:cs="Arial"/>
          <w:color w:val="000000"/>
          <w:lang w:eastAsia="cs-CZ"/>
        </w:rPr>
        <w:t xml:space="preserve"> nesmí důvěrné skutečnosti, které se dozvěděli v souvislosti s touto smlouvou, sdělovat ani jiným zaměstnancům </w:t>
      </w: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Arial Unicode MS" w:hAnsi="Arial" w:cs="Arial"/>
          <w:color w:val="000000"/>
          <w:lang w:eastAsia="cs-CZ"/>
        </w:rPr>
        <w:t xml:space="preserve">e nebo členům orgánů </w:t>
      </w:r>
      <w:r>
        <w:rPr>
          <w:rFonts w:ascii="Arial" w:eastAsia="@Arial Unicode MS" w:hAnsi="Arial" w:cs="Arial"/>
          <w:color w:val="000000"/>
          <w:lang w:eastAsia="cs-CZ"/>
        </w:rPr>
        <w:t>zhotovitele</w:t>
      </w:r>
      <w:r w:rsidRPr="00333F06">
        <w:rPr>
          <w:rFonts w:ascii="Arial" w:eastAsia="@Arial Unicode MS" w:hAnsi="Arial" w:cs="Arial"/>
          <w:color w:val="000000"/>
          <w:lang w:eastAsia="cs-CZ"/>
        </w:rPr>
        <w:t>, není-li to nezbytné k plnění jejich pracovních úkolů nebo z hlediska funkčního zařazení.</w:t>
      </w:r>
    </w:p>
    <w:p w:rsidR="00176818" w:rsidRPr="00333F06" w:rsidRDefault="00176818" w:rsidP="00176818">
      <w:pPr>
        <w:numPr>
          <w:ilvl w:val="0"/>
          <w:numId w:val="11"/>
        </w:numPr>
        <w:spacing w:after="240"/>
        <w:ind w:left="425" w:hanging="425"/>
        <w:jc w:val="both"/>
        <w:rPr>
          <w:rFonts w:ascii="Arial" w:eastAsia="Calibri" w:hAnsi="Arial" w:cs="Arial"/>
          <w:lang w:eastAsia="cs-CZ"/>
        </w:rPr>
      </w:pPr>
      <w:r>
        <w:rPr>
          <w:rFonts w:ascii="Arial" w:eastAsia="Calibri" w:hAnsi="Arial" w:cs="Arial"/>
          <w:lang w:eastAsia="cs-CZ"/>
        </w:rPr>
        <w:t>Zhotovitel</w:t>
      </w:r>
      <w:r w:rsidRPr="00333F06">
        <w:rPr>
          <w:rFonts w:ascii="Arial" w:eastAsia="Calibri" w:hAnsi="Arial" w:cs="Arial"/>
          <w:lang w:eastAsia="cs-CZ"/>
        </w:rPr>
        <w:t xml:space="preserve"> je povinen zavázat povinností mlčenlivosti a ochrany důvěrných informací dle tohoto článku rovněž všechny poddodavatele, kteří se budou podílet na plnění předmětu veřejné zakázky dle této smlouvy. </w:t>
      </w:r>
    </w:p>
    <w:p w:rsidR="00176818" w:rsidRPr="0013660C" w:rsidRDefault="00176818" w:rsidP="00176818">
      <w:pPr>
        <w:numPr>
          <w:ilvl w:val="0"/>
          <w:numId w:val="11"/>
        </w:numPr>
        <w:spacing w:after="240"/>
        <w:ind w:left="425" w:hanging="425"/>
        <w:jc w:val="both"/>
        <w:rPr>
          <w:rFonts w:ascii="Arial" w:eastAsia="Calibri" w:hAnsi="Arial" w:cs="Arial"/>
          <w:lang w:eastAsia="cs-CZ"/>
        </w:rPr>
      </w:pPr>
      <w:r w:rsidRPr="00333F06">
        <w:rPr>
          <w:rFonts w:ascii="Arial" w:eastAsia="Calibri" w:hAnsi="Arial" w:cs="Arial"/>
          <w:lang w:eastAsia="cs-CZ"/>
        </w:rPr>
        <w:t xml:space="preserve">Za porušení povinnosti mlčenlivosti osobami, které se budou podílet na plnění předmětu smlouvy, odpovídá </w:t>
      </w:r>
      <w:r>
        <w:rPr>
          <w:rFonts w:ascii="Arial" w:eastAsia="Calibri" w:hAnsi="Arial" w:cs="Arial"/>
          <w:lang w:eastAsia="cs-CZ"/>
        </w:rPr>
        <w:t>zhotovite</w:t>
      </w:r>
      <w:r w:rsidRPr="00333F06">
        <w:rPr>
          <w:rFonts w:ascii="Arial" w:eastAsia="Calibri" w:hAnsi="Arial" w:cs="Arial"/>
          <w:lang w:eastAsia="cs-CZ"/>
        </w:rPr>
        <w:t>l, jako by povinnost porušil sám.</w:t>
      </w:r>
    </w:p>
    <w:p w:rsidR="00176818" w:rsidRDefault="00176818" w:rsidP="00176818">
      <w:pPr>
        <w:numPr>
          <w:ilvl w:val="0"/>
          <w:numId w:val="11"/>
        </w:numPr>
        <w:spacing w:after="240"/>
        <w:ind w:left="425" w:hanging="425"/>
        <w:jc w:val="both"/>
        <w:rPr>
          <w:rFonts w:ascii="Arial" w:eastAsia="Calibri" w:hAnsi="Arial" w:cs="Arial"/>
          <w:lang w:eastAsia="cs-CZ"/>
        </w:rPr>
      </w:pPr>
      <w:r w:rsidRPr="00333F06">
        <w:rPr>
          <w:rFonts w:ascii="Arial" w:eastAsia="Calibri" w:hAnsi="Arial" w:cs="Arial"/>
          <w:lang w:eastAsia="cs-CZ"/>
        </w:rPr>
        <w:t>Ukončení účinnosti této smlouvy z jakéhokoliv důvodu se nedotkne ustanovení tohoto článku a jeho účinnost přetrvá i po ukončení účinnosti této smlouvy.</w:t>
      </w:r>
    </w:p>
    <w:p w:rsidR="00176818" w:rsidRDefault="00176818" w:rsidP="00176818">
      <w:pPr>
        <w:pStyle w:val="Nadpis4"/>
        <w:tabs>
          <w:tab w:val="clear" w:pos="360"/>
        </w:tabs>
        <w:rPr>
          <w:lang w:eastAsia="cs-CZ"/>
        </w:rPr>
      </w:pPr>
    </w:p>
    <w:p w:rsidR="00176818" w:rsidRPr="001D347B" w:rsidRDefault="00176818" w:rsidP="00176818">
      <w:pPr>
        <w:pStyle w:val="Nadpis4"/>
        <w:numPr>
          <w:ilvl w:val="0"/>
          <w:numId w:val="0"/>
        </w:numPr>
        <w:rPr>
          <w:lang w:eastAsia="cs-CZ"/>
        </w:rPr>
      </w:pPr>
      <w:r w:rsidRPr="001D347B">
        <w:t>Bezpečnost a ochrana zdraví</w:t>
      </w:r>
    </w:p>
    <w:p w:rsidR="00176818" w:rsidRDefault="00176818" w:rsidP="00176818">
      <w:pPr>
        <w:pStyle w:val="Odstavecseseznamem"/>
        <w:numPr>
          <w:ilvl w:val="0"/>
          <w:numId w:val="20"/>
        </w:numPr>
        <w:tabs>
          <w:tab w:val="left" w:pos="2115"/>
        </w:tabs>
        <w:spacing w:after="360"/>
        <w:ind w:left="142" w:hanging="357"/>
        <w:jc w:val="both"/>
        <w:rPr>
          <w:rFonts w:ascii="Arial" w:hAnsi="Arial" w:cs="Arial"/>
          <w:lang w:eastAsia="cs-CZ"/>
        </w:rPr>
      </w:pPr>
      <w:r w:rsidRPr="008E68B6">
        <w:rPr>
          <w:rFonts w:ascii="Arial" w:hAnsi="Arial" w:cs="Arial"/>
          <w:lang w:eastAsia="cs-CZ"/>
        </w:rPr>
        <w:t>Zhotovitel se zavazuje při provedení díla dodržovat předpisy o bezpečnosti a ochraně zdraví při práci, zejm. §3 zákona 309/2006Sb.,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jakož i předpisy hygienické a požární. Za dodržování těchto př</w:t>
      </w:r>
      <w:r>
        <w:rPr>
          <w:rFonts w:ascii="Arial" w:hAnsi="Arial" w:cs="Arial"/>
          <w:lang w:eastAsia="cs-CZ"/>
        </w:rPr>
        <w:t>edpisů v místě provedení díla i </w:t>
      </w:r>
      <w:r w:rsidRPr="008E68B6">
        <w:rPr>
          <w:rFonts w:ascii="Arial" w:hAnsi="Arial" w:cs="Arial"/>
          <w:lang w:eastAsia="cs-CZ"/>
        </w:rPr>
        <w:t>při veškerých činnostech s provedením díla souvisejících pon</w:t>
      </w:r>
      <w:r>
        <w:rPr>
          <w:rFonts w:ascii="Arial" w:hAnsi="Arial" w:cs="Arial"/>
          <w:lang w:eastAsia="cs-CZ"/>
        </w:rPr>
        <w:t>ese odpovědnost zhotovitel.</w:t>
      </w:r>
    </w:p>
    <w:p w:rsidR="00176818" w:rsidRPr="008E68B6" w:rsidRDefault="00176818" w:rsidP="00176818">
      <w:pPr>
        <w:pStyle w:val="Odstavecseseznamem"/>
        <w:tabs>
          <w:tab w:val="left" w:pos="2115"/>
        </w:tabs>
        <w:spacing w:after="360"/>
        <w:ind w:left="142"/>
        <w:jc w:val="both"/>
        <w:rPr>
          <w:rFonts w:ascii="Arial" w:hAnsi="Arial" w:cs="Arial"/>
          <w:lang w:eastAsia="cs-CZ"/>
        </w:rPr>
      </w:pPr>
    </w:p>
    <w:p w:rsidR="00176818" w:rsidRPr="008E68B6" w:rsidRDefault="00176818" w:rsidP="00176818">
      <w:pPr>
        <w:pStyle w:val="Odstavecseseznamem"/>
        <w:numPr>
          <w:ilvl w:val="0"/>
          <w:numId w:val="20"/>
        </w:numPr>
        <w:tabs>
          <w:tab w:val="left" w:pos="2115"/>
        </w:tabs>
        <w:spacing w:after="360"/>
        <w:ind w:left="142" w:hanging="357"/>
        <w:jc w:val="both"/>
        <w:rPr>
          <w:rFonts w:ascii="Arial" w:hAnsi="Arial" w:cs="Arial"/>
          <w:lang w:eastAsia="cs-CZ"/>
        </w:rPr>
      </w:pPr>
      <w:r w:rsidRPr="008E68B6">
        <w:rPr>
          <w:rFonts w:ascii="Arial" w:hAnsi="Arial" w:cs="Arial"/>
          <w:lang w:eastAsia="cs-CZ"/>
        </w:rPr>
        <w:t>Zhotovitel je odpovědný za to, že osoby vykonávající činnosti související s provedením díla, budou vybaveny ochrannými pracovními prostředky a pomůckami podle druhu vykonávané činnosti a rizik s tím spojených.</w:t>
      </w:r>
    </w:p>
    <w:p w:rsidR="00176818" w:rsidRPr="008E68B6" w:rsidRDefault="00176818" w:rsidP="00176818">
      <w:pPr>
        <w:pStyle w:val="Odstavecseseznamem"/>
        <w:tabs>
          <w:tab w:val="left" w:pos="2115"/>
        </w:tabs>
        <w:spacing w:after="360"/>
        <w:ind w:left="142"/>
        <w:jc w:val="both"/>
        <w:rPr>
          <w:rFonts w:ascii="Arial" w:hAnsi="Arial" w:cs="Arial"/>
          <w:lang w:eastAsia="cs-CZ"/>
        </w:rPr>
      </w:pPr>
    </w:p>
    <w:p w:rsidR="00176818" w:rsidRPr="00A66FE6" w:rsidRDefault="00176818" w:rsidP="00176818">
      <w:pPr>
        <w:pStyle w:val="Odstavecseseznamem"/>
        <w:numPr>
          <w:ilvl w:val="0"/>
          <w:numId w:val="20"/>
        </w:numPr>
        <w:tabs>
          <w:tab w:val="left" w:pos="2115"/>
        </w:tabs>
        <w:spacing w:after="360"/>
        <w:ind w:left="142" w:hanging="357"/>
        <w:jc w:val="both"/>
        <w:rPr>
          <w:rFonts w:ascii="Arial" w:hAnsi="Arial" w:cs="Arial"/>
          <w:lang w:eastAsia="cs-CZ"/>
        </w:rPr>
      </w:pPr>
      <w:r w:rsidRPr="008E68B6">
        <w:rPr>
          <w:rFonts w:ascii="Arial" w:hAnsi="Arial" w:cs="Arial"/>
          <w:lang w:eastAsia="cs-CZ"/>
        </w:rPr>
        <w:t>V případě úrazu pracovníka zhotovitele, případně jeho poddodava</w:t>
      </w:r>
      <w:r>
        <w:rPr>
          <w:rFonts w:ascii="Arial" w:hAnsi="Arial" w:cs="Arial"/>
          <w:lang w:eastAsia="cs-CZ"/>
        </w:rPr>
        <w:t>tele, vyšetří a sepíše záznam o </w:t>
      </w:r>
      <w:r w:rsidRPr="008E68B6">
        <w:rPr>
          <w:rFonts w:ascii="Arial" w:hAnsi="Arial" w:cs="Arial"/>
          <w:lang w:eastAsia="cs-CZ"/>
        </w:rPr>
        <w:t>úrazu podle platných předpisů zhotovitel, který je rovněž povinen provést veškeré úkony s úrazem související, případně úrazem vyvolané. Veškeré následky vyplýva</w:t>
      </w:r>
      <w:r>
        <w:rPr>
          <w:rFonts w:ascii="Arial" w:hAnsi="Arial" w:cs="Arial"/>
          <w:lang w:eastAsia="cs-CZ"/>
        </w:rPr>
        <w:t>jící ze skutečnosti, že došlo k </w:t>
      </w:r>
      <w:r w:rsidRPr="008E68B6">
        <w:rPr>
          <w:rFonts w:ascii="Arial" w:hAnsi="Arial" w:cs="Arial"/>
          <w:lang w:eastAsia="cs-CZ"/>
        </w:rPr>
        <w:t>úrazu, nese na svou odpovědnost a náklad zhotovitel. Zhotovitel se zavazuje informovat objednatele o každém úrazu, pokud k němu dojde v souvislosti s provedením díla</w:t>
      </w:r>
    </w:p>
    <w:p w:rsidR="00176818" w:rsidRPr="00333F06" w:rsidRDefault="00176818" w:rsidP="00176818">
      <w:pPr>
        <w:numPr>
          <w:ilvl w:val="0"/>
          <w:numId w:val="9"/>
        </w:numPr>
        <w:tabs>
          <w:tab w:val="num" w:pos="360"/>
        </w:tabs>
        <w:spacing w:after="240"/>
        <w:ind w:left="0" w:firstLine="0"/>
        <w:contextualSpacing/>
        <w:jc w:val="center"/>
        <w:outlineLvl w:val="3"/>
        <w:rPr>
          <w:rFonts w:ascii="Arial" w:eastAsia="Calibri" w:hAnsi="Arial" w:cs="Arial"/>
          <w:b/>
        </w:rPr>
      </w:pPr>
      <w:r w:rsidRPr="00333F06">
        <w:rPr>
          <w:rFonts w:ascii="Arial" w:eastAsia="Calibri" w:hAnsi="Arial" w:cs="Arial"/>
          <w:b/>
        </w:rPr>
        <w:br/>
        <w:t>Práva duševního vlastnictví</w:t>
      </w:r>
    </w:p>
    <w:p w:rsidR="00176818" w:rsidRPr="00333F06" w:rsidRDefault="00176818" w:rsidP="00176818">
      <w:pPr>
        <w:numPr>
          <w:ilvl w:val="0"/>
          <w:numId w:val="10"/>
        </w:numPr>
        <w:tabs>
          <w:tab w:val="left" w:pos="426"/>
        </w:tabs>
        <w:autoSpaceDE w:val="0"/>
        <w:autoSpaceDN w:val="0"/>
        <w:spacing w:after="240"/>
        <w:ind w:left="426" w:hanging="426"/>
        <w:jc w:val="both"/>
        <w:rPr>
          <w:rFonts w:ascii="Arial" w:eastAsia="Calibri" w:hAnsi="Arial" w:cs="Arial"/>
          <w:lang w:eastAsia="cs-CZ"/>
        </w:rPr>
      </w:pPr>
      <w:r>
        <w:rPr>
          <w:rFonts w:ascii="Arial" w:eastAsia="Calibri" w:hAnsi="Arial" w:cs="Arial"/>
          <w:lang w:eastAsia="cs-CZ"/>
        </w:rPr>
        <w:t>Zhotovitel</w:t>
      </w:r>
      <w:r w:rsidRPr="00333F06">
        <w:rPr>
          <w:rFonts w:ascii="Arial" w:eastAsia="Calibri" w:hAnsi="Arial" w:cs="Arial"/>
          <w:lang w:eastAsia="cs-CZ"/>
        </w:rPr>
        <w:t xml:space="preserve"> se zavazuje, že při poskytování plnění dle této smlouvy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výstupů poskytovaného plnění (dále pro účely tohoto článku jen „dílo“) objednatelem, včetně případného zajištění dalších souhlasů a licencí od autorů děl v souladu se autorským zákonem, popř. od nositelů jiných práv duševního vlastnictví v souladu s právními předpisy. </w:t>
      </w:r>
      <w:r>
        <w:rPr>
          <w:rFonts w:ascii="Arial" w:eastAsia="Calibri" w:hAnsi="Arial" w:cs="Arial"/>
          <w:lang w:eastAsia="cs-CZ"/>
        </w:rPr>
        <w:t>Zhotovitel</w:t>
      </w:r>
      <w:r w:rsidRPr="00333F06">
        <w:rPr>
          <w:rFonts w:ascii="Arial" w:eastAsia="Calibri" w:hAnsi="Arial" w:cs="Arial"/>
          <w:lang w:eastAsia="cs-CZ"/>
        </w:rPr>
        <w:t xml:space="preserve"> se zavazuje, že objednateli uhradí veškeré náklady, výdaje, škody a majetkovou i nemajetkovou újmu, které objednateli vzniknou v důsledku porušení povinností dle předchozí věty.</w:t>
      </w:r>
    </w:p>
    <w:p w:rsidR="00176818" w:rsidRPr="00333F06" w:rsidRDefault="00176818" w:rsidP="00176818">
      <w:pPr>
        <w:numPr>
          <w:ilvl w:val="0"/>
          <w:numId w:val="10"/>
        </w:numPr>
        <w:tabs>
          <w:tab w:val="left" w:pos="426"/>
        </w:tabs>
        <w:autoSpaceDE w:val="0"/>
        <w:autoSpaceDN w:val="0"/>
        <w:spacing w:after="240"/>
        <w:ind w:left="426" w:hanging="426"/>
        <w:jc w:val="both"/>
        <w:rPr>
          <w:rFonts w:ascii="Arial" w:eastAsia="Calibri" w:hAnsi="Arial" w:cs="Arial"/>
          <w:lang w:eastAsia="cs-CZ"/>
        </w:rPr>
      </w:pPr>
      <w:r w:rsidRPr="00333F06">
        <w:rPr>
          <w:rFonts w:ascii="Arial" w:eastAsia="Calibri" w:hAnsi="Arial" w:cs="Arial"/>
          <w:lang w:eastAsia="cs-CZ"/>
        </w:rPr>
        <w:t xml:space="preserve">Je-li výsledkem činnosti </w:t>
      </w:r>
      <w:r>
        <w:rPr>
          <w:rFonts w:ascii="Arial" w:eastAsia="Calibri" w:hAnsi="Arial" w:cs="Arial"/>
          <w:lang w:eastAsia="cs-CZ"/>
        </w:rPr>
        <w:t>zhotovitele</w:t>
      </w:r>
      <w:r w:rsidRPr="00333F06">
        <w:rPr>
          <w:rFonts w:ascii="Arial" w:eastAsia="Calibri" w:hAnsi="Arial" w:cs="Arial"/>
          <w:lang w:eastAsia="cs-CZ"/>
        </w:rPr>
        <w:t xml:space="preserve"> dle této smlouvy anebo součástí předaného díla výtvor, který je předmětem práv autorských, práv souvisejících či předmětem práv pořizovatele k jím pořízené databázi, a nejde přitom ve smyslu odst. 6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w:t>
      </w:r>
      <w:r>
        <w:rPr>
          <w:rFonts w:ascii="Arial" w:eastAsia="Calibri" w:hAnsi="Arial" w:cs="Arial"/>
          <w:lang w:eastAsia="cs-CZ"/>
        </w:rPr>
        <w:t>Zhotovite</w:t>
      </w:r>
      <w:r w:rsidRPr="00333F06">
        <w:rPr>
          <w:rFonts w:ascii="Arial" w:eastAsia="Calibri" w:hAnsi="Arial" w:cs="Arial"/>
          <w:lang w:eastAsia="cs-CZ"/>
        </w:rPr>
        <w:t xml:space="preserv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w:t>
      </w:r>
      <w:r>
        <w:rPr>
          <w:rFonts w:ascii="Arial" w:eastAsia="Calibri" w:hAnsi="Arial" w:cs="Arial"/>
          <w:lang w:eastAsia="cs-CZ"/>
        </w:rPr>
        <w:t>zhotovite</w:t>
      </w:r>
      <w:r w:rsidRPr="00333F06">
        <w:rPr>
          <w:rFonts w:ascii="Arial" w:eastAsia="Calibri" w:hAnsi="Arial" w:cs="Arial"/>
          <w:lang w:eastAsia="cs-CZ"/>
        </w:rPr>
        <w:t>l</w:t>
      </w:r>
      <w:r>
        <w:rPr>
          <w:rFonts w:ascii="Arial" w:eastAsia="Calibri" w:hAnsi="Arial" w:cs="Arial"/>
          <w:lang w:eastAsia="cs-CZ"/>
        </w:rPr>
        <w:t>e</w:t>
      </w:r>
      <w:r w:rsidRPr="00333F06">
        <w:rPr>
          <w:rFonts w:ascii="Arial" w:eastAsia="Calibri" w:hAnsi="Arial" w:cs="Arial"/>
          <w:lang w:eastAsia="cs-CZ"/>
        </w:rPr>
        <w:t xml:space="preserve"> a objednatel není povinen postoupení licence nebo její části na třetí osobu </w:t>
      </w:r>
      <w:r>
        <w:rPr>
          <w:rFonts w:ascii="Arial" w:eastAsia="Calibri" w:hAnsi="Arial" w:cs="Arial"/>
          <w:lang w:eastAsia="cs-CZ"/>
        </w:rPr>
        <w:t>zhotovite</w:t>
      </w:r>
      <w:r w:rsidRPr="00333F06">
        <w:rPr>
          <w:rFonts w:ascii="Arial" w:eastAsia="Calibri" w:hAnsi="Arial" w:cs="Arial"/>
          <w:lang w:eastAsia="cs-CZ"/>
        </w:rPr>
        <w:t>l</w:t>
      </w:r>
      <w:r>
        <w:rPr>
          <w:rFonts w:ascii="Arial" w:eastAsia="Calibri" w:hAnsi="Arial" w:cs="Arial"/>
          <w:lang w:eastAsia="cs-CZ"/>
        </w:rPr>
        <w:t>i</w:t>
      </w:r>
      <w:r w:rsidRPr="00333F06">
        <w:rPr>
          <w:rFonts w:ascii="Arial" w:eastAsia="Calibri" w:hAnsi="Arial" w:cs="Arial"/>
          <w:lang w:eastAsia="cs-CZ"/>
        </w:rPr>
        <w:t xml:space="preserve"> oznamovat. </w:t>
      </w:r>
      <w:r w:rsidRPr="00333F06">
        <w:rPr>
          <w:rFonts w:ascii="Arial" w:eastAsia="Calibri" w:hAnsi="Arial" w:cs="Arial"/>
          <w:lang w:eastAsia="cs-CZ"/>
        </w:rPr>
        <w:lastRenderedPageBreak/>
        <w:t xml:space="preserve">Toto právo objednatele k Předmětům ochrany podle autorského zákona se automaticky vztahuje i na všechny nové verze, úpravy a překlady Předmětů ochrany podle autorského zákona dodané </w:t>
      </w:r>
      <w:r>
        <w:rPr>
          <w:rFonts w:ascii="Arial" w:eastAsia="Calibri" w:hAnsi="Arial" w:cs="Arial"/>
          <w:lang w:eastAsia="cs-CZ"/>
        </w:rPr>
        <w:t>zhotovite</w:t>
      </w:r>
      <w:r w:rsidRPr="00333F06">
        <w:rPr>
          <w:rFonts w:ascii="Arial" w:eastAsia="Calibri" w:hAnsi="Arial" w:cs="Arial"/>
          <w:lang w:eastAsia="cs-CZ"/>
        </w:rPr>
        <w:t xml:space="preserve">lem. Objednatel není povinen výše uvedenou licenci využít. Dohodou smluvních stran se stanoví, že cena za užití Předmětů ochrany podle autorského zákona dle tohoto odstavce je součástí ceny dle čl. IV odst. 1 této smlouvy. </w:t>
      </w:r>
    </w:p>
    <w:p w:rsidR="00176818" w:rsidRPr="00333F06" w:rsidRDefault="00176818" w:rsidP="00176818">
      <w:pPr>
        <w:numPr>
          <w:ilvl w:val="0"/>
          <w:numId w:val="10"/>
        </w:numPr>
        <w:tabs>
          <w:tab w:val="left" w:pos="426"/>
        </w:tabs>
        <w:autoSpaceDE w:val="0"/>
        <w:autoSpaceDN w:val="0"/>
        <w:spacing w:after="240"/>
        <w:ind w:left="426" w:hanging="426"/>
        <w:jc w:val="both"/>
        <w:rPr>
          <w:rFonts w:ascii="Arial" w:eastAsia="Calibri" w:hAnsi="Arial" w:cs="Arial"/>
          <w:lang w:eastAsia="cs-CZ"/>
        </w:rPr>
      </w:pPr>
      <w:r w:rsidRPr="00333F06">
        <w:rPr>
          <w:rFonts w:ascii="Arial" w:eastAsia="Calibri" w:hAnsi="Arial" w:cs="Arial"/>
          <w:lang w:eastAsia="cs-CZ"/>
        </w:rPr>
        <w:t xml:space="preserve">Je-li výsledkem činnosti </w:t>
      </w:r>
      <w:r>
        <w:rPr>
          <w:rFonts w:ascii="Arial" w:eastAsia="Calibri" w:hAnsi="Arial" w:cs="Arial"/>
          <w:lang w:eastAsia="cs-CZ"/>
        </w:rPr>
        <w:t>zhotovite</w:t>
      </w:r>
      <w:r w:rsidRPr="00333F06">
        <w:rPr>
          <w:rFonts w:ascii="Arial" w:eastAsia="Calibri" w:hAnsi="Arial" w:cs="Arial"/>
          <w:lang w:eastAsia="cs-CZ"/>
        </w:rPr>
        <w:t>l</w:t>
      </w:r>
      <w:r>
        <w:rPr>
          <w:rFonts w:ascii="Arial" w:eastAsia="Calibri" w:hAnsi="Arial" w:cs="Arial"/>
          <w:lang w:eastAsia="cs-CZ"/>
        </w:rPr>
        <w:t>e</w:t>
      </w:r>
      <w:r w:rsidRPr="00333F06">
        <w:rPr>
          <w:rFonts w:ascii="Arial" w:eastAsia="Calibri" w:hAnsi="Arial" w:cs="Arial"/>
          <w:lang w:eastAsia="cs-CZ"/>
        </w:rPr>
        <w:t xml:space="preserv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p</w:t>
      </w:r>
      <w:r w:rsidRPr="008A5F3F">
        <w:rPr>
          <w:rFonts w:ascii="Arial" w:eastAsia="Calibri" w:hAnsi="Arial" w:cs="Arial"/>
          <w:lang w:eastAsia="cs-CZ"/>
        </w:rPr>
        <w:t xml:space="preserve"> </w:t>
      </w:r>
      <w:r>
        <w:rPr>
          <w:rFonts w:ascii="Arial" w:eastAsia="Calibri" w:hAnsi="Arial" w:cs="Arial"/>
          <w:lang w:eastAsia="cs-CZ"/>
        </w:rPr>
        <w:t>zhotovite</w:t>
      </w:r>
      <w:r w:rsidRPr="00333F06">
        <w:rPr>
          <w:rFonts w:ascii="Arial" w:eastAsia="Calibri" w:hAnsi="Arial" w:cs="Arial"/>
          <w:lang w:eastAsia="cs-CZ"/>
        </w:rPr>
        <w:t xml:space="preserve">l na objednatele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w:t>
      </w:r>
      <w:r>
        <w:rPr>
          <w:rFonts w:ascii="Arial" w:eastAsia="Calibri" w:hAnsi="Arial" w:cs="Arial"/>
          <w:lang w:eastAsia="cs-CZ"/>
        </w:rPr>
        <w:t>zhotovite</w:t>
      </w:r>
      <w:r w:rsidRPr="00333F06">
        <w:rPr>
          <w:rFonts w:ascii="Arial" w:eastAsia="Calibri" w:hAnsi="Arial" w:cs="Arial"/>
          <w:lang w:eastAsia="cs-CZ"/>
        </w:rPr>
        <w:t xml:space="preserve">lem na základě této smlouvy. </w:t>
      </w:r>
      <w:r>
        <w:rPr>
          <w:rFonts w:ascii="Arial" w:eastAsia="Calibri" w:hAnsi="Arial" w:cs="Arial"/>
          <w:lang w:eastAsia="cs-CZ"/>
        </w:rPr>
        <w:t>Zhotovite</w:t>
      </w:r>
      <w:r w:rsidRPr="00333F06">
        <w:rPr>
          <w:rFonts w:ascii="Arial" w:eastAsia="Calibri" w:hAnsi="Arial" w:cs="Arial"/>
          <w:lang w:eastAsia="cs-CZ"/>
        </w:rPr>
        <w:t>l je o takovémto výtvoru povinen objednatele neprodleně informovat. Dohodou smluvních stran se st</w:t>
      </w:r>
      <w:r>
        <w:rPr>
          <w:rFonts w:ascii="Arial" w:eastAsia="Calibri" w:hAnsi="Arial" w:cs="Arial"/>
          <w:lang w:eastAsia="cs-CZ"/>
        </w:rPr>
        <w:t>anoví, že cena za převod práv k </w:t>
      </w:r>
      <w:r w:rsidRPr="00333F06">
        <w:rPr>
          <w:rFonts w:ascii="Arial" w:eastAsia="Calibri" w:hAnsi="Arial" w:cs="Arial"/>
          <w:lang w:eastAsia="cs-CZ"/>
        </w:rPr>
        <w:t>Nezapsaným předmětům průmyslových práv je součástí ceny dle čl. IV odst. 1 této smlouvy.</w:t>
      </w:r>
    </w:p>
    <w:p w:rsidR="00176818" w:rsidRPr="00333F06" w:rsidRDefault="00176818" w:rsidP="00176818">
      <w:pPr>
        <w:numPr>
          <w:ilvl w:val="0"/>
          <w:numId w:val="10"/>
        </w:numPr>
        <w:tabs>
          <w:tab w:val="left" w:pos="426"/>
        </w:tabs>
        <w:autoSpaceDE w:val="0"/>
        <w:autoSpaceDN w:val="0"/>
        <w:spacing w:after="240"/>
        <w:ind w:left="426" w:hanging="426"/>
        <w:jc w:val="both"/>
        <w:rPr>
          <w:rFonts w:ascii="Arial" w:eastAsia="Calibri" w:hAnsi="Arial" w:cs="Arial"/>
          <w:lang w:eastAsia="cs-CZ"/>
        </w:rPr>
      </w:pPr>
      <w:r w:rsidRPr="00333F06">
        <w:rPr>
          <w:rFonts w:ascii="Arial" w:eastAsia="Calibri" w:hAnsi="Arial" w:cs="Arial"/>
          <w:lang w:eastAsia="cs-CZ"/>
        </w:rPr>
        <w:t xml:space="preserve">Je-li výsledkem činnosti </w:t>
      </w:r>
      <w:r>
        <w:rPr>
          <w:rFonts w:ascii="Arial" w:eastAsia="Calibri" w:hAnsi="Arial" w:cs="Arial"/>
          <w:lang w:eastAsia="cs-CZ"/>
        </w:rPr>
        <w:t>zhotovite</w:t>
      </w:r>
      <w:r w:rsidRPr="00333F06">
        <w:rPr>
          <w:rFonts w:ascii="Arial" w:eastAsia="Calibri" w:hAnsi="Arial" w:cs="Arial"/>
          <w:lang w:eastAsia="cs-CZ"/>
        </w:rPr>
        <w:t>l</w:t>
      </w:r>
      <w:r>
        <w:rPr>
          <w:rFonts w:ascii="Arial" w:eastAsia="Calibri" w:hAnsi="Arial" w:cs="Arial"/>
          <w:lang w:eastAsia="cs-CZ"/>
        </w:rPr>
        <w:t>e</w:t>
      </w:r>
      <w:r w:rsidRPr="00333F06">
        <w:rPr>
          <w:rFonts w:ascii="Arial" w:eastAsia="Calibri" w:hAnsi="Arial" w:cs="Arial"/>
          <w:lang w:eastAsia="cs-CZ"/>
        </w:rPr>
        <w:t xml:space="preserv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díla podle této smlouvy k Zapsaným předmětům průmyslových práv výhradní neomezené právo k užití těchto Zapsaných předmětů průmyslových práv, a to pro území celého světa včetně České republiky. </w:t>
      </w:r>
      <w:r>
        <w:rPr>
          <w:rFonts w:ascii="Arial" w:eastAsia="Calibri" w:hAnsi="Arial" w:cs="Arial"/>
          <w:lang w:eastAsia="cs-CZ"/>
        </w:rPr>
        <w:t>Zhotovite</w:t>
      </w:r>
      <w:r w:rsidRPr="00333F06">
        <w:rPr>
          <w:rFonts w:ascii="Arial" w:eastAsia="Calibri" w:hAnsi="Arial" w:cs="Arial"/>
          <w:lang w:eastAsia="cs-CZ"/>
        </w:rPr>
        <w:t xml:space="preserve">l touto smlouvou opravňuje objednatele k výkonu uvedených 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w:t>
      </w:r>
      <w:r>
        <w:rPr>
          <w:rFonts w:ascii="Arial" w:eastAsia="Calibri" w:hAnsi="Arial" w:cs="Arial"/>
          <w:lang w:eastAsia="cs-CZ"/>
        </w:rPr>
        <w:t>zhotovite</w:t>
      </w:r>
      <w:r w:rsidRPr="00333F06">
        <w:rPr>
          <w:rFonts w:ascii="Arial" w:eastAsia="Calibri" w:hAnsi="Arial" w:cs="Arial"/>
          <w:lang w:eastAsia="cs-CZ"/>
        </w:rPr>
        <w:t xml:space="preserve">lem, ať již budou přihlášeny k ochraně či nikoliv. </w:t>
      </w:r>
      <w:r>
        <w:rPr>
          <w:rFonts w:ascii="Arial" w:eastAsia="Calibri" w:hAnsi="Arial" w:cs="Arial"/>
          <w:lang w:eastAsia="cs-CZ"/>
        </w:rPr>
        <w:t>Zhotovite</w:t>
      </w:r>
      <w:r w:rsidRPr="00333F06">
        <w:rPr>
          <w:rFonts w:ascii="Arial" w:eastAsia="Calibri" w:hAnsi="Arial" w:cs="Arial"/>
          <w:lang w:eastAsia="cs-CZ"/>
        </w:rPr>
        <w:t xml:space="preserve">l je o takovémto výtvoru povinen objednatele neprodleně informovat. </w:t>
      </w:r>
      <w:r>
        <w:rPr>
          <w:rFonts w:ascii="Arial" w:eastAsia="Calibri" w:hAnsi="Arial" w:cs="Arial"/>
          <w:lang w:eastAsia="cs-CZ"/>
        </w:rPr>
        <w:t>Zhotovite</w:t>
      </w:r>
      <w:r w:rsidRPr="00333F06">
        <w:rPr>
          <w:rFonts w:ascii="Arial" w:eastAsia="Calibri" w:hAnsi="Arial" w:cs="Arial"/>
          <w:lang w:eastAsia="cs-CZ"/>
        </w:rPr>
        <w:t xml:space="preserve">l je dále povinen učinit veškeré nezbytné úkony a poskytnout objednateli veškerou nezbytnou součinnost směřující k zápisu uvedené licence k Zapsaným předmětům průmyslových práv do příslušných rejstříků. </w:t>
      </w:r>
      <w:r>
        <w:rPr>
          <w:rFonts w:ascii="Arial" w:eastAsia="Calibri" w:hAnsi="Arial" w:cs="Arial"/>
          <w:lang w:eastAsia="cs-CZ"/>
        </w:rPr>
        <w:t>Zhotovite</w:t>
      </w:r>
      <w:r w:rsidRPr="00333F06">
        <w:rPr>
          <w:rFonts w:ascii="Arial" w:eastAsia="Calibri" w:hAnsi="Arial" w:cs="Arial"/>
          <w:lang w:eastAsia="cs-CZ"/>
        </w:rPr>
        <w:t>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ceny dle č. IV odst. 1 této smlouvy.</w:t>
      </w:r>
    </w:p>
    <w:p w:rsidR="00176818" w:rsidRPr="00333F06" w:rsidRDefault="00176818" w:rsidP="00176818">
      <w:pPr>
        <w:numPr>
          <w:ilvl w:val="0"/>
          <w:numId w:val="10"/>
        </w:numPr>
        <w:tabs>
          <w:tab w:val="left" w:pos="426"/>
        </w:tabs>
        <w:autoSpaceDE w:val="0"/>
        <w:autoSpaceDN w:val="0"/>
        <w:spacing w:after="240"/>
        <w:ind w:left="426" w:hanging="426"/>
        <w:jc w:val="both"/>
        <w:rPr>
          <w:rFonts w:ascii="Arial" w:eastAsia="Calibri" w:hAnsi="Arial" w:cs="Arial"/>
          <w:lang w:eastAsia="cs-CZ"/>
        </w:rPr>
      </w:pPr>
      <w:r w:rsidRPr="00333F06">
        <w:rPr>
          <w:rFonts w:ascii="Arial" w:eastAsia="Calibri" w:hAnsi="Arial" w:cs="Arial"/>
          <w:lang w:eastAsia="cs-CZ"/>
        </w:rPr>
        <w:t xml:space="preserve">Je-li výsledkem činnosti </w:t>
      </w:r>
      <w:r>
        <w:rPr>
          <w:rFonts w:ascii="Arial" w:eastAsia="Calibri" w:hAnsi="Arial" w:cs="Arial"/>
          <w:lang w:eastAsia="cs-CZ"/>
        </w:rPr>
        <w:t>zhotovite</w:t>
      </w:r>
      <w:r w:rsidRPr="00333F06">
        <w:rPr>
          <w:rFonts w:ascii="Arial" w:eastAsia="Calibri" w:hAnsi="Arial" w:cs="Arial"/>
          <w:lang w:eastAsia="cs-CZ"/>
        </w:rPr>
        <w:t xml:space="preserve">le dle této smlouvy anebo součástí předaného díla výtvor, který může být předmětem majetkových práv, vyjma v předchozích odstavcích tohoto článku a odst. 6 tohoto článku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Pr>
          <w:rFonts w:ascii="Arial" w:eastAsia="Calibri" w:hAnsi="Arial" w:cs="Arial"/>
          <w:lang w:eastAsia="cs-CZ"/>
        </w:rPr>
        <w:t>zhotovite</w:t>
      </w:r>
      <w:r w:rsidRPr="00333F06">
        <w:rPr>
          <w:rFonts w:ascii="Arial" w:eastAsia="Calibri" w:hAnsi="Arial" w:cs="Arial"/>
          <w:lang w:eastAsia="cs-CZ"/>
        </w:rPr>
        <w:t xml:space="preserve">l na objednatele od okamžiku předání díla veškerá práva k Ostatním předmětům duševního vlastnictví. Objednatel je oprávněn zejména Ostatní předměty </w:t>
      </w:r>
      <w:r w:rsidRPr="00333F06">
        <w:rPr>
          <w:rFonts w:ascii="Arial" w:eastAsia="Calibri" w:hAnsi="Arial" w:cs="Arial"/>
          <w:lang w:eastAsia="cs-CZ"/>
        </w:rPr>
        <w:lastRenderedPageBreak/>
        <w:t xml:space="preserve">duševního vlastnictví neomezeně využívat na území celého světa včetně České republiky. Toto právo objednatele k Ostatním předmětům duševního vlastnictví se automaticky vztahuje i na všechny nové verze a úpravy Ostatních předmětů duševního vlastnictví dodaných </w:t>
      </w:r>
      <w:r>
        <w:rPr>
          <w:rFonts w:ascii="Arial" w:eastAsia="Calibri" w:hAnsi="Arial" w:cs="Arial"/>
          <w:lang w:eastAsia="cs-CZ"/>
        </w:rPr>
        <w:t>zhotovite</w:t>
      </w:r>
      <w:r w:rsidRPr="00333F06">
        <w:rPr>
          <w:rFonts w:ascii="Arial" w:eastAsia="Calibri" w:hAnsi="Arial" w:cs="Arial"/>
          <w:lang w:eastAsia="cs-CZ"/>
        </w:rPr>
        <w:t xml:space="preserve">lem. </w:t>
      </w:r>
      <w:r>
        <w:rPr>
          <w:rFonts w:ascii="Arial" w:eastAsia="Calibri" w:hAnsi="Arial" w:cs="Arial"/>
          <w:lang w:eastAsia="cs-CZ"/>
        </w:rPr>
        <w:t>Zhotovite</w:t>
      </w:r>
      <w:r w:rsidRPr="00333F06">
        <w:rPr>
          <w:rFonts w:ascii="Arial" w:eastAsia="Calibri" w:hAnsi="Arial" w:cs="Arial"/>
          <w:lang w:eastAsia="cs-CZ"/>
        </w:rPr>
        <w:t>l je o takovémto výtvoru povinen objednatele neprodleně informovat. Dohodou smluvních stran se stanoví, že cena za užití Ostatních předmětů duševního vlastnictví dle tohoto odstavce je součástí ceny dle čl. IV odst. 1 této smlouvy.</w:t>
      </w:r>
    </w:p>
    <w:p w:rsidR="00176818" w:rsidRPr="00333F06" w:rsidRDefault="00176818" w:rsidP="00176818">
      <w:pPr>
        <w:numPr>
          <w:ilvl w:val="0"/>
          <w:numId w:val="10"/>
        </w:numPr>
        <w:tabs>
          <w:tab w:val="left" w:pos="426"/>
        </w:tabs>
        <w:autoSpaceDE w:val="0"/>
        <w:autoSpaceDN w:val="0"/>
        <w:spacing w:after="240"/>
        <w:ind w:left="426" w:hanging="426"/>
        <w:jc w:val="both"/>
        <w:rPr>
          <w:rFonts w:ascii="Arial" w:eastAsia="Calibri" w:hAnsi="Arial" w:cs="Arial"/>
          <w:lang w:eastAsia="cs-CZ"/>
        </w:rPr>
      </w:pPr>
      <w:r w:rsidRPr="00333F06">
        <w:rPr>
          <w:rFonts w:ascii="Arial" w:eastAsia="Calibri" w:hAnsi="Arial" w:cs="Arial"/>
          <w:lang w:eastAsia="cs-CZ"/>
        </w:rPr>
        <w:t xml:space="preserve">Je-li výsledkem nebo součástí díla i zaměstnanecké či kolektivní dílo, které je předmětem autorských práv, práv souvisejících s právem autorským či práv pořizovatele k jím pořízené databázi, </w:t>
      </w:r>
      <w:r>
        <w:rPr>
          <w:rFonts w:ascii="Arial" w:eastAsia="Calibri" w:hAnsi="Arial" w:cs="Arial"/>
          <w:lang w:eastAsia="cs-CZ"/>
        </w:rPr>
        <w:t>zhotovite</w:t>
      </w:r>
      <w:r w:rsidRPr="00333F06">
        <w:rPr>
          <w:rFonts w:ascii="Arial" w:eastAsia="Calibri" w:hAnsi="Arial" w:cs="Arial"/>
          <w:lang w:eastAsia="cs-CZ"/>
        </w:rPr>
        <w:t xml:space="preserv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dle čl. IV odst. 1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w:t>
      </w:r>
      <w:r>
        <w:rPr>
          <w:rFonts w:ascii="Arial" w:eastAsia="Calibri" w:hAnsi="Arial" w:cs="Arial"/>
          <w:lang w:eastAsia="cs-CZ"/>
        </w:rPr>
        <w:t>Zhotoviteli</w:t>
      </w:r>
      <w:r w:rsidRPr="00333F06">
        <w:rPr>
          <w:rFonts w:ascii="Arial" w:eastAsia="Calibri" w:hAnsi="Arial" w:cs="Arial"/>
          <w:lang w:eastAsia="cs-CZ"/>
        </w:rPr>
        <w:t xml:space="preserve">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w:t>
      </w:r>
    </w:p>
    <w:p w:rsidR="00176818" w:rsidRPr="00333F06" w:rsidRDefault="00176818" w:rsidP="00176818">
      <w:pPr>
        <w:numPr>
          <w:ilvl w:val="0"/>
          <w:numId w:val="10"/>
        </w:numPr>
        <w:tabs>
          <w:tab w:val="left" w:pos="426"/>
        </w:tabs>
        <w:autoSpaceDE w:val="0"/>
        <w:autoSpaceDN w:val="0"/>
        <w:spacing w:after="240"/>
        <w:ind w:left="426" w:hanging="426"/>
        <w:jc w:val="both"/>
        <w:rPr>
          <w:rFonts w:ascii="Arial" w:eastAsia="Calibri" w:hAnsi="Arial" w:cs="Arial"/>
          <w:lang w:eastAsia="cs-CZ"/>
        </w:rPr>
      </w:pPr>
      <w:r>
        <w:rPr>
          <w:rFonts w:ascii="Arial" w:eastAsia="Calibri" w:hAnsi="Arial" w:cs="Arial"/>
          <w:lang w:eastAsia="cs-CZ"/>
        </w:rPr>
        <w:t>Zhotovitel</w:t>
      </w:r>
      <w:r w:rsidRPr="00333F06">
        <w:rPr>
          <w:rFonts w:ascii="Arial" w:eastAsia="Calibri" w:hAnsi="Arial" w:cs="Arial"/>
          <w:lang w:eastAsia="cs-CZ"/>
        </w:rPr>
        <w:t xml:space="preserve"> je povinen předat objednateli bezodkladně veškeré informace, doklady a dokumentaci potřebné pro výkon práv dle tohoto článku.</w:t>
      </w:r>
    </w:p>
    <w:p w:rsidR="00176818" w:rsidRDefault="00176818" w:rsidP="00176818">
      <w:pPr>
        <w:keepNext/>
        <w:numPr>
          <w:ilvl w:val="0"/>
          <w:numId w:val="9"/>
        </w:numPr>
        <w:tabs>
          <w:tab w:val="num" w:pos="360"/>
        </w:tabs>
        <w:spacing w:after="240"/>
        <w:ind w:left="0" w:firstLine="0"/>
        <w:contextualSpacing/>
        <w:jc w:val="center"/>
        <w:outlineLvl w:val="3"/>
        <w:rPr>
          <w:rFonts w:ascii="Arial" w:eastAsia="Calibri" w:hAnsi="Arial" w:cs="Arial"/>
          <w:b/>
        </w:rPr>
      </w:pPr>
      <w:r w:rsidRPr="00333F06">
        <w:rPr>
          <w:rFonts w:ascii="Arial" w:eastAsia="Calibri" w:hAnsi="Arial" w:cs="Arial"/>
          <w:b/>
        </w:rPr>
        <w:br/>
        <w:t>Sleva z plnění, smluvní pokuta, úrok z</w:t>
      </w:r>
      <w:r>
        <w:rPr>
          <w:rFonts w:ascii="Arial" w:eastAsia="Calibri" w:hAnsi="Arial" w:cs="Arial"/>
          <w:b/>
        </w:rPr>
        <w:t> </w:t>
      </w:r>
      <w:r w:rsidRPr="00333F06">
        <w:rPr>
          <w:rFonts w:ascii="Arial" w:eastAsia="Calibri" w:hAnsi="Arial" w:cs="Arial"/>
          <w:b/>
        </w:rPr>
        <w:t>prodlení</w:t>
      </w:r>
    </w:p>
    <w:p w:rsidR="00176818" w:rsidRPr="00333F06" w:rsidRDefault="00176818" w:rsidP="00176818">
      <w:pPr>
        <w:keepNext/>
        <w:spacing w:after="240"/>
        <w:contextualSpacing/>
        <w:outlineLvl w:val="3"/>
        <w:rPr>
          <w:rFonts w:ascii="Arial" w:eastAsia="Calibri" w:hAnsi="Arial" w:cs="Arial"/>
          <w:b/>
        </w:rPr>
      </w:pPr>
    </w:p>
    <w:p w:rsidR="00176818" w:rsidRPr="006366FD" w:rsidRDefault="00176818" w:rsidP="00176818">
      <w:pPr>
        <w:numPr>
          <w:ilvl w:val="0"/>
          <w:numId w:val="3"/>
        </w:numPr>
        <w:spacing w:after="240"/>
        <w:ind w:left="425" w:hanging="425"/>
        <w:jc w:val="both"/>
        <w:rPr>
          <w:rFonts w:ascii="Arial" w:eastAsia="Calibri" w:hAnsi="Arial" w:cs="Arial"/>
        </w:rPr>
      </w:pPr>
      <w:r w:rsidRPr="006366FD">
        <w:rPr>
          <w:rFonts w:ascii="Arial" w:hAnsi="Arial" w:cs="Arial"/>
        </w:rPr>
        <w:t xml:space="preserve">Objednatel je oprávněn požadovat na zhotoviteli slevu z celkové ceny díla v případě prodlení zhotovitele v případě nedodržení termínu pro provedení díla dle čl. II. odst. 2 ve výši </w:t>
      </w:r>
      <w:r>
        <w:rPr>
          <w:rFonts w:ascii="Arial" w:hAnsi="Arial" w:cs="Arial"/>
        </w:rPr>
        <w:t xml:space="preserve">1 % </w:t>
      </w:r>
      <w:r w:rsidRPr="006366FD">
        <w:rPr>
          <w:rFonts w:ascii="Arial" w:hAnsi="Arial" w:cs="Arial"/>
        </w:rPr>
        <w:t>za každý den prodlení</w:t>
      </w:r>
      <w:r w:rsidRPr="006366FD">
        <w:rPr>
          <w:rFonts w:ascii="Arial" w:eastAsia="Calibri" w:hAnsi="Arial" w:cs="Arial"/>
        </w:rPr>
        <w:t>.</w:t>
      </w:r>
    </w:p>
    <w:p w:rsidR="00176818" w:rsidRPr="006366FD" w:rsidRDefault="00176818" w:rsidP="00176818">
      <w:pPr>
        <w:numPr>
          <w:ilvl w:val="0"/>
          <w:numId w:val="3"/>
        </w:numPr>
        <w:spacing w:after="240"/>
        <w:ind w:left="425" w:hanging="425"/>
        <w:jc w:val="both"/>
        <w:rPr>
          <w:rFonts w:ascii="Arial" w:eastAsia="Calibri" w:hAnsi="Arial" w:cs="Arial"/>
        </w:rPr>
      </w:pPr>
      <w:r w:rsidRPr="006366FD">
        <w:rPr>
          <w:rFonts w:ascii="Arial" w:hAnsi="Arial" w:cs="Arial"/>
        </w:rPr>
        <w:t xml:space="preserve">Objednatel je oprávněn požadovat na zhotoviteli zaplacení smluvní pokuty v případě prodlení zhotovitele s termínem odstranění vad v záruční době ve lhůtách stanovených dle čl. V odst. 3 této smlouvy ve výši </w:t>
      </w:r>
      <w:r>
        <w:rPr>
          <w:rFonts w:ascii="Arial" w:hAnsi="Arial" w:cs="Arial"/>
        </w:rPr>
        <w:t>0,5 %</w:t>
      </w:r>
      <w:r w:rsidRPr="006366FD">
        <w:rPr>
          <w:rFonts w:ascii="Arial" w:hAnsi="Arial" w:cs="Arial"/>
        </w:rPr>
        <w:t xml:space="preserve"> za každý den prodlení a za každou vadu</w:t>
      </w:r>
      <w:r w:rsidRPr="006366FD">
        <w:rPr>
          <w:rFonts w:ascii="Arial" w:eastAsia="Calibri" w:hAnsi="Arial" w:cs="Arial"/>
        </w:rPr>
        <w:t>.</w:t>
      </w:r>
    </w:p>
    <w:p w:rsidR="00176818" w:rsidRPr="006366FD" w:rsidRDefault="00176818" w:rsidP="00176818">
      <w:pPr>
        <w:numPr>
          <w:ilvl w:val="0"/>
          <w:numId w:val="3"/>
        </w:numPr>
        <w:spacing w:after="240"/>
        <w:ind w:left="425" w:hanging="425"/>
        <w:jc w:val="both"/>
        <w:rPr>
          <w:rFonts w:ascii="Arial" w:eastAsia="Calibri" w:hAnsi="Arial" w:cs="Arial"/>
        </w:rPr>
      </w:pPr>
      <w:r w:rsidRPr="006366FD">
        <w:rPr>
          <w:rFonts w:ascii="Arial" w:hAnsi="Arial" w:cs="Arial"/>
        </w:rPr>
        <w:t>Objednatel je oprávněn požadovat na zhotoviteli zaplacení smluvní pokuty v případě jakéhokoliv porušení povinností dle čl. III odst. 8,9,12 této smlouvy ve výši 2.000 Kč za každý takový případ. Tato smluvní pokuta může být uplatněna opakovaně</w:t>
      </w:r>
      <w:r w:rsidRPr="006366FD">
        <w:rPr>
          <w:rFonts w:ascii="Arial" w:eastAsia="Calibri" w:hAnsi="Arial" w:cs="Arial"/>
        </w:rPr>
        <w:t>.</w:t>
      </w:r>
    </w:p>
    <w:p w:rsidR="00176818" w:rsidRPr="006366FD" w:rsidRDefault="00176818" w:rsidP="00176818">
      <w:pPr>
        <w:numPr>
          <w:ilvl w:val="0"/>
          <w:numId w:val="3"/>
        </w:numPr>
        <w:spacing w:after="240"/>
        <w:ind w:left="425" w:hanging="425"/>
        <w:jc w:val="both"/>
        <w:rPr>
          <w:rFonts w:ascii="Arial" w:eastAsia="Calibri" w:hAnsi="Arial" w:cs="Arial"/>
        </w:rPr>
      </w:pPr>
      <w:r w:rsidRPr="006366FD">
        <w:rPr>
          <w:rFonts w:ascii="Arial" w:hAnsi="Arial" w:cs="Arial"/>
        </w:rPr>
        <w:t>Objednatel je oprávněn požadovat na zhotoviteli zaplacení smluvní pokuty v případě porušení povinnosti dle čl. III odst. 5 této smlouvy ve výši 10.000 Kč za každý jednotlivý případ. Tato smluvní pokuta může být uplatněna opakovaně</w:t>
      </w:r>
      <w:r w:rsidRPr="006366FD">
        <w:rPr>
          <w:rFonts w:ascii="Arial" w:eastAsia="Calibri" w:hAnsi="Arial" w:cs="Arial"/>
        </w:rPr>
        <w:t>.</w:t>
      </w:r>
    </w:p>
    <w:p w:rsidR="00176818" w:rsidRPr="006366FD" w:rsidRDefault="00176818" w:rsidP="00176818">
      <w:pPr>
        <w:numPr>
          <w:ilvl w:val="0"/>
          <w:numId w:val="3"/>
        </w:numPr>
        <w:spacing w:after="240"/>
        <w:ind w:left="425" w:hanging="425"/>
        <w:jc w:val="both"/>
        <w:rPr>
          <w:rFonts w:ascii="Arial" w:eastAsia="Calibri" w:hAnsi="Arial" w:cs="Arial"/>
        </w:rPr>
      </w:pPr>
      <w:r w:rsidRPr="006366FD">
        <w:rPr>
          <w:rFonts w:ascii="Arial" w:hAnsi="Arial" w:cs="Arial"/>
        </w:rPr>
        <w:lastRenderedPageBreak/>
        <w:t>Celková výše smluvních pokut je omezena limitem 50 % celkové ceny díla včetně DPH uvedené v čl. IV.  odst. 1 této smlouvy a smluvní pokuty mohou být kombinovány (tzn., že uplatnění jedné smluvní pokuty nevylučuje souběžné uplatnění jakékoliv jiné smluvní pokuty).</w:t>
      </w:r>
    </w:p>
    <w:p w:rsidR="00176818" w:rsidRPr="006366FD" w:rsidRDefault="00176818" w:rsidP="00176818">
      <w:pPr>
        <w:numPr>
          <w:ilvl w:val="0"/>
          <w:numId w:val="3"/>
        </w:numPr>
        <w:spacing w:after="240"/>
        <w:ind w:left="425" w:hanging="425"/>
        <w:jc w:val="both"/>
        <w:rPr>
          <w:rFonts w:ascii="Arial" w:eastAsia="Calibri" w:hAnsi="Arial" w:cs="Arial"/>
        </w:rPr>
      </w:pPr>
      <w:r w:rsidRPr="006366FD">
        <w:rPr>
          <w:rFonts w:ascii="Arial" w:hAnsi="Arial" w:cs="Arial"/>
        </w:rPr>
        <w:t xml:space="preserve">V případě prodlení objednatele se zaplacením faktury </w:t>
      </w:r>
      <w:r w:rsidRPr="006366FD">
        <w:rPr>
          <w:rFonts w:ascii="Arial" w:eastAsia="Calibri" w:hAnsi="Arial" w:cs="Arial"/>
          <w:lang w:eastAsia="cs-CZ"/>
        </w:rPr>
        <w:t>zhotovitel</w:t>
      </w:r>
      <w:r w:rsidRPr="006366FD">
        <w:rPr>
          <w:rFonts w:ascii="Arial" w:hAnsi="Arial" w:cs="Arial"/>
        </w:rPr>
        <w:t xml:space="preserve">e je </w:t>
      </w:r>
      <w:r w:rsidRPr="006366FD">
        <w:rPr>
          <w:rFonts w:ascii="Arial" w:eastAsia="Calibri" w:hAnsi="Arial" w:cs="Arial"/>
          <w:lang w:eastAsia="cs-CZ"/>
        </w:rPr>
        <w:t>zhotovitel</w:t>
      </w:r>
      <w:r w:rsidRPr="006366FD">
        <w:rPr>
          <w:rFonts w:ascii="Arial" w:hAnsi="Arial" w:cs="Arial"/>
        </w:rPr>
        <w:t xml:space="preserve"> oprávněn účtovat mu úroky z prodlení v zákonné výši z dlužné částky za každý den prodlení.</w:t>
      </w:r>
    </w:p>
    <w:p w:rsidR="00176818" w:rsidRPr="00333F06" w:rsidRDefault="00176818" w:rsidP="00176818">
      <w:pPr>
        <w:numPr>
          <w:ilvl w:val="0"/>
          <w:numId w:val="3"/>
        </w:numPr>
        <w:spacing w:after="240"/>
        <w:ind w:left="425" w:hanging="425"/>
        <w:jc w:val="both"/>
        <w:rPr>
          <w:rFonts w:ascii="Arial" w:eastAsia="Calibri" w:hAnsi="Arial" w:cs="Arial"/>
        </w:rPr>
      </w:pP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Calibri" w:hAnsi="Arial" w:cs="Arial"/>
          <w:iCs/>
        </w:rPr>
        <w:t xml:space="preserve"> se zavazuje řádně a včas plnit své povinnosti vztahující se ke správě </w:t>
      </w:r>
      <w:r w:rsidRPr="00333F06">
        <w:rPr>
          <w:rFonts w:ascii="Arial" w:eastAsia="Calibri" w:hAnsi="Arial" w:cs="Arial"/>
        </w:rPr>
        <w:t>DPH po dobu trvání této smlouvy, zejména tuto daň řádně a včas zaplatit. Pokud v</w:t>
      </w:r>
      <w:r w:rsidRPr="00333F06">
        <w:rPr>
          <w:rFonts w:ascii="Arial" w:eastAsia="Calibri" w:hAnsi="Arial" w:cs="Arial"/>
          <w:iCs/>
        </w:rPr>
        <w:t xml:space="preserve"> důsledku porušení tohoto závazku příslušný finanční úřad vyzve objednatele k zaplacení DPH z důvodu jeho ručení, zavazuje se </w:t>
      </w: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Calibri" w:hAnsi="Arial" w:cs="Arial"/>
          <w:iCs/>
        </w:rPr>
        <w:t xml:space="preserve"> zaplatit objednateli jednorázovou smluvní pokutu ve výši DPH</w:t>
      </w:r>
      <w:r w:rsidRPr="00333F06">
        <w:rPr>
          <w:rFonts w:ascii="Arial" w:eastAsia="Calibri" w:hAnsi="Arial" w:cs="Arial"/>
        </w:rPr>
        <w:t xml:space="preserve"> </w:t>
      </w:r>
      <w:r w:rsidRPr="00333F06">
        <w:rPr>
          <w:rFonts w:ascii="Arial" w:eastAsia="Calibri" w:hAnsi="Arial" w:cs="Arial"/>
          <w:iCs/>
        </w:rPr>
        <w:t xml:space="preserve">vztahující se k porušení závazku </w:t>
      </w: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Calibri" w:hAnsi="Arial" w:cs="Arial"/>
          <w:iCs/>
        </w:rPr>
        <w:t>e řádně a včas zaplatit DPH (včetně příslušenství), s níž je spojeno ručení objednatele</w:t>
      </w:r>
      <w:r w:rsidRPr="00333F06">
        <w:rPr>
          <w:rFonts w:ascii="Arial" w:eastAsia="Calibri" w:hAnsi="Arial" w:cs="Arial"/>
        </w:rPr>
        <w:t>.</w:t>
      </w:r>
    </w:p>
    <w:p w:rsidR="00176818" w:rsidRPr="00333F06" w:rsidRDefault="00176818" w:rsidP="00176818">
      <w:pPr>
        <w:numPr>
          <w:ilvl w:val="0"/>
          <w:numId w:val="3"/>
        </w:numPr>
        <w:spacing w:after="240"/>
        <w:ind w:left="425" w:hanging="425"/>
        <w:jc w:val="both"/>
        <w:rPr>
          <w:rFonts w:ascii="Arial" w:eastAsia="Calibri" w:hAnsi="Arial" w:cs="Arial"/>
        </w:rPr>
      </w:pPr>
      <w:r w:rsidRPr="00333F06">
        <w:rPr>
          <w:rFonts w:ascii="Arial" w:eastAsia="Calibri" w:hAnsi="Arial" w:cs="Arial"/>
        </w:rPr>
        <w:t xml:space="preserve">Smluvní pokuta nebo úroky z prodlení jsou splatné do 21 dnů ode dne doručení oznámení o uložení smluvní pokuty objednatelem </w:t>
      </w: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Calibri" w:hAnsi="Arial" w:cs="Arial"/>
        </w:rPr>
        <w:t xml:space="preserve">i nebo oznámení o započetí s účtováním úroků z prodlení </w:t>
      </w: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Calibri" w:hAnsi="Arial" w:cs="Arial"/>
        </w:rPr>
        <w:t>e objednateli. Pro případ pochybností o doručení oznámení o uložení smluvní pokuty nebo oznámení o započetí s účtováním úroků z prodlení se sjednává, že se oznámení považuje za doručené druhé straně třetím dnem od podání zásilky k poštovní přepravě.</w:t>
      </w:r>
    </w:p>
    <w:p w:rsidR="00176818" w:rsidRPr="00333F06" w:rsidRDefault="00176818" w:rsidP="00176818">
      <w:pPr>
        <w:numPr>
          <w:ilvl w:val="0"/>
          <w:numId w:val="3"/>
        </w:numPr>
        <w:spacing w:after="240"/>
        <w:ind w:left="425" w:hanging="425"/>
        <w:jc w:val="both"/>
        <w:rPr>
          <w:rFonts w:ascii="Arial" w:eastAsia="Calibri" w:hAnsi="Arial" w:cs="Arial"/>
        </w:rPr>
      </w:pPr>
      <w:r w:rsidRPr="00333F06">
        <w:rPr>
          <w:rFonts w:ascii="Arial" w:eastAsia="Calibri" w:hAnsi="Arial" w:cs="Arial"/>
        </w:rPr>
        <w:t>Celková výše smluvních pokut není omezena jakýmkoliv limitem a smluvní pokuty mohou být kombinovány (tzn., že uplatnění jedné smluvní pokuty nevylučuje souběžné uplatnění jakékoliv jiné smluvní pokuty).</w:t>
      </w:r>
    </w:p>
    <w:p w:rsidR="00176818" w:rsidRPr="00142A2B" w:rsidRDefault="00176818" w:rsidP="00176818">
      <w:pPr>
        <w:numPr>
          <w:ilvl w:val="0"/>
          <w:numId w:val="3"/>
        </w:numPr>
        <w:spacing w:after="240"/>
        <w:ind w:left="425" w:hanging="425"/>
        <w:jc w:val="both"/>
        <w:rPr>
          <w:rFonts w:ascii="Arial" w:eastAsia="Calibri" w:hAnsi="Arial" w:cs="Arial"/>
        </w:rPr>
      </w:pPr>
      <w:r w:rsidRPr="00333F06">
        <w:rPr>
          <w:rFonts w:ascii="Arial" w:eastAsia="Calibri" w:hAnsi="Arial" w:cs="Arial"/>
        </w:rPr>
        <w:t>Zaplacením smluvní pokuty není dotčen nárok objednatele na náhradu škody a na řádné dokončení plnění předmětu smlouvy.</w:t>
      </w:r>
    </w:p>
    <w:p w:rsidR="00176818" w:rsidRPr="00333F06" w:rsidRDefault="00176818" w:rsidP="00176818">
      <w:pPr>
        <w:keepNext/>
        <w:keepLines/>
        <w:numPr>
          <w:ilvl w:val="0"/>
          <w:numId w:val="9"/>
        </w:numPr>
        <w:tabs>
          <w:tab w:val="num" w:pos="360"/>
        </w:tabs>
        <w:spacing w:after="240"/>
        <w:ind w:left="0" w:firstLine="0"/>
        <w:contextualSpacing/>
        <w:jc w:val="center"/>
        <w:outlineLvl w:val="3"/>
        <w:rPr>
          <w:rFonts w:ascii="Arial" w:eastAsia="Calibri" w:hAnsi="Arial" w:cs="Arial"/>
          <w:b/>
        </w:rPr>
      </w:pPr>
      <w:r w:rsidRPr="00333F06">
        <w:rPr>
          <w:rFonts w:ascii="Arial" w:eastAsia="Calibri" w:hAnsi="Arial" w:cs="Arial"/>
          <w:b/>
        </w:rPr>
        <w:br/>
        <w:t>Ukončení smluvního vztahu</w:t>
      </w:r>
    </w:p>
    <w:p w:rsidR="00176818" w:rsidRPr="00333F06" w:rsidRDefault="00176818" w:rsidP="00176818">
      <w:pPr>
        <w:numPr>
          <w:ilvl w:val="0"/>
          <w:numId w:val="4"/>
        </w:numPr>
        <w:spacing w:after="240"/>
        <w:ind w:left="425" w:hanging="425"/>
        <w:jc w:val="both"/>
        <w:rPr>
          <w:rFonts w:ascii="Arial" w:eastAsia="Calibri" w:hAnsi="Arial" w:cs="Arial"/>
        </w:rPr>
      </w:pPr>
      <w:r w:rsidRPr="00333F06">
        <w:rPr>
          <w:rFonts w:ascii="Arial" w:eastAsia="Calibri" w:hAnsi="Arial" w:cs="Arial"/>
        </w:rPr>
        <w:t>Smluvní vztah vzniklý na základě této smlouvy lze ukončit těmito způsoby:</w:t>
      </w:r>
    </w:p>
    <w:p w:rsidR="00176818" w:rsidRPr="00333F06" w:rsidRDefault="00176818" w:rsidP="00176818">
      <w:pPr>
        <w:numPr>
          <w:ilvl w:val="0"/>
          <w:numId w:val="5"/>
        </w:numPr>
        <w:spacing w:after="240"/>
        <w:ind w:left="850" w:hanging="425"/>
        <w:jc w:val="both"/>
        <w:rPr>
          <w:rFonts w:ascii="Arial" w:eastAsia="Calibri" w:hAnsi="Arial" w:cs="Arial"/>
        </w:rPr>
      </w:pPr>
      <w:r w:rsidRPr="00333F06">
        <w:rPr>
          <w:rFonts w:ascii="Arial" w:eastAsia="Calibri" w:hAnsi="Arial" w:cs="Arial"/>
        </w:rPr>
        <w:t>odstoupením od smlouvy:</w:t>
      </w:r>
    </w:p>
    <w:p w:rsidR="00176818" w:rsidRPr="00333F06" w:rsidRDefault="00176818" w:rsidP="00176818">
      <w:pPr>
        <w:numPr>
          <w:ilvl w:val="0"/>
          <w:numId w:val="6"/>
        </w:numPr>
        <w:spacing w:after="240"/>
        <w:ind w:left="1134" w:hanging="141"/>
        <w:contextualSpacing/>
        <w:jc w:val="both"/>
        <w:rPr>
          <w:rFonts w:ascii="Arial" w:eastAsia="Calibri" w:hAnsi="Arial" w:cs="Arial"/>
        </w:rPr>
      </w:pPr>
      <w:r w:rsidRPr="00333F06">
        <w:rPr>
          <w:rFonts w:ascii="Arial" w:eastAsia="Calibri" w:hAnsi="Arial" w:cs="Arial"/>
        </w:rPr>
        <w:t>za podmínek uvedených v § 2002 a násl. občanského zákoníku v případě porušení smlouvy druhou smluvní stranou podstatným způsobem,</w:t>
      </w:r>
    </w:p>
    <w:p w:rsidR="00176818" w:rsidRPr="00333F06" w:rsidRDefault="00176818" w:rsidP="00176818">
      <w:pPr>
        <w:numPr>
          <w:ilvl w:val="0"/>
          <w:numId w:val="6"/>
        </w:numPr>
        <w:spacing w:after="240"/>
        <w:ind w:left="1135" w:hanging="141"/>
        <w:jc w:val="both"/>
        <w:rPr>
          <w:rFonts w:ascii="Arial" w:eastAsia="Calibri" w:hAnsi="Arial" w:cs="Arial"/>
        </w:rPr>
      </w:pPr>
      <w:r w:rsidRPr="00333F06">
        <w:rPr>
          <w:rFonts w:ascii="Arial" w:eastAsia="Calibri" w:hAnsi="Arial" w:cs="Arial"/>
        </w:rPr>
        <w:t xml:space="preserve">v případech, které si smluvní strany ujednaly dále v tomto článku smlouvy, </w:t>
      </w:r>
    </w:p>
    <w:p w:rsidR="00176818" w:rsidRDefault="00176818" w:rsidP="00176818">
      <w:pPr>
        <w:numPr>
          <w:ilvl w:val="0"/>
          <w:numId w:val="5"/>
        </w:numPr>
        <w:spacing w:after="240"/>
        <w:ind w:left="850" w:hanging="425"/>
        <w:jc w:val="both"/>
        <w:rPr>
          <w:rFonts w:ascii="Arial" w:eastAsia="Calibri" w:hAnsi="Arial" w:cs="Arial"/>
        </w:rPr>
      </w:pPr>
      <w:r>
        <w:rPr>
          <w:rFonts w:ascii="Arial" w:eastAsia="Calibri" w:hAnsi="Arial" w:cs="Arial"/>
        </w:rPr>
        <w:t>dohodou smluvních stran.</w:t>
      </w:r>
    </w:p>
    <w:p w:rsidR="00176818" w:rsidRPr="00C41644" w:rsidRDefault="00176818" w:rsidP="00176818">
      <w:pPr>
        <w:spacing w:after="240"/>
        <w:ind w:left="425"/>
        <w:jc w:val="both"/>
        <w:rPr>
          <w:rFonts w:ascii="Arial" w:eastAsia="Calibri" w:hAnsi="Arial" w:cs="Arial"/>
        </w:rPr>
      </w:pPr>
      <w:r w:rsidRPr="00C41644">
        <w:rPr>
          <w:rFonts w:ascii="Arial" w:hAnsi="Arial" w:cs="Arial"/>
        </w:rPr>
        <w:t>Dohoda nebo projev vůle o odstoupení od smlouvy musí být učiněn vždy v písemné formě.</w:t>
      </w:r>
    </w:p>
    <w:p w:rsidR="00176818" w:rsidRPr="00333F06" w:rsidRDefault="00176818" w:rsidP="00176818">
      <w:pPr>
        <w:numPr>
          <w:ilvl w:val="0"/>
          <w:numId w:val="4"/>
        </w:numPr>
        <w:spacing w:after="240"/>
        <w:ind w:left="425" w:hanging="425"/>
        <w:jc w:val="both"/>
        <w:rPr>
          <w:rFonts w:ascii="Arial" w:eastAsia="Calibri" w:hAnsi="Arial" w:cs="Arial"/>
        </w:rPr>
      </w:pPr>
      <w:r w:rsidRPr="00333F06">
        <w:rPr>
          <w:rFonts w:ascii="Arial" w:eastAsia="Calibri" w:hAnsi="Arial" w:cs="Arial"/>
        </w:rPr>
        <w:t>Objednatel je oprávněn odstoupit od smlouvy v případě:</w:t>
      </w:r>
    </w:p>
    <w:p w:rsidR="00176818" w:rsidRPr="00C41644" w:rsidRDefault="00176818" w:rsidP="00176818">
      <w:pPr>
        <w:numPr>
          <w:ilvl w:val="0"/>
          <w:numId w:val="7"/>
        </w:numPr>
        <w:spacing w:after="240"/>
        <w:ind w:left="850" w:hanging="425"/>
        <w:jc w:val="both"/>
        <w:rPr>
          <w:rFonts w:ascii="Arial" w:hAnsi="Arial" w:cs="Arial"/>
        </w:rPr>
      </w:pPr>
      <w:r w:rsidRPr="00C41644">
        <w:rPr>
          <w:rFonts w:ascii="Arial" w:hAnsi="Arial" w:cs="Arial"/>
        </w:rPr>
        <w:t xml:space="preserve">nezahájení provádění díla zhotovitelem z důvodů na straně zhotovitele do 20 dnů od písemné výzvy objednatele v termínu zahájení stavby dle čl. II odst. 2 této smlouvy; </w:t>
      </w:r>
    </w:p>
    <w:p w:rsidR="00176818" w:rsidRPr="00333F06" w:rsidRDefault="00176818" w:rsidP="00176818">
      <w:pPr>
        <w:numPr>
          <w:ilvl w:val="0"/>
          <w:numId w:val="7"/>
        </w:numPr>
        <w:spacing w:after="240"/>
        <w:ind w:left="850" w:hanging="425"/>
        <w:jc w:val="both"/>
        <w:rPr>
          <w:rFonts w:ascii="Arial" w:eastAsia="Calibri" w:hAnsi="Arial" w:cs="Arial"/>
        </w:rPr>
      </w:pPr>
      <w:r w:rsidRPr="00C41644">
        <w:rPr>
          <w:rFonts w:ascii="Arial" w:hAnsi="Arial" w:cs="Arial"/>
        </w:rPr>
        <w:t>prodlení zhotovitele s provedením díla v termínu delším než 14 dnů</w:t>
      </w:r>
      <w:r>
        <w:rPr>
          <w:rFonts w:ascii="Arial" w:hAnsi="Arial" w:cs="Arial"/>
        </w:rPr>
        <w:t>;</w:t>
      </w:r>
    </w:p>
    <w:p w:rsidR="00176818" w:rsidRDefault="00176818" w:rsidP="00176818">
      <w:pPr>
        <w:numPr>
          <w:ilvl w:val="0"/>
          <w:numId w:val="7"/>
        </w:numPr>
        <w:spacing w:after="240"/>
        <w:ind w:left="850" w:hanging="425"/>
        <w:jc w:val="both"/>
        <w:rPr>
          <w:rFonts w:ascii="Arial" w:hAnsi="Arial" w:cs="Arial"/>
        </w:rPr>
      </w:pPr>
      <w:r w:rsidRPr="001F7EC9">
        <w:rPr>
          <w:rFonts w:ascii="Arial" w:hAnsi="Arial" w:cs="Arial"/>
        </w:rPr>
        <w:t>poku</w:t>
      </w:r>
      <w:r>
        <w:rPr>
          <w:rFonts w:ascii="Arial" w:hAnsi="Arial" w:cs="Arial"/>
        </w:rPr>
        <w:t>d</w:t>
      </w:r>
      <w:r w:rsidRPr="00C41644">
        <w:rPr>
          <w:rFonts w:ascii="Arial" w:eastAsia="Calibri" w:hAnsi="Arial" w:cs="Arial"/>
          <w:lang w:eastAsia="cs-CZ"/>
        </w:rPr>
        <w:t xml:space="preserve"> </w:t>
      </w:r>
      <w:r w:rsidRPr="00C41644">
        <w:rPr>
          <w:rFonts w:ascii="Arial" w:hAnsi="Arial" w:cs="Arial"/>
        </w:rPr>
        <w:t>prodlení zhotovitele s odstraněním vad dle čl. V odst. 3 této</w:t>
      </w:r>
      <w:r>
        <w:rPr>
          <w:rFonts w:ascii="Arial" w:hAnsi="Arial" w:cs="Arial"/>
        </w:rPr>
        <w:t xml:space="preserve"> smlouvy delším než 14 dnů.</w:t>
      </w:r>
    </w:p>
    <w:p w:rsidR="00176818" w:rsidRDefault="00176818" w:rsidP="00176818">
      <w:pPr>
        <w:numPr>
          <w:ilvl w:val="0"/>
          <w:numId w:val="4"/>
        </w:numPr>
        <w:spacing w:after="240"/>
        <w:ind w:left="425" w:hanging="425"/>
        <w:jc w:val="both"/>
        <w:rPr>
          <w:rFonts w:ascii="Arial" w:eastAsia="Calibri" w:hAnsi="Arial" w:cs="Arial"/>
        </w:rPr>
      </w:pPr>
      <w:r w:rsidRPr="00C41644">
        <w:rPr>
          <w:rFonts w:ascii="Arial" w:eastAsia="Calibri" w:hAnsi="Arial" w:cs="Arial"/>
        </w:rPr>
        <w:lastRenderedPageBreak/>
        <w:t>Objednatel je oprávněn odstoupit z výše uvedených důvodů i jen pro budoucí plnění. V takovém případě mu náleží všechna práva k již předaným částem plnění, zejm. pak záruka k již zhotoveným částem díla</w:t>
      </w:r>
      <w:r w:rsidRPr="00333F06">
        <w:rPr>
          <w:rFonts w:ascii="Arial" w:eastAsia="Calibri" w:hAnsi="Arial" w:cs="Arial"/>
        </w:rPr>
        <w:t>.</w:t>
      </w:r>
    </w:p>
    <w:p w:rsidR="00176818" w:rsidRPr="00C41644" w:rsidRDefault="00176818" w:rsidP="00176818">
      <w:pPr>
        <w:numPr>
          <w:ilvl w:val="0"/>
          <w:numId w:val="4"/>
        </w:numPr>
        <w:spacing w:after="240"/>
        <w:ind w:left="425" w:hanging="425"/>
        <w:jc w:val="both"/>
        <w:rPr>
          <w:rFonts w:ascii="Arial" w:eastAsia="Calibri" w:hAnsi="Arial" w:cs="Arial"/>
        </w:rPr>
      </w:pPr>
      <w:r>
        <w:rPr>
          <w:rFonts w:ascii="Arial" w:eastAsia="Calibri" w:hAnsi="Arial" w:cs="Arial"/>
        </w:rPr>
        <w:t>Zhotovite</w:t>
      </w:r>
      <w:r w:rsidRPr="00333F06">
        <w:rPr>
          <w:rFonts w:ascii="Arial" w:eastAsia="Calibri" w:hAnsi="Arial" w:cs="Arial"/>
        </w:rPr>
        <w:t>l je oprávněn odstoupit od smlouvy v případě prodlení objednatele se zaplacením ceny delšího než 15 dnů.</w:t>
      </w:r>
    </w:p>
    <w:p w:rsidR="00176818" w:rsidRPr="00333F06" w:rsidRDefault="00176818" w:rsidP="00176818">
      <w:pPr>
        <w:numPr>
          <w:ilvl w:val="0"/>
          <w:numId w:val="4"/>
        </w:numPr>
        <w:spacing w:after="240"/>
        <w:ind w:left="425" w:hanging="425"/>
        <w:jc w:val="both"/>
        <w:rPr>
          <w:rFonts w:ascii="Arial" w:eastAsia="Calibri" w:hAnsi="Arial" w:cs="Arial"/>
        </w:rPr>
      </w:pPr>
      <w:r w:rsidRPr="00A66F08">
        <w:rPr>
          <w:rFonts w:ascii="Arial" w:hAnsi="Arial" w:cs="Arial"/>
        </w:rPr>
        <w:t xml:space="preserve">Účinky odstoupení od smlouvy nastávají okamžikem doručení písemného projevu vůle odstoupit </w:t>
      </w:r>
      <w:r w:rsidRPr="006366FD">
        <w:rPr>
          <w:rFonts w:ascii="Arial" w:hAnsi="Arial" w:cs="Arial"/>
        </w:rPr>
        <w:t>od této smlouvy druhé smluvní straně</w:t>
      </w:r>
      <w:r w:rsidRPr="006366FD">
        <w:rPr>
          <w:rFonts w:ascii="Arial" w:eastAsia="Calibri" w:hAnsi="Arial" w:cs="Arial"/>
        </w:rPr>
        <w:t xml:space="preserve">. </w:t>
      </w:r>
      <w:r w:rsidRPr="006366FD">
        <w:rPr>
          <w:rFonts w:ascii="Arial" w:hAnsi="Arial" w:cs="Arial"/>
          <w:bCs/>
        </w:rPr>
        <w:t xml:space="preserve">Pro případ pochybností o doručení odstoupení se sjednává, že se odstoupení považuje za doručené druhé straně třetím dnem od odeslání odstoupení. </w:t>
      </w:r>
      <w:r w:rsidRPr="006366FD">
        <w:rPr>
          <w:rFonts w:ascii="Arial" w:hAnsi="Arial" w:cs="Arial"/>
        </w:rPr>
        <w:t>Odstoupení od smlouvy se nedotýká zejména nároku na náhradu škody, nemajetkové újmy, smluvní pokuty a povinnosti mlčenlivosti.</w:t>
      </w:r>
    </w:p>
    <w:p w:rsidR="00176818" w:rsidRDefault="00176818" w:rsidP="00176818">
      <w:pPr>
        <w:numPr>
          <w:ilvl w:val="0"/>
          <w:numId w:val="4"/>
        </w:numPr>
        <w:spacing w:after="240"/>
        <w:ind w:left="425" w:hanging="425"/>
        <w:jc w:val="both"/>
        <w:rPr>
          <w:rFonts w:ascii="Arial" w:eastAsia="Calibri" w:hAnsi="Arial" w:cs="Arial"/>
        </w:rPr>
      </w:pPr>
      <w:r w:rsidRPr="00A66F08">
        <w:rPr>
          <w:rFonts w:ascii="Arial" w:hAnsi="Arial" w:cs="Arial"/>
        </w:rPr>
        <w:t>Odstoupením od smlouvy není dotčen případný nárok na zaplacení sjednaných smluvních pokut nebo úroků z prodlení ani případný nárok na náhradu škody</w:t>
      </w:r>
      <w:r w:rsidRPr="00333F06">
        <w:rPr>
          <w:rFonts w:ascii="Arial" w:eastAsia="Calibri" w:hAnsi="Arial" w:cs="Arial"/>
        </w:rPr>
        <w:t>.</w:t>
      </w:r>
    </w:p>
    <w:p w:rsidR="00176818" w:rsidRPr="006366FD" w:rsidRDefault="00176818" w:rsidP="00176818">
      <w:pPr>
        <w:numPr>
          <w:ilvl w:val="0"/>
          <w:numId w:val="4"/>
        </w:numPr>
        <w:spacing w:after="240"/>
        <w:ind w:left="425" w:hanging="425"/>
        <w:jc w:val="both"/>
        <w:rPr>
          <w:rFonts w:ascii="Arial" w:eastAsia="Calibri" w:hAnsi="Arial" w:cs="Arial"/>
        </w:rPr>
      </w:pPr>
      <w:r w:rsidRPr="006366FD">
        <w:rPr>
          <w:rFonts w:ascii="Arial" w:hAnsi="Arial" w:cs="Arial"/>
        </w:rPr>
        <w:t>V případě odstoupení některé ze smluvních stran od smlouvy,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vybraným objednatelem. Náklady na vypracování znaleckého posudku ponesou obě smluvní strany rovným dílem. Smluvní strany se zavazují přijmout tento posudek jako konečný ke stanovení finanční hodnoty díla</w:t>
      </w:r>
      <w:r>
        <w:rPr>
          <w:rFonts w:ascii="Arial" w:hAnsi="Arial" w:cs="Arial"/>
        </w:rPr>
        <w:t>.</w:t>
      </w:r>
    </w:p>
    <w:p w:rsidR="00176818" w:rsidRDefault="00176818" w:rsidP="00176818">
      <w:pPr>
        <w:numPr>
          <w:ilvl w:val="0"/>
          <w:numId w:val="4"/>
        </w:numPr>
        <w:spacing w:after="240"/>
        <w:ind w:left="425" w:hanging="425"/>
        <w:jc w:val="both"/>
        <w:rPr>
          <w:rFonts w:ascii="Arial" w:eastAsia="Calibri" w:hAnsi="Arial" w:cs="Arial"/>
        </w:rPr>
      </w:pPr>
      <w:r w:rsidRPr="00A66F08">
        <w:rPr>
          <w:rFonts w:ascii="Arial" w:hAnsi="Arial" w:cs="Arial"/>
        </w:rPr>
        <w:t>Práva a povinnosti smluvních stran, z jejichž povahy je zřejmé, že mají být zachována i po splnění závazků z této smlouvy vyplývajících, zůstávají zachována i po zániku těchto závazků</w:t>
      </w:r>
      <w:r w:rsidRPr="00333F06">
        <w:rPr>
          <w:rFonts w:ascii="Arial" w:eastAsia="Calibri" w:hAnsi="Arial" w:cs="Arial"/>
        </w:rPr>
        <w:t>.</w:t>
      </w:r>
    </w:p>
    <w:p w:rsidR="00176818" w:rsidRPr="00333F06" w:rsidRDefault="00176818" w:rsidP="00176818">
      <w:pPr>
        <w:numPr>
          <w:ilvl w:val="0"/>
          <w:numId w:val="9"/>
        </w:numPr>
        <w:tabs>
          <w:tab w:val="num" w:pos="360"/>
        </w:tabs>
        <w:spacing w:after="240"/>
        <w:ind w:left="0" w:firstLine="0"/>
        <w:contextualSpacing/>
        <w:jc w:val="center"/>
        <w:outlineLvl w:val="3"/>
        <w:rPr>
          <w:rFonts w:ascii="Arial" w:eastAsia="Calibri" w:hAnsi="Arial" w:cs="Arial"/>
          <w:b/>
        </w:rPr>
      </w:pPr>
      <w:r w:rsidRPr="00333F06">
        <w:rPr>
          <w:rFonts w:ascii="Arial" w:eastAsia="Calibri" w:hAnsi="Arial" w:cs="Arial"/>
          <w:b/>
        </w:rPr>
        <w:br/>
        <w:t>Vyšší moc</w:t>
      </w:r>
    </w:p>
    <w:p w:rsidR="00176818" w:rsidRPr="00333F06" w:rsidRDefault="00176818" w:rsidP="00176818">
      <w:pPr>
        <w:numPr>
          <w:ilvl w:val="0"/>
          <w:numId w:val="15"/>
        </w:numPr>
        <w:spacing w:after="240"/>
        <w:ind w:left="425" w:hanging="425"/>
        <w:jc w:val="both"/>
        <w:rPr>
          <w:rFonts w:ascii="Arial" w:eastAsia="Calibri" w:hAnsi="Arial" w:cs="Arial"/>
        </w:rPr>
      </w:pPr>
      <w:r w:rsidRPr="00333F06">
        <w:rPr>
          <w:rFonts w:ascii="Arial" w:eastAsia="Calibri" w:hAnsi="Arial"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176818" w:rsidRPr="00333F06" w:rsidRDefault="00176818" w:rsidP="00176818">
      <w:pPr>
        <w:numPr>
          <w:ilvl w:val="0"/>
          <w:numId w:val="15"/>
        </w:numPr>
        <w:spacing w:after="240"/>
        <w:ind w:left="425" w:hanging="425"/>
        <w:jc w:val="both"/>
        <w:rPr>
          <w:rFonts w:ascii="Arial" w:eastAsia="Calibri" w:hAnsi="Arial" w:cs="Arial"/>
        </w:rPr>
      </w:pPr>
      <w:r w:rsidRPr="00333F06">
        <w:rPr>
          <w:rFonts w:ascii="Arial" w:eastAsia="Calibri"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176818" w:rsidRPr="00333F06" w:rsidRDefault="00176818" w:rsidP="00176818">
      <w:pPr>
        <w:numPr>
          <w:ilvl w:val="0"/>
          <w:numId w:val="15"/>
        </w:numPr>
        <w:spacing w:after="240"/>
        <w:ind w:left="425" w:hanging="425"/>
        <w:jc w:val="both"/>
        <w:rPr>
          <w:rFonts w:ascii="Arial" w:eastAsia="Calibri" w:hAnsi="Arial" w:cs="Arial"/>
        </w:rPr>
      </w:pPr>
      <w:r w:rsidRPr="00333F06">
        <w:rPr>
          <w:rFonts w:ascii="Arial" w:eastAsia="Calibri" w:hAnsi="Arial" w:cs="Arial"/>
        </w:rPr>
        <w:t xml:space="preserve">Pro účely této smlouvy se za vyšší moc dále považují i situace, které na základě rozhodnutí objednatele znemožní </w:t>
      </w: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Calibri" w:hAnsi="Arial" w:cs="Arial"/>
        </w:rPr>
        <w:t xml:space="preserve">i přístup do prostor objednatele.   </w:t>
      </w:r>
    </w:p>
    <w:p w:rsidR="00176818" w:rsidRPr="00333F06" w:rsidRDefault="00176818" w:rsidP="00176818">
      <w:pPr>
        <w:numPr>
          <w:ilvl w:val="0"/>
          <w:numId w:val="15"/>
        </w:numPr>
        <w:spacing w:after="240"/>
        <w:ind w:left="425" w:hanging="425"/>
        <w:jc w:val="both"/>
        <w:rPr>
          <w:rFonts w:ascii="Arial" w:eastAsia="Calibri" w:hAnsi="Arial" w:cs="Arial"/>
        </w:rPr>
      </w:pPr>
      <w:r w:rsidRPr="00333F06">
        <w:rPr>
          <w:rFonts w:ascii="Arial" w:eastAsia="Calibri" w:hAnsi="Arial" w:cs="Arial"/>
        </w:rPr>
        <w:t xml:space="preserve">Výslovně se stanovuje, že vyšší mocí není stávka zaměstnanců </w:t>
      </w:r>
      <w:r>
        <w:rPr>
          <w:rFonts w:ascii="Arial" w:eastAsia="Calibri" w:hAnsi="Arial" w:cs="Arial"/>
          <w:lang w:eastAsia="cs-CZ"/>
        </w:rPr>
        <w:t>zhotovite</w:t>
      </w:r>
      <w:r w:rsidRPr="00333F06">
        <w:rPr>
          <w:rFonts w:ascii="Arial" w:eastAsia="Calibri" w:hAnsi="Arial" w:cs="Arial"/>
          <w:lang w:eastAsia="cs-CZ"/>
        </w:rPr>
        <w:t>l</w:t>
      </w:r>
      <w:r>
        <w:rPr>
          <w:rFonts w:ascii="Arial" w:eastAsia="Calibri" w:hAnsi="Arial" w:cs="Arial"/>
          <w:lang w:eastAsia="cs-CZ"/>
        </w:rPr>
        <w:t>e</w:t>
      </w:r>
      <w:r w:rsidRPr="00333F06">
        <w:rPr>
          <w:rFonts w:ascii="Arial" w:eastAsia="Calibri" w:hAnsi="Arial" w:cs="Arial"/>
        </w:rPr>
        <w:t xml:space="preserve"> nebo jeho poddodavatelů, ani hospodářské poměry smluvních stran. </w:t>
      </w:r>
    </w:p>
    <w:p w:rsidR="00176818" w:rsidRPr="00333F06" w:rsidRDefault="00176818" w:rsidP="00176818">
      <w:pPr>
        <w:numPr>
          <w:ilvl w:val="0"/>
          <w:numId w:val="15"/>
        </w:numPr>
        <w:spacing w:after="240"/>
        <w:ind w:left="425" w:hanging="425"/>
        <w:jc w:val="both"/>
        <w:rPr>
          <w:rFonts w:ascii="Arial" w:eastAsia="Calibri" w:hAnsi="Arial" w:cs="Arial"/>
        </w:rPr>
      </w:pPr>
      <w:r w:rsidRPr="00333F06">
        <w:rPr>
          <w:rFonts w:ascii="Arial" w:eastAsia="Calibri" w:hAnsi="Arial" w:cs="Arial"/>
        </w:rPr>
        <w:t xml:space="preserve">V případě, že nastane vyšší moc, prodlužuje se lhůta ke splnění smluvních povinností o dobu, během níž vyšší moc trvá a neuplatní se sankce dle čl. </w:t>
      </w:r>
      <w:r>
        <w:rPr>
          <w:rFonts w:ascii="Arial" w:eastAsia="Calibri" w:hAnsi="Arial" w:cs="Arial"/>
        </w:rPr>
        <w:t>IX</w:t>
      </w:r>
      <w:r w:rsidRPr="00333F06">
        <w:rPr>
          <w:rFonts w:ascii="Arial" w:eastAsia="Calibri" w:hAnsi="Arial" w:cs="Arial"/>
        </w:rPr>
        <w:t xml:space="preserve"> odst. 1 a 2 této smlouvy.</w:t>
      </w:r>
    </w:p>
    <w:p w:rsidR="00176818" w:rsidRDefault="00176818" w:rsidP="00176818">
      <w:pPr>
        <w:numPr>
          <w:ilvl w:val="0"/>
          <w:numId w:val="15"/>
        </w:numPr>
        <w:spacing w:after="240"/>
        <w:ind w:left="425" w:hanging="425"/>
        <w:jc w:val="both"/>
        <w:rPr>
          <w:rFonts w:ascii="Arial" w:eastAsia="Calibri" w:hAnsi="Arial" w:cs="Arial"/>
        </w:rPr>
      </w:pPr>
      <w:r w:rsidRPr="00333F06">
        <w:rPr>
          <w:rFonts w:ascii="Arial" w:eastAsia="Calibri" w:hAnsi="Arial" w:cs="Arial"/>
        </w:rPr>
        <w:lastRenderedPageBreak/>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176818" w:rsidRDefault="00176818" w:rsidP="00176818">
      <w:pPr>
        <w:pStyle w:val="Nadpis4"/>
        <w:tabs>
          <w:tab w:val="clear" w:pos="360"/>
        </w:tabs>
      </w:pPr>
    </w:p>
    <w:p w:rsidR="00176818" w:rsidRDefault="00176818" w:rsidP="00176818">
      <w:pPr>
        <w:pStyle w:val="Nadpis4"/>
        <w:numPr>
          <w:ilvl w:val="0"/>
          <w:numId w:val="0"/>
        </w:numPr>
      </w:pPr>
      <w:r>
        <w:t>Využití poddodavatelů</w:t>
      </w:r>
    </w:p>
    <w:p w:rsidR="00176818" w:rsidRPr="00187777" w:rsidRDefault="00176818" w:rsidP="00187777">
      <w:pPr>
        <w:spacing w:after="0" w:line="240" w:lineRule="auto"/>
        <w:jc w:val="both"/>
        <w:rPr>
          <w:rFonts w:ascii="Arial" w:eastAsia="Times New Roman" w:hAnsi="Arial" w:cs="Arial"/>
          <w:lang w:eastAsia="cs-CZ"/>
        </w:rPr>
      </w:pPr>
      <w:r w:rsidRPr="00187777">
        <w:rPr>
          <w:rFonts w:ascii="Arial" w:eastAsia="Times New Roman" w:hAnsi="Arial" w:cs="Arial"/>
          <w:lang w:eastAsia="cs-CZ"/>
        </w:rPr>
        <w:t>Zhotovitel v nabídce uvedl, že poskytnutí plnění zajistí bez poddodavatele, tudíž s</w:t>
      </w:r>
      <w:r w:rsidR="00187777">
        <w:rPr>
          <w:rFonts w:ascii="Arial" w:eastAsia="Times New Roman" w:hAnsi="Arial" w:cs="Arial"/>
          <w:lang w:eastAsia="cs-CZ"/>
        </w:rPr>
        <w:t>e jejich využití nepředpokládá.</w:t>
      </w:r>
    </w:p>
    <w:p w:rsidR="00176818" w:rsidRPr="00333F06" w:rsidRDefault="00176818" w:rsidP="00176818">
      <w:pPr>
        <w:keepNext/>
        <w:numPr>
          <w:ilvl w:val="0"/>
          <w:numId w:val="9"/>
        </w:numPr>
        <w:tabs>
          <w:tab w:val="num" w:pos="360"/>
        </w:tabs>
        <w:spacing w:after="240"/>
        <w:ind w:left="0" w:firstLine="0"/>
        <w:contextualSpacing/>
        <w:jc w:val="center"/>
        <w:outlineLvl w:val="3"/>
        <w:rPr>
          <w:rFonts w:ascii="Arial" w:eastAsia="Calibri" w:hAnsi="Arial" w:cs="Arial"/>
          <w:b/>
        </w:rPr>
      </w:pPr>
      <w:r w:rsidRPr="00333F06">
        <w:rPr>
          <w:rFonts w:ascii="Arial" w:eastAsia="Calibri" w:hAnsi="Arial" w:cs="Arial"/>
          <w:b/>
        </w:rPr>
        <w:br/>
        <w:t>Závěrečná ustanovení</w:t>
      </w:r>
    </w:p>
    <w:p w:rsidR="00176818" w:rsidRPr="00333F06" w:rsidRDefault="00176818" w:rsidP="00176818">
      <w:pPr>
        <w:numPr>
          <w:ilvl w:val="0"/>
          <w:numId w:val="8"/>
        </w:numPr>
        <w:spacing w:after="240"/>
        <w:ind w:left="425" w:hanging="425"/>
        <w:jc w:val="both"/>
        <w:rPr>
          <w:rFonts w:ascii="Arial" w:eastAsia="Calibri" w:hAnsi="Arial" w:cs="Arial"/>
          <w:color w:val="000000"/>
        </w:rPr>
      </w:pPr>
      <w:r w:rsidRPr="00333F06">
        <w:rPr>
          <w:rFonts w:ascii="Arial" w:eastAsia="Calibri" w:hAnsi="Arial" w:cs="Arial"/>
          <w:color w:val="000000"/>
        </w:rPr>
        <w:t>Vztahy mezi smluvními stranami se řídí českým právním řádem. Práva a povinnosti smluvních stran vyplývající z této smlouvy a jí výslovně neupravené se řídí obecně závaznými právními předpisy, zejména občanským zákoníkem.</w:t>
      </w:r>
    </w:p>
    <w:p w:rsidR="00176818" w:rsidRPr="00333F06" w:rsidRDefault="00176818" w:rsidP="00176818">
      <w:pPr>
        <w:numPr>
          <w:ilvl w:val="0"/>
          <w:numId w:val="8"/>
        </w:numPr>
        <w:spacing w:after="240"/>
        <w:ind w:left="425" w:hanging="425"/>
        <w:jc w:val="both"/>
        <w:rPr>
          <w:rFonts w:ascii="Arial" w:eastAsia="Calibri" w:hAnsi="Arial" w:cs="Arial"/>
          <w:color w:val="000000"/>
        </w:rPr>
      </w:pPr>
      <w:r w:rsidRPr="00333F06">
        <w:rPr>
          <w:rFonts w:ascii="Arial" w:eastAsia="Calibri" w:hAnsi="Arial" w:cs="Arial"/>
          <w:color w:val="000000"/>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176818" w:rsidRPr="00333F06" w:rsidRDefault="00176818" w:rsidP="00176818">
      <w:pPr>
        <w:numPr>
          <w:ilvl w:val="0"/>
          <w:numId w:val="8"/>
        </w:numPr>
        <w:spacing w:after="240"/>
        <w:ind w:left="425" w:hanging="425"/>
        <w:jc w:val="both"/>
        <w:rPr>
          <w:rFonts w:ascii="Arial" w:eastAsia="Calibri" w:hAnsi="Arial" w:cs="Arial"/>
          <w:color w:val="000000"/>
        </w:rPr>
      </w:pPr>
      <w:r w:rsidRPr="00333F06">
        <w:rPr>
          <w:rFonts w:ascii="Arial" w:eastAsia="Calibri" w:hAnsi="Arial" w:cs="Arial"/>
          <w:color w:val="000000"/>
        </w:rPr>
        <w:t>Pokud by se v důsledku změny právní úpravy některé ustanovení smlouvy dostalo do rozporu s českým právním řádem (dále jen „</w:t>
      </w:r>
      <w:r>
        <w:rPr>
          <w:rFonts w:ascii="Arial" w:eastAsia="Calibri" w:hAnsi="Arial" w:cs="Arial"/>
          <w:color w:val="000000"/>
        </w:rPr>
        <w:t>kolidující</w:t>
      </w:r>
      <w:r w:rsidRPr="00333F06">
        <w:rPr>
          <w:rFonts w:ascii="Arial" w:eastAsia="Calibri" w:hAnsi="Arial" w:cs="Arial"/>
          <w:color w:val="000000"/>
        </w:rPr>
        <w:t xml:space="preserve"> ustanovení“) a předmětný rozpor by působil neplatnosti smlouvy jako takové, bude smlouva posuzována, jako by </w:t>
      </w:r>
      <w:r>
        <w:rPr>
          <w:rFonts w:ascii="Arial" w:eastAsia="Calibri" w:hAnsi="Arial" w:cs="Arial"/>
          <w:color w:val="000000"/>
        </w:rPr>
        <w:t>kolidující</w:t>
      </w:r>
      <w:r w:rsidRPr="00333F06">
        <w:rPr>
          <w:rFonts w:ascii="Arial" w:eastAsia="Calibri" w:hAnsi="Arial" w:cs="Arial"/>
          <w:color w:val="000000"/>
        </w:rPr>
        <w:t xml:space="preserve"> ustanovení nikdy neobsahovala a vztah smluvních stran se bude v této záležitosti řídit obecně závaznými právními předpisy, pokud se smluvní strany nedohodnou na znění nového ustanovení, jež by nahradilo </w:t>
      </w:r>
      <w:r>
        <w:rPr>
          <w:rFonts w:ascii="Arial" w:eastAsia="Calibri" w:hAnsi="Arial" w:cs="Arial"/>
          <w:color w:val="000000"/>
        </w:rPr>
        <w:t>kolidující</w:t>
      </w:r>
      <w:r w:rsidRPr="00333F06">
        <w:rPr>
          <w:rFonts w:ascii="Arial" w:eastAsia="Calibri" w:hAnsi="Arial" w:cs="Arial"/>
          <w:color w:val="000000"/>
        </w:rPr>
        <w:t xml:space="preserve"> ustanovení tak, aby vystihovalo co nejpřesněji podstatu původního ujednání a aby co nejlépe odpovídalo duchu smlouvy.</w:t>
      </w:r>
    </w:p>
    <w:p w:rsidR="00176818" w:rsidRPr="00333F06" w:rsidRDefault="00176818" w:rsidP="00176818">
      <w:pPr>
        <w:numPr>
          <w:ilvl w:val="0"/>
          <w:numId w:val="8"/>
        </w:numPr>
        <w:spacing w:after="240"/>
        <w:ind w:left="425" w:hanging="425"/>
        <w:jc w:val="both"/>
        <w:rPr>
          <w:rFonts w:ascii="Arial" w:eastAsia="Calibri" w:hAnsi="Arial" w:cs="Arial"/>
          <w:color w:val="000000"/>
        </w:rPr>
      </w:pPr>
      <w:r w:rsidRPr="00333F06">
        <w:rPr>
          <w:rFonts w:ascii="Arial" w:eastAsia="Calibri" w:hAnsi="Arial" w:cs="Arial"/>
          <w:color w:val="000000"/>
        </w:rPr>
        <w:t xml:space="preserve">V případě, že je potřeba během plnění přijetí licenčních podmínek, bez ohledu na to, zda takové přijetí licenčních podmínek provede </w:t>
      </w: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Calibri" w:hAnsi="Arial" w:cs="Arial"/>
          <w:color w:val="000000"/>
        </w:rPr>
        <w:t xml:space="preserve"> nebo objednatel, má vždy v případě jakéhokoliv rozporu přednost znění smlouvy před zněním takto přijatých licenčních podmínek.</w:t>
      </w:r>
    </w:p>
    <w:p w:rsidR="00176818" w:rsidRPr="00333F06" w:rsidRDefault="00176818" w:rsidP="00176818">
      <w:pPr>
        <w:numPr>
          <w:ilvl w:val="0"/>
          <w:numId w:val="8"/>
        </w:numPr>
        <w:spacing w:after="240"/>
        <w:ind w:left="425" w:hanging="425"/>
        <w:jc w:val="both"/>
        <w:rPr>
          <w:rFonts w:ascii="Arial" w:eastAsia="Calibri" w:hAnsi="Arial" w:cs="Arial"/>
          <w:color w:val="000000"/>
        </w:rPr>
      </w:pPr>
      <w:r w:rsidRPr="00333F06">
        <w:rPr>
          <w:rFonts w:ascii="Arial" w:eastAsia="Calibri" w:hAnsi="Arial" w:cs="Arial"/>
          <w:color w:val="000000"/>
        </w:rPr>
        <w:t xml:space="preserve">Tato smlouva v případě jejího listinného sepsání je vyhotovena ve 4 vyhotoveních s platností originálu, z nichž 3 vyhotovení obdrží objednatel a 1 vyhotovení obdrží </w:t>
      </w: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Calibri" w:hAnsi="Arial" w:cs="Arial"/>
          <w:color w:val="000000"/>
        </w:rPr>
        <w:t>.</w:t>
      </w:r>
    </w:p>
    <w:p w:rsidR="00176818" w:rsidRPr="00333F06" w:rsidRDefault="00176818" w:rsidP="00176818">
      <w:pPr>
        <w:numPr>
          <w:ilvl w:val="0"/>
          <w:numId w:val="8"/>
        </w:numPr>
        <w:spacing w:after="240"/>
        <w:ind w:left="425" w:hanging="425"/>
        <w:jc w:val="both"/>
        <w:rPr>
          <w:rFonts w:ascii="Arial" w:eastAsia="Calibri" w:hAnsi="Arial" w:cs="Arial"/>
          <w:color w:val="000000"/>
        </w:rPr>
      </w:pPr>
      <w:r w:rsidRPr="00333F06">
        <w:rPr>
          <w:rFonts w:ascii="Arial" w:eastAsia="Calibri" w:hAnsi="Arial" w:cs="Arial"/>
          <w:color w:val="000000"/>
        </w:rPr>
        <w:t>Uzavřenou smlouvu lze měnit nebo zrušit pouze po dohodě smluvních stran, která musí mít formu písemných, číslovaných a datovaných dodatků, které musí být podepsány oběma smluvními stranami.</w:t>
      </w:r>
    </w:p>
    <w:p w:rsidR="00176818" w:rsidRPr="00333F06" w:rsidRDefault="00176818" w:rsidP="00176818">
      <w:pPr>
        <w:numPr>
          <w:ilvl w:val="0"/>
          <w:numId w:val="8"/>
        </w:numPr>
        <w:spacing w:after="240"/>
        <w:ind w:left="425" w:hanging="425"/>
        <w:jc w:val="both"/>
        <w:rPr>
          <w:rFonts w:ascii="Arial" w:eastAsia="Calibri" w:hAnsi="Arial" w:cs="Arial"/>
          <w:color w:val="000000"/>
        </w:rPr>
      </w:pPr>
      <w:r w:rsidRPr="00333F06">
        <w:rPr>
          <w:rFonts w:ascii="Arial" w:eastAsia="Calibri" w:hAnsi="Arial" w:cs="Arial"/>
          <w:color w:val="000000"/>
        </w:rPr>
        <w:t>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w:t>
      </w:r>
    </w:p>
    <w:p w:rsidR="00176818" w:rsidRPr="00333F06" w:rsidRDefault="00176818" w:rsidP="00176818">
      <w:pPr>
        <w:numPr>
          <w:ilvl w:val="0"/>
          <w:numId w:val="8"/>
        </w:numPr>
        <w:spacing w:after="240"/>
        <w:ind w:left="425" w:hanging="425"/>
        <w:jc w:val="both"/>
        <w:rPr>
          <w:rFonts w:ascii="Arial" w:eastAsia="Calibri" w:hAnsi="Arial" w:cs="Arial"/>
          <w:color w:val="000000"/>
        </w:rPr>
      </w:pPr>
      <w:r>
        <w:rPr>
          <w:rFonts w:ascii="Arial" w:eastAsia="Calibri" w:hAnsi="Arial" w:cs="Arial"/>
          <w:lang w:eastAsia="cs-CZ"/>
        </w:rPr>
        <w:t>Zhotovite</w:t>
      </w:r>
      <w:r w:rsidRPr="00333F06">
        <w:rPr>
          <w:rFonts w:ascii="Arial" w:eastAsia="Calibri" w:hAnsi="Arial" w:cs="Arial"/>
          <w:lang w:eastAsia="cs-CZ"/>
        </w:rPr>
        <w:t>l</w:t>
      </w:r>
      <w:r w:rsidRPr="00333F06">
        <w:rPr>
          <w:rFonts w:ascii="Arial" w:eastAsia="Calibri" w:hAnsi="Arial" w:cs="Arial"/>
          <w:color w:val="000000"/>
        </w:rPr>
        <w:t xml:space="preserve"> převzal na sebe nebezpečí změny okolností po uzavření této smlouvy, a proto mu nepřísluší domáhat se práv uvedených v § 1765 odst. 1 občanského zákoníku.</w:t>
      </w:r>
    </w:p>
    <w:p w:rsidR="00176818" w:rsidRPr="00333F06" w:rsidRDefault="00176818" w:rsidP="00176818">
      <w:pPr>
        <w:numPr>
          <w:ilvl w:val="0"/>
          <w:numId w:val="8"/>
        </w:numPr>
        <w:spacing w:after="240"/>
        <w:ind w:left="425" w:hanging="425"/>
        <w:jc w:val="both"/>
        <w:rPr>
          <w:rFonts w:ascii="Arial" w:eastAsia="Calibri" w:hAnsi="Arial" w:cs="Arial"/>
          <w:color w:val="000000"/>
        </w:rPr>
      </w:pPr>
      <w:r>
        <w:rPr>
          <w:rFonts w:ascii="Arial" w:eastAsia="Calibri" w:hAnsi="Arial" w:cs="Arial"/>
          <w:lang w:eastAsia="cs-CZ"/>
        </w:rPr>
        <w:lastRenderedPageBreak/>
        <w:t>Zhotovite</w:t>
      </w:r>
      <w:r w:rsidRPr="00333F06">
        <w:rPr>
          <w:rFonts w:ascii="Arial" w:eastAsia="Calibri" w:hAnsi="Arial" w:cs="Arial"/>
          <w:lang w:eastAsia="cs-CZ"/>
        </w:rPr>
        <w:t>l</w:t>
      </w:r>
      <w:r w:rsidRPr="00333F06">
        <w:rPr>
          <w:rFonts w:ascii="Arial" w:eastAsia="Calibri" w:hAnsi="Arial" w:cs="Arial"/>
          <w:color w:val="000000"/>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rsidR="00176818" w:rsidRPr="00333F06" w:rsidRDefault="00176818" w:rsidP="00176818">
      <w:pPr>
        <w:numPr>
          <w:ilvl w:val="0"/>
          <w:numId w:val="8"/>
        </w:numPr>
        <w:spacing w:after="240"/>
        <w:ind w:left="425" w:hanging="425"/>
        <w:jc w:val="both"/>
        <w:rPr>
          <w:rFonts w:ascii="Arial" w:eastAsia="Calibri" w:hAnsi="Arial" w:cs="Arial"/>
          <w:color w:val="000000"/>
        </w:rPr>
      </w:pPr>
      <w:r>
        <w:rPr>
          <w:rFonts w:ascii="Arial" w:hAnsi="Arial" w:cs="Arial"/>
          <w:color w:val="000000"/>
        </w:rPr>
        <w:t xml:space="preserve">Objednatel </w:t>
      </w:r>
      <w:r w:rsidRPr="0075146B">
        <w:rPr>
          <w:rFonts w:ascii="Arial" w:hAnsi="Arial" w:cs="Arial"/>
          <w:color w:val="000000"/>
        </w:rPr>
        <w:t xml:space="preserve">je povinným subjektem ve smyslu zákona o registru smluv. </w:t>
      </w:r>
      <w:r>
        <w:rPr>
          <w:rFonts w:ascii="Arial" w:hAnsi="Arial" w:cs="Arial"/>
          <w:color w:val="000000"/>
        </w:rPr>
        <w:t>Poskytovatel</w:t>
      </w:r>
      <w:r w:rsidRPr="0075146B">
        <w:rPr>
          <w:rFonts w:ascii="Arial" w:hAnsi="Arial" w:cs="Arial"/>
          <w:color w:val="000000"/>
        </w:rPr>
        <w:t xml:space="preserve"> </w:t>
      </w:r>
      <w:r>
        <w:rPr>
          <w:rFonts w:ascii="Arial" w:hAnsi="Arial" w:cs="Arial"/>
          <w:color w:val="000000"/>
        </w:rPr>
        <w:t>bere na vědomí, že tato smlouva</w:t>
      </w:r>
      <w:r w:rsidRPr="0075146B">
        <w:rPr>
          <w:rFonts w:ascii="Arial" w:hAnsi="Arial" w:cs="Arial"/>
          <w:color w:val="000000"/>
        </w:rPr>
        <w:t>, včetně všech jejích případných dodatků,</w:t>
      </w:r>
      <w:r>
        <w:rPr>
          <w:rFonts w:ascii="Arial" w:hAnsi="Arial" w:cs="Arial"/>
          <w:color w:val="000000"/>
        </w:rPr>
        <w:t xml:space="preserve"> bude v plném znění uveřejněna  objednatelem </w:t>
      </w:r>
      <w:r w:rsidRPr="007D1DE6">
        <w:rPr>
          <w:rFonts w:ascii="Arial" w:hAnsi="Arial" w:cs="Arial"/>
          <w:color w:val="000000"/>
        </w:rPr>
        <w:t>v Registru smluv.</w:t>
      </w:r>
      <w:r w:rsidRPr="00333F06">
        <w:rPr>
          <w:rFonts w:ascii="Arial" w:eastAsia="Calibri" w:hAnsi="Arial" w:cs="Arial"/>
          <w:color w:val="000000"/>
        </w:rPr>
        <w:t xml:space="preserve"> Objednatel je dále v souladu se ZZVZ povinen na profilu zadavatele uveřejnit skutečně uhrazenou cenu.</w:t>
      </w:r>
    </w:p>
    <w:p w:rsidR="00176818" w:rsidRPr="00333F06" w:rsidRDefault="00176818" w:rsidP="00176818">
      <w:pPr>
        <w:numPr>
          <w:ilvl w:val="0"/>
          <w:numId w:val="8"/>
        </w:numPr>
        <w:spacing w:after="240"/>
        <w:ind w:left="425" w:hanging="425"/>
        <w:jc w:val="both"/>
        <w:rPr>
          <w:rFonts w:ascii="Arial" w:eastAsia="Calibri" w:hAnsi="Arial" w:cs="Arial"/>
          <w:color w:val="000000"/>
        </w:rPr>
      </w:pPr>
      <w:r w:rsidRPr="00333F06">
        <w:rPr>
          <w:rFonts w:ascii="Arial" w:eastAsia="Calibri" w:hAnsi="Arial" w:cs="Arial"/>
          <w:color w:val="000000"/>
        </w:rPr>
        <w:t>Tato smlouva nabývá platnosti dnem podpisu poslední ze smluvních stran a účinnosti dnem uveřejnění v Registru smluv.</w:t>
      </w:r>
    </w:p>
    <w:p w:rsidR="00176818" w:rsidRPr="001E0817" w:rsidRDefault="00176818" w:rsidP="00176818">
      <w:pPr>
        <w:numPr>
          <w:ilvl w:val="0"/>
          <w:numId w:val="8"/>
        </w:numPr>
        <w:spacing w:after="240"/>
        <w:ind w:left="425" w:hanging="425"/>
        <w:jc w:val="both"/>
        <w:rPr>
          <w:rFonts w:ascii="Arial" w:eastAsia="Calibri" w:hAnsi="Arial" w:cs="Arial"/>
          <w:color w:val="000000"/>
        </w:rPr>
      </w:pPr>
      <w:r w:rsidRPr="00333F06">
        <w:rPr>
          <w:rFonts w:ascii="Arial" w:eastAsia="Calibri" w:hAnsi="Arial" w:cs="Arial"/>
          <w:color w:val="000000"/>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rsidR="00176818" w:rsidRPr="00333F06" w:rsidRDefault="00187777" w:rsidP="00176818">
      <w:pPr>
        <w:spacing w:before="360" w:after="120"/>
        <w:rPr>
          <w:rFonts w:ascii="Arial" w:eastAsia="Calibri" w:hAnsi="Arial" w:cs="Arial"/>
        </w:rPr>
      </w:pPr>
      <w:r>
        <w:rPr>
          <w:rFonts w:ascii="Arial" w:eastAsia="Calibri" w:hAnsi="Arial" w:cs="Arial"/>
        </w:rPr>
        <w:t xml:space="preserve">V Praze </w:t>
      </w:r>
      <w:r w:rsidR="00176818" w:rsidRPr="00333F06">
        <w:rPr>
          <w:rFonts w:ascii="Arial" w:eastAsia="Calibri" w:hAnsi="Arial" w:cs="Arial"/>
        </w:rPr>
        <w:t>dne</w:t>
      </w:r>
      <w:r w:rsidR="000334D1">
        <w:rPr>
          <w:rFonts w:ascii="Arial" w:eastAsia="Calibri" w:hAnsi="Arial" w:cs="Arial"/>
        </w:rPr>
        <w:t>: 15.12.2022</w:t>
      </w:r>
      <w:r w:rsidR="00176818" w:rsidRPr="00333F06">
        <w:rPr>
          <w:rFonts w:ascii="Arial" w:eastAsia="Calibri" w:hAnsi="Arial" w:cs="Arial"/>
        </w:rPr>
        <w:tab/>
      </w:r>
      <w:r w:rsidR="00176818">
        <w:rPr>
          <w:rFonts w:ascii="Arial" w:eastAsia="Calibri" w:hAnsi="Arial" w:cs="Arial"/>
        </w:rPr>
        <w:tab/>
      </w:r>
      <w:r w:rsidR="00176818">
        <w:rPr>
          <w:rFonts w:ascii="Arial" w:eastAsia="Calibri" w:hAnsi="Arial" w:cs="Arial"/>
        </w:rPr>
        <w:tab/>
      </w:r>
      <w:r w:rsidR="00176818" w:rsidRPr="00333F06">
        <w:rPr>
          <w:rFonts w:ascii="Arial" w:eastAsia="Calibri" w:hAnsi="Arial" w:cs="Arial"/>
        </w:rPr>
        <w:t>V Praze dne</w:t>
      </w:r>
      <w:r w:rsidR="000334D1">
        <w:rPr>
          <w:rFonts w:ascii="Arial" w:eastAsia="Calibri" w:hAnsi="Arial" w:cs="Arial"/>
        </w:rPr>
        <w:t>: 20.12.2022</w:t>
      </w:r>
    </w:p>
    <w:p w:rsidR="00176818" w:rsidRPr="00333F06" w:rsidRDefault="00176818" w:rsidP="00176818">
      <w:pPr>
        <w:tabs>
          <w:tab w:val="left" w:pos="0"/>
          <w:tab w:val="left" w:leader="dot" w:pos="3544"/>
          <w:tab w:val="left" w:pos="4253"/>
          <w:tab w:val="left" w:leader="dot" w:pos="7938"/>
        </w:tabs>
        <w:spacing w:before="360" w:after="120"/>
        <w:rPr>
          <w:rFonts w:ascii="Arial" w:eastAsia="Calibri" w:hAnsi="Arial" w:cs="Arial"/>
        </w:rPr>
      </w:pPr>
      <w:r w:rsidRPr="00333F06">
        <w:rPr>
          <w:rFonts w:ascii="Arial" w:eastAsia="Calibri" w:hAnsi="Arial" w:cs="Arial"/>
        </w:rPr>
        <w:tab/>
      </w:r>
      <w:r w:rsidRPr="00333F06">
        <w:rPr>
          <w:rFonts w:ascii="Arial" w:eastAsia="Calibri" w:hAnsi="Arial" w:cs="Arial"/>
        </w:rPr>
        <w:tab/>
      </w:r>
      <w:r w:rsidRPr="00333F06">
        <w:rPr>
          <w:rFonts w:ascii="Arial" w:eastAsia="Calibri" w:hAnsi="Arial" w:cs="Arial"/>
        </w:rPr>
        <w:tab/>
      </w:r>
    </w:p>
    <w:p w:rsidR="00176818" w:rsidRPr="00187777" w:rsidRDefault="00187777" w:rsidP="00176818">
      <w:pPr>
        <w:spacing w:after="0" w:line="240" w:lineRule="auto"/>
        <w:ind w:left="4245" w:hanging="4245"/>
        <w:rPr>
          <w:rFonts w:ascii="Arial" w:eastAsia="Calibri" w:hAnsi="Arial" w:cs="Arial"/>
        </w:rPr>
      </w:pPr>
      <w:r w:rsidRPr="00187777">
        <w:rPr>
          <w:rFonts w:ascii="Arial" w:eastAsia="Calibri" w:hAnsi="Arial" w:cs="Arial"/>
        </w:rPr>
        <w:t>Za KOZEL FENESTRA s.r.o.</w:t>
      </w:r>
      <w:r w:rsidR="00176818" w:rsidRPr="00187777">
        <w:rPr>
          <w:rFonts w:ascii="Arial" w:eastAsia="Calibri" w:hAnsi="Arial" w:cs="Arial"/>
        </w:rPr>
        <w:tab/>
        <w:t>za Českou republiku – Úřad vlády České republiky</w:t>
      </w:r>
    </w:p>
    <w:p w:rsidR="00176818" w:rsidRPr="00187777" w:rsidRDefault="00187777" w:rsidP="00176818">
      <w:pPr>
        <w:spacing w:after="0" w:line="240" w:lineRule="auto"/>
        <w:rPr>
          <w:rFonts w:ascii="Arial" w:eastAsia="Calibri" w:hAnsi="Arial" w:cs="Arial"/>
        </w:rPr>
      </w:pPr>
      <w:r>
        <w:rPr>
          <w:rFonts w:ascii="Arial" w:eastAsia="Calibri" w:hAnsi="Arial" w:cs="Arial"/>
        </w:rPr>
        <w:t xml:space="preserve">Mgr. Michal </w:t>
      </w:r>
      <w:r w:rsidR="00776FAD">
        <w:rPr>
          <w:rFonts w:ascii="Arial" w:eastAsia="Calibri" w:hAnsi="Arial" w:cs="Arial"/>
        </w:rPr>
        <w:t>S</w:t>
      </w:r>
      <w:r>
        <w:rPr>
          <w:rFonts w:ascii="Arial" w:eastAsia="Calibri" w:hAnsi="Arial" w:cs="Arial"/>
        </w:rPr>
        <w:t>křivan</w:t>
      </w:r>
      <w:r w:rsidR="000334D1">
        <w:rPr>
          <w:rFonts w:ascii="Arial" w:eastAsia="Calibri" w:hAnsi="Arial" w:cs="Arial"/>
        </w:rPr>
        <w:t>, v.</w:t>
      </w:r>
      <w:r w:rsidR="006A3E9B">
        <w:rPr>
          <w:rFonts w:ascii="Arial" w:eastAsia="Calibri" w:hAnsi="Arial" w:cs="Arial"/>
        </w:rPr>
        <w:t xml:space="preserve"> </w:t>
      </w:r>
      <w:bookmarkStart w:id="0" w:name="_GoBack"/>
      <w:bookmarkEnd w:id="0"/>
      <w:r w:rsidR="000334D1">
        <w:rPr>
          <w:rFonts w:ascii="Arial" w:eastAsia="Calibri" w:hAnsi="Arial" w:cs="Arial"/>
        </w:rPr>
        <w:t>r.</w:t>
      </w:r>
      <w:r w:rsidR="000334D1">
        <w:rPr>
          <w:rFonts w:ascii="Arial" w:eastAsia="Calibri" w:hAnsi="Arial" w:cs="Arial"/>
        </w:rPr>
        <w:tab/>
      </w:r>
      <w:r w:rsidR="000334D1">
        <w:rPr>
          <w:rFonts w:ascii="Arial" w:eastAsia="Calibri" w:hAnsi="Arial" w:cs="Arial"/>
        </w:rPr>
        <w:tab/>
      </w:r>
      <w:r w:rsidR="000334D1">
        <w:rPr>
          <w:rFonts w:ascii="Arial" w:eastAsia="Calibri" w:hAnsi="Arial" w:cs="Arial"/>
        </w:rPr>
        <w:tab/>
      </w:r>
      <w:r w:rsidR="00176818" w:rsidRPr="00187777">
        <w:rPr>
          <w:rFonts w:eastAsia="Times New Roman" w:cs="Arial"/>
        </w:rPr>
        <w:t>I</w:t>
      </w:r>
      <w:r w:rsidR="00176818" w:rsidRPr="00187777">
        <w:rPr>
          <w:rFonts w:ascii="Arial" w:eastAsia="Times New Roman" w:hAnsi="Arial" w:cs="Arial"/>
        </w:rPr>
        <w:t>ng. Tomáš Štainbruch, MBA</w:t>
      </w:r>
      <w:r w:rsidR="000334D1">
        <w:rPr>
          <w:rFonts w:ascii="Arial" w:eastAsia="Times New Roman" w:hAnsi="Arial" w:cs="Arial"/>
        </w:rPr>
        <w:t>, v.</w:t>
      </w:r>
      <w:r w:rsidR="006A3E9B">
        <w:rPr>
          <w:rFonts w:ascii="Arial" w:eastAsia="Times New Roman" w:hAnsi="Arial" w:cs="Arial"/>
        </w:rPr>
        <w:t xml:space="preserve"> </w:t>
      </w:r>
      <w:r w:rsidR="000334D1">
        <w:rPr>
          <w:rFonts w:ascii="Arial" w:eastAsia="Times New Roman" w:hAnsi="Arial" w:cs="Arial"/>
        </w:rPr>
        <w:t>r.</w:t>
      </w:r>
    </w:p>
    <w:p w:rsidR="00176818" w:rsidRPr="00187777" w:rsidRDefault="00187777" w:rsidP="00176818">
      <w:pPr>
        <w:spacing w:after="0" w:line="240" w:lineRule="auto"/>
        <w:rPr>
          <w:rFonts w:ascii="Arial" w:eastAsia="Calibri" w:hAnsi="Arial" w:cs="Arial"/>
        </w:rPr>
      </w:pPr>
      <w:r>
        <w:rPr>
          <w:rFonts w:ascii="Arial" w:eastAsia="Calibri" w:hAnsi="Arial" w:cs="Arial"/>
        </w:rPr>
        <w:t>jednatel</w:t>
      </w:r>
      <w:r w:rsidR="00176818" w:rsidRPr="00187777">
        <w:rPr>
          <w:rFonts w:ascii="Arial" w:eastAsia="Calibri" w:hAnsi="Arial" w:cs="Arial"/>
        </w:rPr>
        <w:tab/>
      </w:r>
      <w:r w:rsidR="00176818" w:rsidRPr="00187777">
        <w:rPr>
          <w:rFonts w:ascii="Arial" w:eastAsia="Calibri" w:hAnsi="Arial" w:cs="Arial"/>
        </w:rPr>
        <w:tab/>
      </w:r>
      <w:r w:rsidR="00176818" w:rsidRPr="00187777">
        <w:rPr>
          <w:rFonts w:ascii="Arial" w:eastAsia="Calibri" w:hAnsi="Arial" w:cs="Arial"/>
        </w:rPr>
        <w:tab/>
      </w:r>
      <w:r w:rsidR="00176818" w:rsidRPr="00187777">
        <w:rPr>
          <w:rFonts w:ascii="Arial" w:eastAsia="Calibri" w:hAnsi="Arial" w:cs="Arial"/>
        </w:rPr>
        <w:tab/>
      </w:r>
      <w:r>
        <w:rPr>
          <w:rFonts w:ascii="Arial" w:eastAsia="Calibri" w:hAnsi="Arial" w:cs="Arial"/>
        </w:rPr>
        <w:t xml:space="preserve">            </w:t>
      </w:r>
      <w:r w:rsidR="00176818" w:rsidRPr="00187777">
        <w:rPr>
          <w:rFonts w:ascii="Arial" w:eastAsia="Times New Roman" w:hAnsi="Arial" w:cs="Arial"/>
        </w:rPr>
        <w:t>vedoucí Oddělení investic</w:t>
      </w:r>
    </w:p>
    <w:p w:rsidR="00FA5361" w:rsidRDefault="00FA5361" w:rsidP="00176818">
      <w:pPr>
        <w:rPr>
          <w:rFonts w:ascii="Arial" w:eastAsia="Calibri" w:hAnsi="Arial" w:cs="Arial"/>
        </w:rPr>
        <w:sectPr w:rsidR="00FA5361" w:rsidSect="00176818">
          <w:headerReference w:type="default" r:id="rId7"/>
          <w:footerReference w:type="default" r:id="rId8"/>
          <w:headerReference w:type="first" r:id="rId9"/>
          <w:pgSz w:w="11906" w:h="16838"/>
          <w:pgMar w:top="1134" w:right="1021" w:bottom="1276" w:left="1077" w:header="709" w:footer="425" w:gutter="0"/>
          <w:cols w:space="708"/>
          <w:titlePg/>
          <w:docGrid w:linePitch="360"/>
        </w:sectPr>
      </w:pPr>
    </w:p>
    <w:p w:rsidR="00176818" w:rsidRDefault="00176818" w:rsidP="00176818">
      <w:pPr>
        <w:rPr>
          <w:rFonts w:ascii="Arial" w:eastAsia="Calibri" w:hAnsi="Arial" w:cs="Arial"/>
        </w:rPr>
      </w:pPr>
    </w:p>
    <w:p w:rsidR="00176818" w:rsidRDefault="00176818" w:rsidP="00176818">
      <w:pPr>
        <w:autoSpaceDN w:val="0"/>
        <w:spacing w:before="120" w:after="120"/>
        <w:jc w:val="center"/>
        <w:textAlignment w:val="baseline"/>
        <w:rPr>
          <w:rFonts w:ascii="Arial" w:eastAsia="Calibri" w:hAnsi="Arial" w:cs="Arial"/>
          <w:b/>
          <w:kern w:val="3"/>
          <w:sz w:val="28"/>
          <w:szCs w:val="28"/>
          <w:lang w:eastAsia="cs-CZ"/>
        </w:rPr>
      </w:pPr>
      <w:r>
        <w:rPr>
          <w:rFonts w:ascii="Arial" w:eastAsia="Calibri" w:hAnsi="Arial" w:cs="Arial"/>
          <w:b/>
          <w:kern w:val="3"/>
          <w:sz w:val="28"/>
          <w:szCs w:val="28"/>
          <w:lang w:eastAsia="cs-CZ"/>
        </w:rPr>
        <w:t>Kalkulace ceny</w:t>
      </w:r>
    </w:p>
    <w:p w:rsidR="00176818" w:rsidRDefault="00176818" w:rsidP="00176818">
      <w:pPr>
        <w:spacing w:after="0"/>
        <w:jc w:val="center"/>
        <w:rPr>
          <w:rFonts w:ascii="Arial" w:hAnsi="Arial" w:cs="Arial"/>
          <w:i/>
        </w:rPr>
      </w:pPr>
    </w:p>
    <w:tbl>
      <w:tblPr>
        <w:tblStyle w:val="Mkatabulky"/>
        <w:tblW w:w="0" w:type="auto"/>
        <w:tblLook w:val="04A0" w:firstRow="1" w:lastRow="0" w:firstColumn="1" w:lastColumn="0" w:noHBand="0" w:noVBand="1"/>
      </w:tblPr>
      <w:tblGrid>
        <w:gridCol w:w="328"/>
        <w:gridCol w:w="4768"/>
        <w:gridCol w:w="1222"/>
        <w:gridCol w:w="1742"/>
        <w:gridCol w:w="1574"/>
        <w:gridCol w:w="1762"/>
        <w:gridCol w:w="806"/>
        <w:gridCol w:w="1792"/>
      </w:tblGrid>
      <w:tr w:rsidR="009C741E" w:rsidRPr="009C741E" w:rsidTr="00FA5361">
        <w:trPr>
          <w:trHeight w:val="1242"/>
        </w:trPr>
        <w:tc>
          <w:tcPr>
            <w:tcW w:w="328" w:type="dxa"/>
            <w:hideMark/>
          </w:tcPr>
          <w:p w:rsidR="009C741E" w:rsidRPr="009C741E" w:rsidRDefault="009C741E" w:rsidP="009C741E">
            <w:pPr>
              <w:rPr>
                <w:rFonts w:ascii="Arial" w:hAnsi="Arial" w:cs="Arial"/>
                <w:b/>
                <w:bCs/>
                <w:sz w:val="20"/>
                <w:szCs w:val="20"/>
              </w:rPr>
            </w:pPr>
            <w:r w:rsidRPr="009C741E">
              <w:rPr>
                <w:rFonts w:ascii="Arial" w:hAnsi="Arial" w:cs="Arial"/>
                <w:b/>
                <w:bCs/>
                <w:sz w:val="20"/>
                <w:szCs w:val="20"/>
              </w:rPr>
              <w:t> </w:t>
            </w:r>
          </w:p>
        </w:tc>
        <w:tc>
          <w:tcPr>
            <w:tcW w:w="4768" w:type="dxa"/>
            <w:hideMark/>
          </w:tcPr>
          <w:p w:rsidR="009C741E" w:rsidRPr="009C741E" w:rsidRDefault="009C741E">
            <w:pPr>
              <w:rPr>
                <w:rFonts w:ascii="Arial" w:hAnsi="Arial" w:cs="Arial"/>
                <w:b/>
                <w:bCs/>
                <w:sz w:val="20"/>
                <w:szCs w:val="20"/>
              </w:rPr>
            </w:pPr>
            <w:r w:rsidRPr="009C741E">
              <w:rPr>
                <w:rFonts w:ascii="Arial" w:hAnsi="Arial" w:cs="Arial"/>
                <w:b/>
                <w:bCs/>
                <w:sz w:val="20"/>
                <w:szCs w:val="20"/>
              </w:rPr>
              <w:t>Položky</w:t>
            </w:r>
          </w:p>
        </w:tc>
        <w:tc>
          <w:tcPr>
            <w:tcW w:w="1222" w:type="dxa"/>
            <w:hideMark/>
          </w:tcPr>
          <w:p w:rsidR="009C741E" w:rsidRPr="009C741E" w:rsidRDefault="009C741E" w:rsidP="009C741E">
            <w:pPr>
              <w:rPr>
                <w:rFonts w:ascii="Arial" w:hAnsi="Arial" w:cs="Arial"/>
                <w:b/>
                <w:bCs/>
                <w:sz w:val="20"/>
                <w:szCs w:val="20"/>
              </w:rPr>
            </w:pPr>
            <w:r w:rsidRPr="009C741E">
              <w:rPr>
                <w:rFonts w:ascii="Arial" w:hAnsi="Arial" w:cs="Arial"/>
                <w:b/>
                <w:bCs/>
                <w:sz w:val="20"/>
                <w:szCs w:val="20"/>
              </w:rPr>
              <w:t>Měrná jednotka</w:t>
            </w:r>
          </w:p>
        </w:tc>
        <w:tc>
          <w:tcPr>
            <w:tcW w:w="1742" w:type="dxa"/>
            <w:hideMark/>
          </w:tcPr>
          <w:p w:rsidR="009C741E" w:rsidRPr="009C741E" w:rsidRDefault="009C741E" w:rsidP="009C741E">
            <w:pPr>
              <w:rPr>
                <w:rFonts w:ascii="Arial" w:hAnsi="Arial" w:cs="Arial"/>
                <w:b/>
                <w:bCs/>
                <w:sz w:val="20"/>
                <w:szCs w:val="20"/>
              </w:rPr>
            </w:pPr>
            <w:r w:rsidRPr="009C741E">
              <w:rPr>
                <w:rFonts w:ascii="Arial" w:hAnsi="Arial" w:cs="Arial"/>
                <w:b/>
                <w:bCs/>
                <w:sz w:val="20"/>
                <w:szCs w:val="20"/>
              </w:rPr>
              <w:t>Předpokládaný počet jednotek</w:t>
            </w:r>
          </w:p>
        </w:tc>
        <w:tc>
          <w:tcPr>
            <w:tcW w:w="1574" w:type="dxa"/>
            <w:hideMark/>
          </w:tcPr>
          <w:p w:rsidR="009C741E" w:rsidRPr="009C741E" w:rsidRDefault="009C741E" w:rsidP="009C741E">
            <w:pPr>
              <w:rPr>
                <w:rFonts w:ascii="Arial" w:hAnsi="Arial" w:cs="Arial"/>
                <w:b/>
                <w:bCs/>
                <w:sz w:val="20"/>
                <w:szCs w:val="20"/>
              </w:rPr>
            </w:pPr>
            <w:r w:rsidRPr="009C741E">
              <w:rPr>
                <w:rFonts w:ascii="Arial" w:hAnsi="Arial" w:cs="Arial"/>
                <w:b/>
                <w:bCs/>
                <w:sz w:val="20"/>
                <w:szCs w:val="20"/>
              </w:rPr>
              <w:t>Cena v Kč</w:t>
            </w:r>
            <w:r w:rsidRPr="009C741E">
              <w:rPr>
                <w:rFonts w:ascii="Arial" w:hAnsi="Arial" w:cs="Arial"/>
                <w:b/>
                <w:bCs/>
                <w:sz w:val="20"/>
                <w:szCs w:val="20"/>
              </w:rPr>
              <w:br/>
              <w:t xml:space="preserve">za jednotku </w:t>
            </w:r>
            <w:r w:rsidRPr="009C741E">
              <w:rPr>
                <w:rFonts w:ascii="Arial" w:hAnsi="Arial" w:cs="Arial"/>
                <w:b/>
                <w:bCs/>
                <w:sz w:val="20"/>
                <w:szCs w:val="20"/>
              </w:rPr>
              <w:br/>
              <w:t>bez DPH</w:t>
            </w:r>
          </w:p>
        </w:tc>
        <w:tc>
          <w:tcPr>
            <w:tcW w:w="1762" w:type="dxa"/>
            <w:hideMark/>
          </w:tcPr>
          <w:p w:rsidR="009C741E" w:rsidRPr="009C741E" w:rsidRDefault="009C741E" w:rsidP="009C741E">
            <w:pPr>
              <w:rPr>
                <w:rFonts w:ascii="Arial" w:hAnsi="Arial" w:cs="Arial"/>
                <w:b/>
                <w:bCs/>
                <w:sz w:val="20"/>
                <w:szCs w:val="20"/>
              </w:rPr>
            </w:pPr>
            <w:r w:rsidRPr="009C741E">
              <w:rPr>
                <w:rFonts w:ascii="Arial" w:hAnsi="Arial" w:cs="Arial"/>
                <w:b/>
                <w:bCs/>
                <w:sz w:val="20"/>
                <w:szCs w:val="20"/>
              </w:rPr>
              <w:t>Cena v Kč za předpokládaný počet jednotek v Kč</w:t>
            </w:r>
            <w:r w:rsidRPr="009C741E">
              <w:rPr>
                <w:rFonts w:ascii="Arial" w:hAnsi="Arial" w:cs="Arial"/>
                <w:b/>
                <w:bCs/>
                <w:sz w:val="20"/>
                <w:szCs w:val="20"/>
              </w:rPr>
              <w:br/>
              <w:t>bez DPH</w:t>
            </w:r>
          </w:p>
        </w:tc>
        <w:tc>
          <w:tcPr>
            <w:tcW w:w="806" w:type="dxa"/>
            <w:hideMark/>
          </w:tcPr>
          <w:p w:rsidR="009C741E" w:rsidRPr="009C741E" w:rsidRDefault="009C741E" w:rsidP="009C741E">
            <w:pPr>
              <w:rPr>
                <w:rFonts w:ascii="Arial" w:hAnsi="Arial" w:cs="Arial"/>
                <w:b/>
                <w:bCs/>
                <w:sz w:val="20"/>
                <w:szCs w:val="20"/>
              </w:rPr>
            </w:pPr>
            <w:r w:rsidRPr="009C741E">
              <w:rPr>
                <w:rFonts w:ascii="Arial" w:hAnsi="Arial" w:cs="Arial"/>
                <w:b/>
                <w:bCs/>
                <w:sz w:val="20"/>
                <w:szCs w:val="20"/>
              </w:rPr>
              <w:t>výše DPH</w:t>
            </w:r>
            <w:r w:rsidRPr="009C741E">
              <w:rPr>
                <w:rFonts w:ascii="Arial" w:hAnsi="Arial" w:cs="Arial"/>
                <w:b/>
                <w:bCs/>
                <w:sz w:val="20"/>
                <w:szCs w:val="20"/>
              </w:rPr>
              <w:br/>
              <w:t>v %</w:t>
            </w:r>
          </w:p>
        </w:tc>
        <w:tc>
          <w:tcPr>
            <w:tcW w:w="1792" w:type="dxa"/>
            <w:hideMark/>
          </w:tcPr>
          <w:p w:rsidR="009C741E" w:rsidRPr="009C741E" w:rsidRDefault="009C741E" w:rsidP="009C741E">
            <w:pPr>
              <w:rPr>
                <w:rFonts w:ascii="Arial" w:hAnsi="Arial" w:cs="Arial"/>
                <w:b/>
                <w:bCs/>
                <w:sz w:val="20"/>
                <w:szCs w:val="20"/>
              </w:rPr>
            </w:pPr>
            <w:r w:rsidRPr="009C741E">
              <w:rPr>
                <w:rFonts w:ascii="Arial" w:hAnsi="Arial" w:cs="Arial"/>
                <w:b/>
                <w:bCs/>
                <w:sz w:val="20"/>
                <w:szCs w:val="20"/>
              </w:rPr>
              <w:t>Cena v Kč za předpokládaný počet jednotek</w:t>
            </w:r>
            <w:r>
              <w:rPr>
                <w:rFonts w:ascii="Arial" w:hAnsi="Arial" w:cs="Arial"/>
                <w:b/>
                <w:bCs/>
                <w:sz w:val="20"/>
                <w:szCs w:val="20"/>
              </w:rPr>
              <w:t xml:space="preserve"> </w:t>
            </w:r>
            <w:r w:rsidRPr="009C741E">
              <w:rPr>
                <w:rFonts w:ascii="Arial" w:hAnsi="Arial" w:cs="Arial"/>
                <w:b/>
                <w:bCs/>
                <w:sz w:val="20"/>
                <w:szCs w:val="20"/>
              </w:rPr>
              <w:t xml:space="preserve">v Kč  </w:t>
            </w:r>
            <w:r w:rsidRPr="009C741E">
              <w:rPr>
                <w:rFonts w:ascii="Arial" w:hAnsi="Arial" w:cs="Arial"/>
                <w:b/>
                <w:bCs/>
                <w:sz w:val="20"/>
                <w:szCs w:val="20"/>
              </w:rPr>
              <w:br/>
              <w:t>s DPH</w:t>
            </w:r>
          </w:p>
        </w:tc>
      </w:tr>
      <w:tr w:rsidR="00FA5361" w:rsidRPr="009C741E" w:rsidTr="00FA5361">
        <w:trPr>
          <w:trHeight w:val="499"/>
        </w:trPr>
        <w:tc>
          <w:tcPr>
            <w:tcW w:w="328" w:type="dxa"/>
            <w:noWrap/>
            <w:hideMark/>
          </w:tcPr>
          <w:p w:rsidR="009C741E" w:rsidRPr="009C741E" w:rsidRDefault="009C741E" w:rsidP="009C741E">
            <w:pPr>
              <w:rPr>
                <w:rFonts w:ascii="Arial" w:hAnsi="Arial" w:cs="Arial"/>
                <w:sz w:val="20"/>
                <w:szCs w:val="20"/>
              </w:rPr>
            </w:pPr>
            <w:r w:rsidRPr="009C741E">
              <w:rPr>
                <w:rFonts w:ascii="Arial" w:hAnsi="Arial" w:cs="Arial"/>
                <w:sz w:val="20"/>
                <w:szCs w:val="20"/>
              </w:rPr>
              <w:t>1</w:t>
            </w:r>
          </w:p>
        </w:tc>
        <w:tc>
          <w:tcPr>
            <w:tcW w:w="4768" w:type="dxa"/>
            <w:noWrap/>
            <w:hideMark/>
          </w:tcPr>
          <w:p w:rsidR="009C741E" w:rsidRPr="009C741E" w:rsidRDefault="009C741E">
            <w:pPr>
              <w:rPr>
                <w:rFonts w:ascii="Arial" w:hAnsi="Arial" w:cs="Arial"/>
                <w:sz w:val="20"/>
                <w:szCs w:val="20"/>
              </w:rPr>
            </w:pPr>
            <w:r w:rsidRPr="009C741E">
              <w:rPr>
                <w:rFonts w:ascii="Arial" w:hAnsi="Arial" w:cs="Arial"/>
                <w:sz w:val="20"/>
                <w:szCs w:val="20"/>
              </w:rPr>
              <w:t>Truhlářské práce</w:t>
            </w:r>
          </w:p>
        </w:tc>
        <w:tc>
          <w:tcPr>
            <w:tcW w:w="122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kpl.</w:t>
            </w:r>
          </w:p>
        </w:tc>
        <w:tc>
          <w:tcPr>
            <w:tcW w:w="174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1</w:t>
            </w:r>
          </w:p>
        </w:tc>
        <w:tc>
          <w:tcPr>
            <w:tcW w:w="1574"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105.000</w:t>
            </w:r>
          </w:p>
        </w:tc>
        <w:tc>
          <w:tcPr>
            <w:tcW w:w="176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105.000</w:t>
            </w:r>
          </w:p>
        </w:tc>
        <w:tc>
          <w:tcPr>
            <w:tcW w:w="806"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21</w:t>
            </w:r>
          </w:p>
        </w:tc>
        <w:tc>
          <w:tcPr>
            <w:tcW w:w="179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127.050</w:t>
            </w:r>
          </w:p>
        </w:tc>
      </w:tr>
      <w:tr w:rsidR="00FA5361" w:rsidRPr="009C741E" w:rsidTr="00FA5361">
        <w:trPr>
          <w:trHeight w:val="499"/>
        </w:trPr>
        <w:tc>
          <w:tcPr>
            <w:tcW w:w="328" w:type="dxa"/>
            <w:noWrap/>
            <w:hideMark/>
          </w:tcPr>
          <w:p w:rsidR="009C741E" w:rsidRPr="009C741E" w:rsidRDefault="009C741E" w:rsidP="009C741E">
            <w:pPr>
              <w:rPr>
                <w:rFonts w:ascii="Arial" w:hAnsi="Arial" w:cs="Arial"/>
                <w:sz w:val="20"/>
                <w:szCs w:val="20"/>
              </w:rPr>
            </w:pPr>
            <w:r w:rsidRPr="009C741E">
              <w:rPr>
                <w:rFonts w:ascii="Arial" w:hAnsi="Arial" w:cs="Arial"/>
                <w:sz w:val="20"/>
                <w:szCs w:val="20"/>
              </w:rPr>
              <w:t>2</w:t>
            </w:r>
          </w:p>
        </w:tc>
        <w:tc>
          <w:tcPr>
            <w:tcW w:w="4768" w:type="dxa"/>
            <w:noWrap/>
            <w:hideMark/>
          </w:tcPr>
          <w:p w:rsidR="009C741E" w:rsidRPr="009C741E" w:rsidRDefault="009C741E">
            <w:pPr>
              <w:rPr>
                <w:rFonts w:ascii="Arial" w:hAnsi="Arial" w:cs="Arial"/>
                <w:sz w:val="20"/>
                <w:szCs w:val="20"/>
              </w:rPr>
            </w:pPr>
            <w:r w:rsidRPr="009C741E">
              <w:rPr>
                <w:rFonts w:ascii="Arial" w:hAnsi="Arial" w:cs="Arial"/>
                <w:sz w:val="20"/>
                <w:szCs w:val="20"/>
              </w:rPr>
              <w:t>Lakýrnické práce</w:t>
            </w:r>
          </w:p>
        </w:tc>
        <w:tc>
          <w:tcPr>
            <w:tcW w:w="122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kpl.</w:t>
            </w:r>
          </w:p>
        </w:tc>
        <w:tc>
          <w:tcPr>
            <w:tcW w:w="174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1</w:t>
            </w:r>
          </w:p>
        </w:tc>
        <w:tc>
          <w:tcPr>
            <w:tcW w:w="1574"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60.000</w:t>
            </w:r>
          </w:p>
        </w:tc>
        <w:tc>
          <w:tcPr>
            <w:tcW w:w="176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60.000</w:t>
            </w:r>
          </w:p>
        </w:tc>
        <w:tc>
          <w:tcPr>
            <w:tcW w:w="806"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21</w:t>
            </w:r>
          </w:p>
        </w:tc>
        <w:tc>
          <w:tcPr>
            <w:tcW w:w="179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72.600</w:t>
            </w:r>
          </w:p>
        </w:tc>
      </w:tr>
      <w:tr w:rsidR="00FA5361" w:rsidRPr="009C741E" w:rsidTr="00FA5361">
        <w:trPr>
          <w:trHeight w:val="499"/>
        </w:trPr>
        <w:tc>
          <w:tcPr>
            <w:tcW w:w="328" w:type="dxa"/>
            <w:noWrap/>
            <w:hideMark/>
          </w:tcPr>
          <w:p w:rsidR="009C741E" w:rsidRPr="009C741E" w:rsidRDefault="009C741E" w:rsidP="009C741E">
            <w:pPr>
              <w:rPr>
                <w:rFonts w:ascii="Arial" w:hAnsi="Arial" w:cs="Arial"/>
                <w:sz w:val="20"/>
                <w:szCs w:val="20"/>
              </w:rPr>
            </w:pPr>
            <w:r w:rsidRPr="009C741E">
              <w:rPr>
                <w:rFonts w:ascii="Arial" w:hAnsi="Arial" w:cs="Arial"/>
                <w:sz w:val="20"/>
                <w:szCs w:val="20"/>
              </w:rPr>
              <w:t>3</w:t>
            </w:r>
          </w:p>
        </w:tc>
        <w:tc>
          <w:tcPr>
            <w:tcW w:w="4768" w:type="dxa"/>
            <w:noWrap/>
            <w:hideMark/>
          </w:tcPr>
          <w:p w:rsidR="009C741E" w:rsidRPr="009C741E" w:rsidRDefault="009C741E">
            <w:pPr>
              <w:rPr>
                <w:rFonts w:ascii="Arial" w:hAnsi="Arial" w:cs="Arial"/>
                <w:sz w:val="20"/>
                <w:szCs w:val="20"/>
              </w:rPr>
            </w:pPr>
            <w:r w:rsidRPr="009C741E">
              <w:rPr>
                <w:rFonts w:ascii="Arial" w:hAnsi="Arial" w:cs="Arial"/>
                <w:sz w:val="20"/>
                <w:szCs w:val="20"/>
              </w:rPr>
              <w:t>Zámečnické práce</w:t>
            </w:r>
          </w:p>
        </w:tc>
        <w:tc>
          <w:tcPr>
            <w:tcW w:w="122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kpl.</w:t>
            </w:r>
          </w:p>
        </w:tc>
        <w:tc>
          <w:tcPr>
            <w:tcW w:w="174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1</w:t>
            </w:r>
          </w:p>
        </w:tc>
        <w:tc>
          <w:tcPr>
            <w:tcW w:w="1574"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70.000</w:t>
            </w:r>
          </w:p>
        </w:tc>
        <w:tc>
          <w:tcPr>
            <w:tcW w:w="176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70.000</w:t>
            </w:r>
          </w:p>
        </w:tc>
        <w:tc>
          <w:tcPr>
            <w:tcW w:w="806"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21</w:t>
            </w:r>
          </w:p>
        </w:tc>
        <w:tc>
          <w:tcPr>
            <w:tcW w:w="179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84.700</w:t>
            </w:r>
          </w:p>
        </w:tc>
      </w:tr>
      <w:tr w:rsidR="00FA5361" w:rsidRPr="009C741E" w:rsidTr="00FA5361">
        <w:trPr>
          <w:trHeight w:val="499"/>
        </w:trPr>
        <w:tc>
          <w:tcPr>
            <w:tcW w:w="328" w:type="dxa"/>
            <w:noWrap/>
            <w:hideMark/>
          </w:tcPr>
          <w:p w:rsidR="009C741E" w:rsidRPr="009C741E" w:rsidRDefault="009C741E" w:rsidP="009C741E">
            <w:pPr>
              <w:rPr>
                <w:rFonts w:ascii="Arial" w:hAnsi="Arial" w:cs="Arial"/>
                <w:sz w:val="20"/>
                <w:szCs w:val="20"/>
              </w:rPr>
            </w:pPr>
            <w:r w:rsidRPr="009C741E">
              <w:rPr>
                <w:rFonts w:ascii="Arial" w:hAnsi="Arial" w:cs="Arial"/>
                <w:sz w:val="20"/>
                <w:szCs w:val="20"/>
              </w:rPr>
              <w:t>4</w:t>
            </w:r>
          </w:p>
        </w:tc>
        <w:tc>
          <w:tcPr>
            <w:tcW w:w="4768" w:type="dxa"/>
            <w:noWrap/>
            <w:hideMark/>
          </w:tcPr>
          <w:p w:rsidR="009C741E" w:rsidRPr="009C741E" w:rsidRDefault="009C741E">
            <w:pPr>
              <w:rPr>
                <w:rFonts w:ascii="Arial" w:hAnsi="Arial" w:cs="Arial"/>
                <w:sz w:val="20"/>
                <w:szCs w:val="20"/>
              </w:rPr>
            </w:pPr>
            <w:r w:rsidRPr="009C741E">
              <w:rPr>
                <w:rFonts w:ascii="Arial" w:hAnsi="Arial" w:cs="Arial"/>
                <w:sz w:val="20"/>
                <w:szCs w:val="20"/>
              </w:rPr>
              <w:t>Montážní práce, stavební přípomoce</w:t>
            </w:r>
          </w:p>
        </w:tc>
        <w:tc>
          <w:tcPr>
            <w:tcW w:w="122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kpl.</w:t>
            </w:r>
          </w:p>
        </w:tc>
        <w:tc>
          <w:tcPr>
            <w:tcW w:w="174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1</w:t>
            </w:r>
          </w:p>
        </w:tc>
        <w:tc>
          <w:tcPr>
            <w:tcW w:w="1574"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30.000</w:t>
            </w:r>
          </w:p>
        </w:tc>
        <w:tc>
          <w:tcPr>
            <w:tcW w:w="176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30.000</w:t>
            </w:r>
          </w:p>
        </w:tc>
        <w:tc>
          <w:tcPr>
            <w:tcW w:w="806"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21</w:t>
            </w:r>
          </w:p>
        </w:tc>
        <w:tc>
          <w:tcPr>
            <w:tcW w:w="179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36.300</w:t>
            </w:r>
          </w:p>
        </w:tc>
      </w:tr>
      <w:tr w:rsidR="00FA5361" w:rsidRPr="009C741E" w:rsidTr="00FA5361">
        <w:trPr>
          <w:trHeight w:val="499"/>
        </w:trPr>
        <w:tc>
          <w:tcPr>
            <w:tcW w:w="328" w:type="dxa"/>
            <w:noWrap/>
            <w:hideMark/>
          </w:tcPr>
          <w:p w:rsidR="009C741E" w:rsidRPr="009C741E" w:rsidRDefault="009C741E" w:rsidP="009C741E">
            <w:pPr>
              <w:rPr>
                <w:rFonts w:ascii="Arial" w:hAnsi="Arial" w:cs="Arial"/>
                <w:sz w:val="20"/>
                <w:szCs w:val="20"/>
              </w:rPr>
            </w:pPr>
            <w:r w:rsidRPr="009C741E">
              <w:rPr>
                <w:rFonts w:ascii="Arial" w:hAnsi="Arial" w:cs="Arial"/>
                <w:sz w:val="20"/>
                <w:szCs w:val="20"/>
              </w:rPr>
              <w:t>5</w:t>
            </w:r>
          </w:p>
        </w:tc>
        <w:tc>
          <w:tcPr>
            <w:tcW w:w="4768" w:type="dxa"/>
            <w:noWrap/>
            <w:hideMark/>
          </w:tcPr>
          <w:p w:rsidR="009C741E" w:rsidRPr="009C741E" w:rsidRDefault="009C741E">
            <w:pPr>
              <w:rPr>
                <w:rFonts w:ascii="Arial" w:hAnsi="Arial" w:cs="Arial"/>
                <w:sz w:val="20"/>
                <w:szCs w:val="20"/>
              </w:rPr>
            </w:pPr>
            <w:r w:rsidRPr="009C741E">
              <w:rPr>
                <w:rFonts w:ascii="Arial" w:hAnsi="Arial" w:cs="Arial"/>
                <w:sz w:val="20"/>
                <w:szCs w:val="20"/>
              </w:rPr>
              <w:t>Osazení provizorních vrat a jejich následná demontáž</w:t>
            </w:r>
          </w:p>
        </w:tc>
        <w:tc>
          <w:tcPr>
            <w:tcW w:w="122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kpl.</w:t>
            </w:r>
          </w:p>
        </w:tc>
        <w:tc>
          <w:tcPr>
            <w:tcW w:w="174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1</w:t>
            </w:r>
          </w:p>
        </w:tc>
        <w:tc>
          <w:tcPr>
            <w:tcW w:w="1574"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15.000</w:t>
            </w:r>
          </w:p>
        </w:tc>
        <w:tc>
          <w:tcPr>
            <w:tcW w:w="176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15.000</w:t>
            </w:r>
          </w:p>
        </w:tc>
        <w:tc>
          <w:tcPr>
            <w:tcW w:w="806"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21</w:t>
            </w:r>
          </w:p>
        </w:tc>
        <w:tc>
          <w:tcPr>
            <w:tcW w:w="179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18.150</w:t>
            </w:r>
          </w:p>
        </w:tc>
      </w:tr>
      <w:tr w:rsidR="00FA5361" w:rsidRPr="009C741E" w:rsidTr="00FA5361">
        <w:trPr>
          <w:trHeight w:val="585"/>
        </w:trPr>
        <w:tc>
          <w:tcPr>
            <w:tcW w:w="328" w:type="dxa"/>
            <w:noWrap/>
            <w:hideMark/>
          </w:tcPr>
          <w:p w:rsidR="009C741E" w:rsidRPr="009C741E" w:rsidRDefault="009C741E" w:rsidP="009C741E">
            <w:pPr>
              <w:rPr>
                <w:rFonts w:ascii="Arial" w:hAnsi="Arial" w:cs="Arial"/>
                <w:sz w:val="20"/>
                <w:szCs w:val="20"/>
              </w:rPr>
            </w:pPr>
            <w:r w:rsidRPr="009C741E">
              <w:rPr>
                <w:rFonts w:ascii="Arial" w:hAnsi="Arial" w:cs="Arial"/>
                <w:sz w:val="20"/>
                <w:szCs w:val="20"/>
              </w:rPr>
              <w:t>6</w:t>
            </w:r>
          </w:p>
        </w:tc>
        <w:tc>
          <w:tcPr>
            <w:tcW w:w="4768" w:type="dxa"/>
            <w:hideMark/>
          </w:tcPr>
          <w:p w:rsidR="009C741E" w:rsidRPr="009C741E" w:rsidRDefault="009C741E">
            <w:pPr>
              <w:rPr>
                <w:rFonts w:ascii="Arial" w:hAnsi="Arial" w:cs="Arial"/>
                <w:sz w:val="20"/>
                <w:szCs w:val="20"/>
              </w:rPr>
            </w:pPr>
            <w:r w:rsidRPr="009C741E">
              <w:rPr>
                <w:rFonts w:ascii="Arial" w:hAnsi="Arial" w:cs="Arial"/>
                <w:sz w:val="20"/>
                <w:szCs w:val="20"/>
              </w:rPr>
              <w:t>Spolupráce s orgány památkové péče, dohled restaurátora (vypracování restaurátorských průzkumů a zpráv)</w:t>
            </w:r>
          </w:p>
        </w:tc>
        <w:tc>
          <w:tcPr>
            <w:tcW w:w="122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kpl.</w:t>
            </w:r>
          </w:p>
        </w:tc>
        <w:tc>
          <w:tcPr>
            <w:tcW w:w="174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1</w:t>
            </w:r>
          </w:p>
        </w:tc>
        <w:tc>
          <w:tcPr>
            <w:tcW w:w="1574"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15.000</w:t>
            </w:r>
          </w:p>
        </w:tc>
        <w:tc>
          <w:tcPr>
            <w:tcW w:w="176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15.000</w:t>
            </w:r>
          </w:p>
        </w:tc>
        <w:tc>
          <w:tcPr>
            <w:tcW w:w="806"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21</w:t>
            </w:r>
          </w:p>
        </w:tc>
        <w:tc>
          <w:tcPr>
            <w:tcW w:w="179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18.150</w:t>
            </w:r>
          </w:p>
        </w:tc>
      </w:tr>
      <w:tr w:rsidR="00FA5361" w:rsidRPr="009C741E" w:rsidTr="00FA5361">
        <w:trPr>
          <w:trHeight w:val="300"/>
        </w:trPr>
        <w:tc>
          <w:tcPr>
            <w:tcW w:w="328" w:type="dxa"/>
            <w:noWrap/>
            <w:hideMark/>
          </w:tcPr>
          <w:p w:rsidR="009C741E" w:rsidRPr="009C741E" w:rsidRDefault="009C741E" w:rsidP="009C741E">
            <w:pPr>
              <w:rPr>
                <w:rFonts w:ascii="Arial" w:hAnsi="Arial" w:cs="Arial"/>
                <w:sz w:val="20"/>
                <w:szCs w:val="20"/>
              </w:rPr>
            </w:pPr>
            <w:r w:rsidRPr="009C741E">
              <w:rPr>
                <w:rFonts w:ascii="Arial" w:hAnsi="Arial" w:cs="Arial"/>
                <w:sz w:val="20"/>
                <w:szCs w:val="20"/>
              </w:rPr>
              <w:t>7</w:t>
            </w:r>
          </w:p>
        </w:tc>
        <w:tc>
          <w:tcPr>
            <w:tcW w:w="4768" w:type="dxa"/>
            <w:hideMark/>
          </w:tcPr>
          <w:p w:rsidR="009C741E" w:rsidRPr="009C741E" w:rsidRDefault="009C741E">
            <w:pPr>
              <w:rPr>
                <w:rFonts w:ascii="Arial" w:hAnsi="Arial" w:cs="Arial"/>
                <w:sz w:val="20"/>
                <w:szCs w:val="20"/>
              </w:rPr>
            </w:pPr>
            <w:r w:rsidRPr="009C741E">
              <w:rPr>
                <w:rFonts w:ascii="Arial" w:hAnsi="Arial" w:cs="Arial"/>
                <w:sz w:val="20"/>
                <w:szCs w:val="20"/>
              </w:rPr>
              <w:t>Demontáž a montáž slaboproudých rozvodů</w:t>
            </w:r>
          </w:p>
        </w:tc>
        <w:tc>
          <w:tcPr>
            <w:tcW w:w="122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kpl.</w:t>
            </w:r>
          </w:p>
        </w:tc>
        <w:tc>
          <w:tcPr>
            <w:tcW w:w="174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2</w:t>
            </w:r>
          </w:p>
        </w:tc>
        <w:tc>
          <w:tcPr>
            <w:tcW w:w="1574"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11.</w:t>
            </w:r>
            <w:r w:rsidRPr="009C741E">
              <w:rPr>
                <w:rFonts w:ascii="Arial" w:hAnsi="Arial" w:cs="Arial"/>
                <w:sz w:val="20"/>
                <w:szCs w:val="20"/>
              </w:rPr>
              <w:t>141,50</w:t>
            </w:r>
          </w:p>
        </w:tc>
        <w:tc>
          <w:tcPr>
            <w:tcW w:w="176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22.283</w:t>
            </w:r>
          </w:p>
        </w:tc>
        <w:tc>
          <w:tcPr>
            <w:tcW w:w="806"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21</w:t>
            </w:r>
          </w:p>
        </w:tc>
        <w:tc>
          <w:tcPr>
            <w:tcW w:w="179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26.</w:t>
            </w:r>
            <w:r w:rsidRPr="009C741E">
              <w:rPr>
                <w:rFonts w:ascii="Arial" w:hAnsi="Arial" w:cs="Arial"/>
                <w:sz w:val="20"/>
                <w:szCs w:val="20"/>
              </w:rPr>
              <w:t>962,43</w:t>
            </w:r>
          </w:p>
        </w:tc>
      </w:tr>
      <w:tr w:rsidR="00FA5361" w:rsidRPr="009C741E" w:rsidTr="00FA5361">
        <w:trPr>
          <w:trHeight w:val="499"/>
        </w:trPr>
        <w:tc>
          <w:tcPr>
            <w:tcW w:w="328" w:type="dxa"/>
            <w:noWrap/>
            <w:hideMark/>
          </w:tcPr>
          <w:p w:rsidR="009C741E" w:rsidRPr="009C741E" w:rsidRDefault="009C741E" w:rsidP="009C741E">
            <w:pPr>
              <w:rPr>
                <w:rFonts w:ascii="Arial" w:hAnsi="Arial" w:cs="Arial"/>
                <w:sz w:val="20"/>
                <w:szCs w:val="20"/>
              </w:rPr>
            </w:pPr>
            <w:r w:rsidRPr="009C741E">
              <w:rPr>
                <w:rFonts w:ascii="Arial" w:hAnsi="Arial" w:cs="Arial"/>
                <w:sz w:val="20"/>
                <w:szCs w:val="20"/>
              </w:rPr>
              <w:t>8</w:t>
            </w:r>
          </w:p>
        </w:tc>
        <w:tc>
          <w:tcPr>
            <w:tcW w:w="4768" w:type="dxa"/>
            <w:noWrap/>
            <w:hideMark/>
          </w:tcPr>
          <w:p w:rsidR="009C741E" w:rsidRPr="009C741E" w:rsidRDefault="009C741E">
            <w:pPr>
              <w:rPr>
                <w:rFonts w:ascii="Arial" w:hAnsi="Arial" w:cs="Arial"/>
                <w:sz w:val="20"/>
                <w:szCs w:val="20"/>
              </w:rPr>
            </w:pPr>
            <w:r w:rsidRPr="009C741E">
              <w:rPr>
                <w:rFonts w:ascii="Arial" w:hAnsi="Arial" w:cs="Arial"/>
                <w:sz w:val="20"/>
                <w:szCs w:val="20"/>
              </w:rPr>
              <w:t>Ostatní rozpočtové náklady, doprava</w:t>
            </w:r>
          </w:p>
        </w:tc>
        <w:tc>
          <w:tcPr>
            <w:tcW w:w="122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kpl.</w:t>
            </w:r>
          </w:p>
        </w:tc>
        <w:tc>
          <w:tcPr>
            <w:tcW w:w="1742" w:type="dxa"/>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1</w:t>
            </w:r>
          </w:p>
        </w:tc>
        <w:tc>
          <w:tcPr>
            <w:tcW w:w="1574"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5.000</w:t>
            </w:r>
          </w:p>
        </w:tc>
        <w:tc>
          <w:tcPr>
            <w:tcW w:w="176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5.000</w:t>
            </w:r>
          </w:p>
        </w:tc>
        <w:tc>
          <w:tcPr>
            <w:tcW w:w="806" w:type="dxa"/>
            <w:tcBorders>
              <w:bottom w:val="single" w:sz="4" w:space="0" w:color="auto"/>
            </w:tcBorders>
            <w:noWrap/>
            <w:vAlign w:val="center"/>
            <w:hideMark/>
          </w:tcPr>
          <w:p w:rsidR="009C741E" w:rsidRPr="009C741E" w:rsidRDefault="009C741E" w:rsidP="009C741E">
            <w:pPr>
              <w:spacing w:after="0" w:line="240" w:lineRule="auto"/>
              <w:jc w:val="center"/>
              <w:rPr>
                <w:rFonts w:ascii="Arial" w:hAnsi="Arial" w:cs="Arial"/>
                <w:sz w:val="20"/>
                <w:szCs w:val="20"/>
              </w:rPr>
            </w:pPr>
            <w:r w:rsidRPr="009C741E">
              <w:rPr>
                <w:rFonts w:ascii="Arial" w:hAnsi="Arial" w:cs="Arial"/>
                <w:sz w:val="20"/>
                <w:szCs w:val="20"/>
              </w:rPr>
              <w:t>21</w:t>
            </w:r>
          </w:p>
        </w:tc>
        <w:tc>
          <w:tcPr>
            <w:tcW w:w="1792" w:type="dxa"/>
            <w:noWrap/>
            <w:vAlign w:val="center"/>
            <w:hideMark/>
          </w:tcPr>
          <w:p w:rsidR="009C741E" w:rsidRPr="009C741E" w:rsidRDefault="009C741E" w:rsidP="009C741E">
            <w:pPr>
              <w:spacing w:after="0" w:line="240" w:lineRule="auto"/>
              <w:jc w:val="center"/>
              <w:rPr>
                <w:rFonts w:ascii="Arial" w:hAnsi="Arial" w:cs="Arial"/>
                <w:sz w:val="20"/>
                <w:szCs w:val="20"/>
              </w:rPr>
            </w:pPr>
            <w:r>
              <w:rPr>
                <w:rFonts w:ascii="Arial" w:hAnsi="Arial" w:cs="Arial"/>
                <w:sz w:val="20"/>
                <w:szCs w:val="20"/>
              </w:rPr>
              <w:t>6.050</w:t>
            </w:r>
          </w:p>
        </w:tc>
      </w:tr>
      <w:tr w:rsidR="009C741E" w:rsidRPr="009C741E" w:rsidTr="00FA5361">
        <w:trPr>
          <w:trHeight w:val="762"/>
        </w:trPr>
        <w:tc>
          <w:tcPr>
            <w:tcW w:w="9634" w:type="dxa"/>
            <w:gridSpan w:val="5"/>
            <w:vAlign w:val="center"/>
            <w:hideMark/>
          </w:tcPr>
          <w:p w:rsidR="009C741E" w:rsidRPr="009C741E" w:rsidRDefault="009C741E" w:rsidP="009C741E">
            <w:pPr>
              <w:jc w:val="center"/>
              <w:rPr>
                <w:rFonts w:ascii="Arial" w:hAnsi="Arial" w:cs="Arial"/>
                <w:b/>
                <w:bCs/>
                <w:sz w:val="20"/>
                <w:szCs w:val="20"/>
              </w:rPr>
            </w:pPr>
            <w:r w:rsidRPr="009C741E">
              <w:rPr>
                <w:rFonts w:ascii="Arial" w:hAnsi="Arial" w:cs="Arial"/>
                <w:b/>
                <w:bCs/>
                <w:sz w:val="20"/>
                <w:szCs w:val="20"/>
              </w:rPr>
              <w:t>Celková nabídková cena</w:t>
            </w:r>
          </w:p>
        </w:tc>
        <w:tc>
          <w:tcPr>
            <w:tcW w:w="1762" w:type="dxa"/>
            <w:noWrap/>
            <w:vAlign w:val="center"/>
            <w:hideMark/>
          </w:tcPr>
          <w:p w:rsidR="009C741E" w:rsidRPr="009C741E" w:rsidRDefault="009C741E" w:rsidP="009C741E">
            <w:pPr>
              <w:jc w:val="center"/>
              <w:rPr>
                <w:rFonts w:ascii="Arial" w:hAnsi="Arial" w:cs="Arial"/>
                <w:b/>
                <w:bCs/>
                <w:sz w:val="20"/>
                <w:szCs w:val="20"/>
              </w:rPr>
            </w:pPr>
            <w:r>
              <w:rPr>
                <w:rFonts w:ascii="Arial" w:hAnsi="Arial" w:cs="Arial"/>
                <w:b/>
                <w:bCs/>
                <w:sz w:val="20"/>
                <w:szCs w:val="20"/>
              </w:rPr>
              <w:t>322.283</w:t>
            </w:r>
          </w:p>
        </w:tc>
        <w:tc>
          <w:tcPr>
            <w:tcW w:w="806" w:type="dxa"/>
            <w:tcBorders>
              <w:tl2br w:val="single" w:sz="4" w:space="0" w:color="auto"/>
              <w:tr2bl w:val="single" w:sz="4" w:space="0" w:color="auto"/>
            </w:tcBorders>
            <w:vAlign w:val="center"/>
            <w:hideMark/>
          </w:tcPr>
          <w:p w:rsidR="009C741E" w:rsidRPr="009C741E" w:rsidRDefault="009C741E" w:rsidP="009C741E">
            <w:pPr>
              <w:jc w:val="center"/>
              <w:rPr>
                <w:rFonts w:ascii="Arial" w:hAnsi="Arial" w:cs="Arial"/>
                <w:b/>
                <w:bCs/>
                <w:sz w:val="20"/>
                <w:szCs w:val="20"/>
              </w:rPr>
            </w:pPr>
          </w:p>
        </w:tc>
        <w:tc>
          <w:tcPr>
            <w:tcW w:w="1792" w:type="dxa"/>
            <w:noWrap/>
            <w:vAlign w:val="center"/>
            <w:hideMark/>
          </w:tcPr>
          <w:p w:rsidR="009C741E" w:rsidRPr="009C741E" w:rsidRDefault="009C741E" w:rsidP="009C741E">
            <w:pPr>
              <w:jc w:val="center"/>
              <w:rPr>
                <w:rFonts w:ascii="Arial" w:hAnsi="Arial" w:cs="Arial"/>
                <w:b/>
                <w:bCs/>
                <w:sz w:val="20"/>
                <w:szCs w:val="20"/>
              </w:rPr>
            </w:pPr>
            <w:r>
              <w:rPr>
                <w:rFonts w:ascii="Arial" w:hAnsi="Arial" w:cs="Arial"/>
                <w:b/>
                <w:bCs/>
                <w:sz w:val="20"/>
                <w:szCs w:val="20"/>
              </w:rPr>
              <w:t>389.</w:t>
            </w:r>
            <w:r w:rsidRPr="009C741E">
              <w:rPr>
                <w:rFonts w:ascii="Arial" w:hAnsi="Arial" w:cs="Arial"/>
                <w:b/>
                <w:bCs/>
                <w:sz w:val="20"/>
                <w:szCs w:val="20"/>
              </w:rPr>
              <w:t>962,43</w:t>
            </w:r>
          </w:p>
        </w:tc>
      </w:tr>
    </w:tbl>
    <w:p w:rsidR="00DD2C72" w:rsidRDefault="00DD2C72"/>
    <w:sectPr w:rsidR="00DD2C72" w:rsidSect="00187777">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134" w:rsidRDefault="00885134" w:rsidP="00176818">
      <w:pPr>
        <w:spacing w:after="0" w:line="240" w:lineRule="auto"/>
      </w:pPr>
      <w:r>
        <w:separator/>
      </w:r>
    </w:p>
  </w:endnote>
  <w:endnote w:type="continuationSeparator" w:id="0">
    <w:p w:rsidR="00885134" w:rsidRDefault="00885134" w:rsidP="0017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040669"/>
      <w:docPartObj>
        <w:docPartGallery w:val="Page Numbers (Bottom of Page)"/>
        <w:docPartUnique/>
      </w:docPartObj>
    </w:sdtPr>
    <w:sdtEndPr/>
    <w:sdtContent>
      <w:sdt>
        <w:sdtPr>
          <w:id w:val="-1769616900"/>
          <w:docPartObj>
            <w:docPartGallery w:val="Page Numbers (Top of Page)"/>
            <w:docPartUnique/>
          </w:docPartObj>
        </w:sdtPr>
        <w:sdtEndPr/>
        <w:sdtContent>
          <w:p w:rsidR="00FA5361" w:rsidRDefault="00FA5361" w:rsidP="00FA5361">
            <w:pPr>
              <w:pStyle w:val="Zpat"/>
              <w:pBdr>
                <w:top w:val="single" w:sz="4" w:space="1" w:color="auto"/>
              </w:pBdr>
              <w:jc w:val="right"/>
            </w:pPr>
            <w:r w:rsidRPr="00FA5361">
              <w:rPr>
                <w:rFonts w:ascii="Arial" w:hAnsi="Arial" w:cs="Arial"/>
                <w:sz w:val="20"/>
                <w:szCs w:val="20"/>
              </w:rPr>
              <w:t xml:space="preserve">Stránka </w:t>
            </w:r>
            <w:r w:rsidRPr="00FA5361">
              <w:rPr>
                <w:rFonts w:ascii="Arial" w:hAnsi="Arial" w:cs="Arial"/>
                <w:bCs/>
                <w:sz w:val="20"/>
                <w:szCs w:val="20"/>
              </w:rPr>
              <w:fldChar w:fldCharType="begin"/>
            </w:r>
            <w:r w:rsidRPr="00FA5361">
              <w:rPr>
                <w:rFonts w:ascii="Arial" w:hAnsi="Arial" w:cs="Arial"/>
                <w:bCs/>
                <w:sz w:val="20"/>
                <w:szCs w:val="20"/>
              </w:rPr>
              <w:instrText>PAGE</w:instrText>
            </w:r>
            <w:r w:rsidRPr="00FA5361">
              <w:rPr>
                <w:rFonts w:ascii="Arial" w:hAnsi="Arial" w:cs="Arial"/>
                <w:bCs/>
                <w:sz w:val="20"/>
                <w:szCs w:val="20"/>
              </w:rPr>
              <w:fldChar w:fldCharType="separate"/>
            </w:r>
            <w:r w:rsidR="006A3E9B">
              <w:rPr>
                <w:rFonts w:ascii="Arial" w:hAnsi="Arial" w:cs="Arial"/>
                <w:bCs/>
                <w:noProof/>
                <w:sz w:val="20"/>
                <w:szCs w:val="20"/>
              </w:rPr>
              <w:t>16</w:t>
            </w:r>
            <w:r w:rsidRPr="00FA5361">
              <w:rPr>
                <w:rFonts w:ascii="Arial" w:hAnsi="Arial" w:cs="Arial"/>
                <w:bCs/>
                <w:sz w:val="20"/>
                <w:szCs w:val="20"/>
              </w:rPr>
              <w:fldChar w:fldCharType="end"/>
            </w:r>
            <w:r w:rsidRPr="00FA5361">
              <w:rPr>
                <w:rFonts w:ascii="Arial" w:hAnsi="Arial" w:cs="Arial"/>
                <w:sz w:val="20"/>
                <w:szCs w:val="20"/>
              </w:rPr>
              <w:t xml:space="preserve"> (celkem </w:t>
            </w:r>
            <w:r w:rsidRPr="00FA5361">
              <w:rPr>
                <w:rFonts w:ascii="Arial" w:hAnsi="Arial" w:cs="Arial"/>
                <w:bCs/>
                <w:sz w:val="20"/>
                <w:szCs w:val="20"/>
              </w:rPr>
              <w:fldChar w:fldCharType="begin"/>
            </w:r>
            <w:r w:rsidRPr="00FA5361">
              <w:rPr>
                <w:rFonts w:ascii="Arial" w:hAnsi="Arial" w:cs="Arial"/>
                <w:bCs/>
                <w:sz w:val="20"/>
                <w:szCs w:val="20"/>
              </w:rPr>
              <w:instrText>NUMPAGES</w:instrText>
            </w:r>
            <w:r w:rsidRPr="00FA5361">
              <w:rPr>
                <w:rFonts w:ascii="Arial" w:hAnsi="Arial" w:cs="Arial"/>
                <w:bCs/>
                <w:sz w:val="20"/>
                <w:szCs w:val="20"/>
              </w:rPr>
              <w:fldChar w:fldCharType="separate"/>
            </w:r>
            <w:r w:rsidR="006A3E9B">
              <w:rPr>
                <w:rFonts w:ascii="Arial" w:hAnsi="Arial" w:cs="Arial"/>
                <w:bCs/>
                <w:noProof/>
                <w:sz w:val="20"/>
                <w:szCs w:val="20"/>
              </w:rPr>
              <w:t>17</w:t>
            </w:r>
            <w:r w:rsidRPr="00FA5361">
              <w:rPr>
                <w:rFonts w:ascii="Arial" w:hAnsi="Arial" w:cs="Arial"/>
                <w:bCs/>
                <w:sz w:val="20"/>
                <w:szCs w:val="20"/>
              </w:rPr>
              <w:fldChar w:fldCharType="end"/>
            </w:r>
            <w:r w:rsidRPr="00FA5361">
              <w:rPr>
                <w:rFonts w:ascii="Arial" w:hAnsi="Arial" w:cs="Arial"/>
                <w:bCs/>
                <w:sz w:val="20"/>
                <w:szCs w:val="20"/>
              </w:rPr>
              <w:t>)</w:t>
            </w:r>
          </w:p>
        </w:sdtContent>
      </w:sdt>
    </w:sdtContent>
  </w:sdt>
  <w:p w:rsidR="00FA5361" w:rsidRDefault="00FA53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134" w:rsidRDefault="00885134" w:rsidP="00176818">
      <w:pPr>
        <w:spacing w:after="0" w:line="240" w:lineRule="auto"/>
      </w:pPr>
      <w:r>
        <w:separator/>
      </w:r>
    </w:p>
  </w:footnote>
  <w:footnote w:type="continuationSeparator" w:id="0">
    <w:p w:rsidR="00885134" w:rsidRDefault="00885134" w:rsidP="00176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42F" w:rsidRPr="001D7BE9" w:rsidRDefault="00885134" w:rsidP="00CF4506">
    <w:pPr>
      <w:pStyle w:val="Zhlav"/>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FA5361" w:rsidRPr="00560C88" w:rsidTr="00BD4772">
      <w:tc>
        <w:tcPr>
          <w:tcW w:w="6345" w:type="dxa"/>
          <w:shd w:val="clear" w:color="auto" w:fill="auto"/>
        </w:tcPr>
        <w:p w:rsidR="00FA5361" w:rsidRPr="00560C88" w:rsidRDefault="00FA5361" w:rsidP="00FA5361">
          <w:pPr>
            <w:tabs>
              <w:tab w:val="left" w:pos="1206"/>
            </w:tabs>
            <w:rPr>
              <w:rFonts w:ascii="Cambria" w:eastAsia="Times New Roman" w:hAnsi="Cambria" w:cs="Arial"/>
              <w:color w:val="1F497D"/>
              <w:sz w:val="28"/>
              <w:szCs w:val="26"/>
            </w:rPr>
          </w:pPr>
          <w:r w:rsidRPr="00560C88">
            <w:rPr>
              <w:rFonts w:ascii="Cambria" w:eastAsia="Times New Roman" w:hAnsi="Cambria" w:cs="Arial"/>
              <w:b/>
              <w:color w:val="1F497D"/>
              <w:sz w:val="44"/>
              <w:szCs w:val="40"/>
            </w:rPr>
            <w:t>Úřad vlády České republiky</w:t>
          </w:r>
          <w:r w:rsidRPr="00560C88">
            <w:rPr>
              <w:rFonts w:ascii="Cambria" w:eastAsia="Times New Roman" w:hAnsi="Cambria" w:cs="Arial"/>
              <w:b/>
              <w:color w:val="1F497D"/>
              <w:sz w:val="44"/>
              <w:szCs w:val="40"/>
            </w:rPr>
            <w:br/>
          </w:r>
          <w:r>
            <w:rPr>
              <w:rFonts w:ascii="Cambria" w:eastAsia="Times New Roman" w:hAnsi="Cambria" w:cs="Arial"/>
              <w:color w:val="1F497D"/>
              <w:sz w:val="28"/>
              <w:szCs w:val="26"/>
            </w:rPr>
            <w:t>Oddělení</w:t>
          </w:r>
          <w:r w:rsidRPr="00560C88">
            <w:rPr>
              <w:rFonts w:ascii="Cambria" w:eastAsia="Times New Roman" w:hAnsi="Cambria" w:cs="Arial"/>
              <w:color w:val="1F497D"/>
              <w:sz w:val="28"/>
              <w:szCs w:val="26"/>
            </w:rPr>
            <w:t xml:space="preserve"> </w:t>
          </w:r>
          <w:r>
            <w:rPr>
              <w:rFonts w:ascii="Cambria" w:hAnsi="Cambria" w:cs="Arial"/>
              <w:color w:val="1F497D"/>
              <w:sz w:val="28"/>
              <w:szCs w:val="26"/>
            </w:rPr>
            <w:t xml:space="preserve">investic </w:t>
          </w:r>
        </w:p>
      </w:tc>
      <w:tc>
        <w:tcPr>
          <w:tcW w:w="3544" w:type="dxa"/>
          <w:shd w:val="clear" w:color="auto" w:fill="auto"/>
        </w:tcPr>
        <w:p w:rsidR="00FA5361" w:rsidRPr="00560C88" w:rsidRDefault="00FA5361" w:rsidP="00FA5361">
          <w:pPr>
            <w:tabs>
              <w:tab w:val="center" w:pos="4536"/>
              <w:tab w:val="right" w:pos="9072"/>
            </w:tabs>
            <w:jc w:val="right"/>
            <w:rPr>
              <w:rFonts w:eastAsia="Times New Roman"/>
            </w:rPr>
          </w:pPr>
          <w:r w:rsidRPr="00560C88">
            <w:rPr>
              <w:rFonts w:eastAsia="Times New Roman" w:cs="Arial"/>
              <w:b/>
              <w:noProof/>
              <w:color w:val="1F497D"/>
              <w:sz w:val="44"/>
              <w:szCs w:val="28"/>
              <w:lang w:eastAsia="cs-CZ"/>
            </w:rPr>
            <w:drawing>
              <wp:inline distT="0" distB="0" distL="0" distR="0" wp14:anchorId="03B964B3" wp14:editId="7A58D6FA">
                <wp:extent cx="1800225" cy="523875"/>
                <wp:effectExtent l="0" t="0" r="9525" b="9525"/>
                <wp:docPr id="3" name="Obrázek 3"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rsidR="00FA5361" w:rsidRDefault="00FA536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361" w:rsidRPr="00FA5361" w:rsidRDefault="00FA5361" w:rsidP="00CF4506">
    <w:pPr>
      <w:pStyle w:val="Zhlav"/>
      <w:jc w:val="right"/>
      <w:rPr>
        <w:rFonts w:ascii="Arial" w:hAnsi="Arial" w:cs="Arial"/>
        <w:i/>
      </w:rPr>
    </w:pPr>
    <w:r w:rsidRPr="00FA5361">
      <w:rPr>
        <w:rFonts w:ascii="Arial" w:hAnsi="Arial" w:cs="Arial"/>
        <w:i/>
      </w:rPr>
      <w:t xml:space="preserve">Příloha smlouvy – Kalkulace ceny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6790074"/>
    <w:multiLevelType w:val="hybridMultilevel"/>
    <w:tmpl w:val="9332914E"/>
    <w:lvl w:ilvl="0" w:tplc="0ADCFF0E">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65B0B"/>
    <w:multiLevelType w:val="hybridMultilevel"/>
    <w:tmpl w:val="3F22540E"/>
    <w:lvl w:ilvl="0" w:tplc="2AA67244">
      <w:start w:val="1"/>
      <w:numFmt w:val="upperRoman"/>
      <w:pStyle w:val="Nadpis4"/>
      <w:suff w:val="space"/>
      <w:lvlText w:val="Článek %1."/>
      <w:lvlJc w:val="left"/>
      <w:pPr>
        <w:ind w:left="4897"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F2661D3"/>
    <w:multiLevelType w:val="hybridMultilevel"/>
    <w:tmpl w:val="F18ABE2A"/>
    <w:lvl w:ilvl="0" w:tplc="D1761A76">
      <w:start w:val="1"/>
      <w:numFmt w:val="decimal"/>
      <w:lvlText w:val="%1."/>
      <w:lvlJc w:val="left"/>
      <w:pPr>
        <w:ind w:left="720" w:hanging="360"/>
      </w:pPr>
      <w:rPr>
        <w:rFonts w:ascii="Arial" w:eastAsia="Times New Roman" w:hAnsi="Arial" w:cs="Arial" w:hint="default"/>
        <w:sz w:val="22"/>
        <w:szCs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A046D7"/>
    <w:multiLevelType w:val="hybridMultilevel"/>
    <w:tmpl w:val="E5102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94790"/>
    <w:multiLevelType w:val="hybridMultilevel"/>
    <w:tmpl w:val="82B253EE"/>
    <w:lvl w:ilvl="0" w:tplc="271492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F87A1B"/>
    <w:multiLevelType w:val="hybridMultilevel"/>
    <w:tmpl w:val="5E100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126CCE"/>
    <w:multiLevelType w:val="hybridMultilevel"/>
    <w:tmpl w:val="D55A90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95B1B1D"/>
    <w:multiLevelType w:val="hybridMultilevel"/>
    <w:tmpl w:val="5E100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15530"/>
    <w:multiLevelType w:val="hybridMultilevel"/>
    <w:tmpl w:val="A5F41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CC169C"/>
    <w:multiLevelType w:val="hybridMultilevel"/>
    <w:tmpl w:val="081097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81EAA"/>
    <w:multiLevelType w:val="hybridMultilevel"/>
    <w:tmpl w:val="987672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C7101D"/>
    <w:multiLevelType w:val="hybridMultilevel"/>
    <w:tmpl w:val="C3EA5A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EA6CA0"/>
    <w:multiLevelType w:val="hybridMultilevel"/>
    <w:tmpl w:val="081097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791D4F"/>
    <w:multiLevelType w:val="hybridMultilevel"/>
    <w:tmpl w:val="8B781DB4"/>
    <w:lvl w:ilvl="0" w:tplc="0405000F">
      <w:start w:val="1"/>
      <w:numFmt w:val="decimal"/>
      <w:lvlText w:val="%1."/>
      <w:lvlJc w:val="left"/>
      <w:pPr>
        <w:ind w:left="720" w:hanging="360"/>
      </w:pPr>
    </w:lvl>
    <w:lvl w:ilvl="1" w:tplc="EBA480DE">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455847"/>
    <w:multiLevelType w:val="hybridMultilevel"/>
    <w:tmpl w:val="ED4298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744EC2"/>
    <w:multiLevelType w:val="hybridMultilevel"/>
    <w:tmpl w:val="65C8419A"/>
    <w:lvl w:ilvl="0" w:tplc="6812D3FE">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5209FA"/>
    <w:multiLevelType w:val="hybridMultilevel"/>
    <w:tmpl w:val="646887CE"/>
    <w:lvl w:ilvl="0" w:tplc="5394CEDE">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14"/>
  </w:num>
  <w:num w:numId="2">
    <w:abstractNumId w:val="16"/>
  </w:num>
  <w:num w:numId="3">
    <w:abstractNumId w:val="4"/>
  </w:num>
  <w:num w:numId="4">
    <w:abstractNumId w:val="15"/>
  </w:num>
  <w:num w:numId="5">
    <w:abstractNumId w:val="7"/>
  </w:num>
  <w:num w:numId="6">
    <w:abstractNumId w:val="18"/>
  </w:num>
  <w:num w:numId="7">
    <w:abstractNumId w:val="10"/>
  </w:num>
  <w:num w:numId="8">
    <w:abstractNumId w:val="11"/>
  </w:num>
  <w:num w:numId="9">
    <w:abstractNumId w:val="2"/>
  </w:num>
  <w:num w:numId="10">
    <w:abstractNumId w:val="3"/>
  </w:num>
  <w:num w:numId="11">
    <w:abstractNumId w:val="9"/>
  </w:num>
  <w:num w:numId="12">
    <w:abstractNumId w:val="0"/>
  </w:num>
  <w:num w:numId="13">
    <w:abstractNumId w:val="20"/>
  </w:num>
  <w:num w:numId="14">
    <w:abstractNumId w:val="6"/>
  </w:num>
  <w:num w:numId="15">
    <w:abstractNumId w:val="12"/>
  </w:num>
  <w:num w:numId="16">
    <w:abstractNumId w:val="1"/>
  </w:num>
  <w:num w:numId="17">
    <w:abstractNumId w:val="19"/>
  </w:num>
  <w:num w:numId="18">
    <w:abstractNumId w:val="13"/>
  </w:num>
  <w:num w:numId="19">
    <w:abstractNumId w:val="8"/>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18"/>
    <w:rsid w:val="000334D1"/>
    <w:rsid w:val="00176818"/>
    <w:rsid w:val="00187777"/>
    <w:rsid w:val="00413C5D"/>
    <w:rsid w:val="006A3E9B"/>
    <w:rsid w:val="00776FAD"/>
    <w:rsid w:val="00885134"/>
    <w:rsid w:val="009C741E"/>
    <w:rsid w:val="00DD2C72"/>
    <w:rsid w:val="00FA5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AFAC"/>
  <w15:docId w15:val="{4B9434A7-0596-4587-AE49-E703E637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6818"/>
    <w:pPr>
      <w:spacing w:after="200" w:line="276" w:lineRule="auto"/>
    </w:pPr>
  </w:style>
  <w:style w:type="paragraph" w:styleId="Nadpis4">
    <w:name w:val="heading 4"/>
    <w:basedOn w:val="Odstavecseseznamem"/>
    <w:next w:val="Normln"/>
    <w:link w:val="Nadpis4Char"/>
    <w:uiPriority w:val="9"/>
    <w:unhideWhenUsed/>
    <w:qFormat/>
    <w:rsid w:val="00176818"/>
    <w:pPr>
      <w:numPr>
        <w:numId w:val="9"/>
      </w:numPr>
      <w:tabs>
        <w:tab w:val="num" w:pos="360"/>
      </w:tabs>
      <w:spacing w:after="240" w:line="240" w:lineRule="auto"/>
      <w:ind w:left="0" w:firstLine="0"/>
      <w:jc w:val="center"/>
      <w:outlineLvl w:val="3"/>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176818"/>
    <w:rPr>
      <w:rFonts w:ascii="Arial" w:hAnsi="Arial" w:cs="Arial"/>
      <w:b/>
    </w:rPr>
  </w:style>
  <w:style w:type="paragraph" w:styleId="Zhlav">
    <w:name w:val="header"/>
    <w:basedOn w:val="Normln"/>
    <w:link w:val="ZhlavChar"/>
    <w:uiPriority w:val="99"/>
    <w:unhideWhenUsed/>
    <w:rsid w:val="001768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6818"/>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176818"/>
    <w:pPr>
      <w:ind w:left="720"/>
      <w:contextualSpacing/>
    </w:p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176818"/>
  </w:style>
  <w:style w:type="paragraph" w:styleId="Zpat">
    <w:name w:val="footer"/>
    <w:basedOn w:val="Normln"/>
    <w:link w:val="ZpatChar"/>
    <w:uiPriority w:val="99"/>
    <w:unhideWhenUsed/>
    <w:rsid w:val="00176818"/>
    <w:pPr>
      <w:tabs>
        <w:tab w:val="center" w:pos="4536"/>
        <w:tab w:val="right" w:pos="9072"/>
      </w:tabs>
      <w:spacing w:after="0" w:line="240" w:lineRule="auto"/>
    </w:pPr>
  </w:style>
  <w:style w:type="character" w:customStyle="1" w:styleId="ZpatChar">
    <w:name w:val="Zápatí Char"/>
    <w:basedOn w:val="Standardnpsmoodstavce"/>
    <w:link w:val="Zpat"/>
    <w:uiPriority w:val="99"/>
    <w:rsid w:val="00176818"/>
  </w:style>
  <w:style w:type="table" w:styleId="Mkatabulky">
    <w:name w:val="Table Grid"/>
    <w:basedOn w:val="Normlntabulka"/>
    <w:uiPriority w:val="39"/>
    <w:rsid w:val="009C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76F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537306">
      <w:bodyDiv w:val="1"/>
      <w:marLeft w:val="0"/>
      <w:marRight w:val="0"/>
      <w:marTop w:val="0"/>
      <w:marBottom w:val="0"/>
      <w:divBdr>
        <w:top w:val="none" w:sz="0" w:space="0" w:color="auto"/>
        <w:left w:val="none" w:sz="0" w:space="0" w:color="auto"/>
        <w:bottom w:val="none" w:sz="0" w:space="0" w:color="auto"/>
        <w:right w:val="none" w:sz="0" w:space="0" w:color="auto"/>
      </w:divBdr>
    </w:div>
    <w:div w:id="21294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6575</Words>
  <Characters>38797</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Štipáková Veronika</dc:creator>
  <cp:lastModifiedBy>Lupjanová Alena</cp:lastModifiedBy>
  <cp:revision>3</cp:revision>
  <dcterms:created xsi:type="dcterms:W3CDTF">2022-12-20T14:22:00Z</dcterms:created>
  <dcterms:modified xsi:type="dcterms:W3CDTF">2022-12-21T09:17:00Z</dcterms:modified>
</cp:coreProperties>
</file>