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5F34" w:rsidRDefault="0005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KUPNÍ SMLOUVA</w:t>
      </w:r>
    </w:p>
    <w:p w:rsidR="00B05F34" w:rsidRDefault="00B0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B0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Níže uvedeného dne, měsíce a roku uzavírají</w:t>
      </w:r>
    </w:p>
    <w:p w:rsidR="00B05F34" w:rsidRDefault="00B0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B2B Partner s.r.o 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sídlem: Plzeňská 3070, 700 30 Ostrava – Zábřeh 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27830306 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DIČ: CZ27830306 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zapsaná v obchodním rejstříku vedeném u Krajského soudu v Ostravě, sp. zn. C 52826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Pavlem Králem, jednatelem</w:t>
      </w:r>
    </w:p>
    <w:p w:rsidR="00B05F34" w:rsidRDefault="00B05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prodávající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:rsidR="00B05F34" w:rsidRDefault="0005139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Základní škola Bohumila Hrabala, Praha 8, Zenklova 52 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Zenklova 26, 180 00 Praha 8 - Libeň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63113961 </w:t>
      </w:r>
    </w:p>
    <w:p w:rsidR="00B05F34" w:rsidRDefault="0005139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jednající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Mgr. Irenou Trojanovou, Ph.D., ředitelkou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05F34" w:rsidRDefault="0005139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kupující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(společně dále také jako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B05F34" w:rsidRDefault="00B0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 smlouvu podle § 2079 a násl. zákona č. 89/2012 Sb., občanského zákoníku, ve znění pozdějších předpisů (dále jen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občanský zákoník</w:t>
      </w:r>
      <w:r>
        <w:rPr>
          <w:rFonts w:ascii="Times New Roman" w:eastAsia="Times New Roman" w:hAnsi="Times New Roman" w:cs="Times New Roman"/>
          <w:sz w:val="24"/>
          <w:szCs w:val="24"/>
        </w:rPr>
        <w:t>“):</w:t>
      </w:r>
    </w:p>
    <w:p w:rsidR="00B05F34" w:rsidRDefault="00B0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numPr>
          <w:ilvl w:val="0"/>
          <w:numId w:val="7"/>
        </w:numPr>
        <w:spacing w:after="120" w:line="240" w:lineRule="auto"/>
        <w:ind w:left="425" w:hanging="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smlouvy</w:t>
      </w:r>
    </w:p>
    <w:p w:rsidR="00B05F34" w:rsidRDefault="0005139A">
      <w:pPr>
        <w:numPr>
          <w:ilvl w:val="0"/>
          <w:numId w:val="8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Předmětem této smlouvy je závazek prodávajícího dodat šatní skříňky v souladu se Specifikací zboží, která je Přílohou č. 1 této smlouvy (dále jen „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zboží</w:t>
      </w:r>
      <w:r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:rsidR="00B05F34" w:rsidRDefault="0005139A">
      <w:pPr>
        <w:numPr>
          <w:ilvl w:val="0"/>
          <w:numId w:val="8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Součástí dodávky zboží je také jeho doprava do místa plnění a montáž zboží.</w:t>
      </w:r>
    </w:p>
    <w:p w:rsidR="00B05F34" w:rsidRDefault="0005139A">
      <w:pPr>
        <w:numPr>
          <w:ilvl w:val="0"/>
          <w:numId w:val="8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</w:t>
      </w:r>
      <w:r>
        <w:rPr>
          <w:rFonts w:ascii="Times New Roman" w:eastAsia="Times New Roman" w:hAnsi="Times New Roman" w:cs="Times New Roman"/>
          <w:sz w:val="24"/>
          <w:szCs w:val="24"/>
        </w:rPr>
        <w:t>kupujícímu zboží specifikované v čl. I. této smlouvy dodat za cenu, ve lhůtě, bez vad a za podmínek stanovených touto smlouvou a převést na kupujícího vlastnické právo ke zboží.</w:t>
      </w:r>
    </w:p>
    <w:p w:rsidR="00B05F34" w:rsidRDefault="0005139A">
      <w:pPr>
        <w:numPr>
          <w:ilvl w:val="0"/>
          <w:numId w:val="8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Kupující se touto smlouvou zavazuje zboží řádně dodané v souladu s podmínkami </w:t>
      </w:r>
      <w:r>
        <w:rPr>
          <w:rFonts w:ascii="Times New Roman" w:eastAsia="Times New Roman" w:hAnsi="Times New Roman" w:cs="Times New Roman"/>
          <w:sz w:val="24"/>
          <w:szCs w:val="24"/>
        </w:rPr>
        <w:t>sjednanými touto smlouvou od prodávajícího převzít a zaplatit kupní cenu uvedenou v čl. III. této smlouvy.</w:t>
      </w:r>
    </w:p>
    <w:p w:rsidR="00B05F34" w:rsidRDefault="00B05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numPr>
          <w:ilvl w:val="0"/>
          <w:numId w:val="7"/>
        </w:numPr>
        <w:spacing w:after="120" w:line="240" w:lineRule="auto"/>
        <w:ind w:left="425" w:hanging="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Doba a místo plnění </w:t>
      </w:r>
    </w:p>
    <w:p w:rsidR="00B05F34" w:rsidRDefault="0005139A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 řádně dodat zboží v souladu s ustanoveními této smlouvy včetně montáže nejpozději do 31.8.2017</w:t>
      </w:r>
    </w:p>
    <w:p w:rsidR="00B05F34" w:rsidRDefault="0005139A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Prodávaj</w:t>
      </w:r>
      <w:r>
        <w:rPr>
          <w:rFonts w:ascii="Times New Roman" w:eastAsia="Times New Roman" w:hAnsi="Times New Roman" w:cs="Times New Roman"/>
          <w:sz w:val="24"/>
          <w:szCs w:val="24"/>
        </w:rPr>
        <w:t>ící je povinen oznámit kupujícímu termín dodání zboží nejpozději 3 pracovní dny předem. Kontaktní osobou je pan Štok (602 304 182).</w:t>
      </w:r>
    </w:p>
    <w:p w:rsidR="00B05F34" w:rsidRDefault="0005139A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Místem plnění je odloučené pracoviště kupujícího, adresa Na Korábě 2, 180 00 Praha 8 - Libeň.</w:t>
      </w:r>
    </w:p>
    <w:p w:rsidR="00B05F34" w:rsidRDefault="0005139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Podpisem dodacího listu docház</w:t>
      </w:r>
      <w:r>
        <w:rPr>
          <w:rFonts w:ascii="Times New Roman" w:eastAsia="Times New Roman" w:hAnsi="Times New Roman" w:cs="Times New Roman"/>
          <w:sz w:val="24"/>
          <w:szCs w:val="24"/>
        </w:rPr>
        <w:t>í k převzetí a předání zboží. K přechodu vlastnictví k movité věci dochází po uhrazení faktury.</w:t>
      </w:r>
    </w:p>
    <w:p w:rsidR="00B05F34" w:rsidRDefault="00B0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F34" w:rsidRDefault="0005139A">
      <w:pPr>
        <w:numPr>
          <w:ilvl w:val="0"/>
          <w:numId w:val="7"/>
        </w:numPr>
        <w:spacing w:after="120" w:line="240" w:lineRule="auto"/>
        <w:ind w:left="425" w:hanging="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Kupní cena a platební podmínky</w:t>
      </w:r>
    </w:p>
    <w:p w:rsidR="00B05F34" w:rsidRDefault="0005139A">
      <w:pPr>
        <w:numPr>
          <w:ilvl w:val="0"/>
          <w:numId w:val="2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Kupní cena je cenou smluvní a byla sjednána následovně:</w:t>
      </w:r>
    </w:p>
    <w:p w:rsidR="00B05F34" w:rsidRDefault="0005139A">
      <w:pPr>
        <w:spacing w:after="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Kupní cena za zboží vč. DPH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93.456 Kč</w:t>
      </w:r>
    </w:p>
    <w:p w:rsidR="00B05F34" w:rsidRDefault="0005139A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(slovy: devadesát tři tisíc čtyři sta padesát šest korun českých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5F34" w:rsidRDefault="0005139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Montáž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8.116 Kč</w:t>
      </w:r>
    </w:p>
    <w:p w:rsidR="00B05F34" w:rsidRDefault="0005139A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(slovy: osm tisíc jedno sto šestnáct korun českých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5F34" w:rsidRDefault="0005139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Kupní cena celkem vč. DPH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101.572 Kč</w:t>
      </w:r>
    </w:p>
    <w:p w:rsidR="00B05F34" w:rsidRDefault="0005139A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slovy: jedno sto jedna tisíc pět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set sedmdesát dva korun českých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05F34" w:rsidRDefault="0005139A">
      <w:pPr>
        <w:numPr>
          <w:ilvl w:val="0"/>
          <w:numId w:val="4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Kupní cena je stanovena mezi smluvními stranami dohodou jako cena konečná, nepřekročitelná a nejvýše přípustná za komplexní plnění celého předmětu této smlouvy a zahrnuje veškeré náklady prodávajícího související s řádným p</w:t>
      </w:r>
      <w:r>
        <w:rPr>
          <w:rFonts w:ascii="Times New Roman" w:eastAsia="Times New Roman" w:hAnsi="Times New Roman" w:cs="Times New Roman"/>
          <w:sz w:val="24"/>
          <w:szCs w:val="24"/>
        </w:rPr>
        <w:t>lněním předmětu této smlouvy, tj. zahrnuje veškeré činnosti a související výkony nutné k naplnění účelu a cíle této smlouvy.</w:t>
      </w:r>
    </w:p>
    <w:p w:rsidR="00B05F34" w:rsidRDefault="0005139A">
      <w:pPr>
        <w:numPr>
          <w:ilvl w:val="0"/>
          <w:numId w:val="4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Podkladem pro zaplacení výše uvedené ceny je daňový doklad (faktura) vystavený prodávajícím.</w:t>
      </w:r>
    </w:p>
    <w:p w:rsidR="00B05F34" w:rsidRDefault="0005139A">
      <w:pPr>
        <w:numPr>
          <w:ilvl w:val="0"/>
          <w:numId w:val="4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Kupní cena dle odst. 1. tohoto článku </w:t>
      </w:r>
      <w:r>
        <w:rPr>
          <w:rFonts w:ascii="Times New Roman" w:eastAsia="Times New Roman" w:hAnsi="Times New Roman" w:cs="Times New Roman"/>
          <w:sz w:val="24"/>
          <w:szCs w:val="24"/>
        </w:rPr>
        <w:t>je splatná ve lhůtě 21 dnů od doručení daňového dokladu (faktury) kupujícímu a bude uhrazena formou bankovního převodu na účet prodávajícího uvedený v záhlaví této smlouvy. Úhradou daňového dokladu (faktury) se rozumí připsání částky na účet prodávajícího.</w:t>
      </w:r>
    </w:p>
    <w:p w:rsidR="00B05F34" w:rsidRDefault="0005139A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</w:t>
      </w:r>
      <w:r>
        <w:rPr>
          <w:rFonts w:ascii="Times New Roman" w:eastAsia="Times New Roman" w:hAnsi="Times New Roman" w:cs="Times New Roman"/>
          <w:sz w:val="24"/>
          <w:szCs w:val="24"/>
        </w:rPr>
        <w:t>řed jeho splatností vrátit. Oprávněným vrácením faktury přestává běžet původní lhůta splatnosti a opravená nebo přepracovaná faktura bude opatřena novou lhůtou splatnosti.</w:t>
      </w:r>
    </w:p>
    <w:p w:rsidR="00B05F34" w:rsidRDefault="00B05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numPr>
          <w:ilvl w:val="0"/>
          <w:numId w:val="7"/>
        </w:numPr>
        <w:spacing w:after="120" w:line="240" w:lineRule="auto"/>
        <w:ind w:left="425" w:hanging="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Záruční podmínky</w:t>
      </w:r>
    </w:p>
    <w:p w:rsidR="00B05F34" w:rsidRDefault="0005139A">
      <w:pPr>
        <w:numPr>
          <w:ilvl w:val="0"/>
          <w:numId w:val="5"/>
        </w:numPr>
        <w:spacing w:after="12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Prodávající odpovídá za vady, které má zboží v době jeho předání kupujícímu a dále za ty vady, které se na zboží vyskytnou v záruční době.</w:t>
      </w:r>
    </w:p>
    <w:p w:rsidR="00B05F34" w:rsidRDefault="0005139A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zavazuje, že předané zboží bude mít vlastnosti dle této smlouvy v první jakosti kvality provedení.</w:t>
      </w:r>
    </w:p>
    <w:p w:rsidR="00B05F34" w:rsidRDefault="0005139A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z w:val="24"/>
          <w:szCs w:val="24"/>
        </w:rPr>
        <w:t>dávající poskytuje na dodané zboží záruku v délce 24 měsíců. Záruční doba počíná běžet ode dne následujícího po dni převzetí zboží kupujícím, které je uvedeno v dodacím listu podepsaném oběma smluvními stranami.</w:t>
      </w:r>
    </w:p>
    <w:p w:rsidR="00B05F34" w:rsidRDefault="0005139A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Kupující je oprávněn reklamovat v záruční do</w:t>
      </w:r>
      <w:r>
        <w:rPr>
          <w:rFonts w:ascii="Times New Roman" w:eastAsia="Times New Roman" w:hAnsi="Times New Roman" w:cs="Times New Roman"/>
          <w:sz w:val="24"/>
          <w:szCs w:val="24"/>
        </w:rPr>
        <w:t>bě vady zboží u prodávajícího, a to písemnou formou. V reklamaci musí být popsána vada zboží nebo alespoň způsob, jakým se projevuje a určen nárok kupujícího z vady zboží, případně požadavek na způsob odstranění vady zboží, a to včetně návrhu termínu pro o</w:t>
      </w:r>
      <w:r>
        <w:rPr>
          <w:rFonts w:ascii="Times New Roman" w:eastAsia="Times New Roman" w:hAnsi="Times New Roman" w:cs="Times New Roman"/>
          <w:sz w:val="24"/>
          <w:szCs w:val="24"/>
        </w:rPr>
        <w:t>dstranění vady zboží prodávajícím.</w:t>
      </w:r>
    </w:p>
    <w:p w:rsidR="00B05F34" w:rsidRDefault="0005139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 provádět záruční servis. Způsob řešení (oprava, výměna zboží, apod.) bude stanoven na základě reklamace podané prostřednictvím reklamačního formuláře na webových stránkách. Reklamace se vztahuje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výrobní vady, nikoliv na vady způsobené běžným opotřebením, nesprávným používáním či nevhodným umístěním zboží (venkovní nebo vlhké prostředí, apod.)Náklady spojené s dopravou nese prodávající v plné výši.</w:t>
      </w:r>
    </w:p>
    <w:p w:rsidR="00B05F34" w:rsidRDefault="00B05F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B05F3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F34" w:rsidRDefault="00B05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numPr>
          <w:ilvl w:val="0"/>
          <w:numId w:val="7"/>
        </w:numPr>
        <w:spacing w:after="120" w:line="240" w:lineRule="auto"/>
        <w:ind w:left="425" w:hanging="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Sankční ujednání</w:t>
      </w:r>
    </w:p>
    <w:p w:rsidR="00B05F34" w:rsidRDefault="0005139A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dohodly, že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případě prodlení kupujícího se zaplacením kupní ceny je prodávající oprávněn vyúčtovat mu smluvní pokutu ve výši 0,5 % z dlužné částky za každý i započatý den prodlení, přičemž uplatněním smluvní sankce zůstává nedotčen nárok prodávajícího na náhradu šk</w:t>
      </w:r>
      <w:r>
        <w:rPr>
          <w:rFonts w:ascii="Times New Roman" w:eastAsia="Times New Roman" w:hAnsi="Times New Roman" w:cs="Times New Roman"/>
          <w:sz w:val="24"/>
          <w:szCs w:val="24"/>
        </w:rPr>
        <w:t>ody a nárok na jiné zákonné sankce.</w:t>
      </w:r>
    </w:p>
    <w:p w:rsidR="00B05F34" w:rsidRDefault="0005139A">
      <w:pPr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dále dohodly, že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případě prodlení prodávajícího s dodávkou zboží v termínu podle čl. II. odst. 1. této smlouvy nebo prodlení kterékoliv součásti dodávky uvedené v příloze č. 1 této smlouvy, je kupujíc</w:t>
      </w:r>
      <w:r>
        <w:rPr>
          <w:rFonts w:ascii="Times New Roman" w:eastAsia="Times New Roman" w:hAnsi="Times New Roman" w:cs="Times New Roman"/>
          <w:sz w:val="24"/>
          <w:szCs w:val="24"/>
        </w:rPr>
        <w:t>í oprávněn uplatnit na prodávajícím smluvní pokutu ve výši 0,5 % z celkové kupní ceny za každý i započatý den prodlení, přičemž uplatněním smluvní sankce zůstává nedotčen nárok kupujícího na náhradu škody a nárok na jiné zákonné sankce.</w:t>
      </w:r>
    </w:p>
    <w:p w:rsidR="00B05F34" w:rsidRDefault="00B05F3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F34" w:rsidRDefault="0005139A">
      <w:pPr>
        <w:numPr>
          <w:ilvl w:val="0"/>
          <w:numId w:val="7"/>
        </w:numPr>
        <w:spacing w:after="120" w:line="240" w:lineRule="auto"/>
        <w:ind w:left="425" w:hanging="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ní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Veškeré změny a dodatky k této smlouvě je možné činit pouze na základě předchozí dohody smluvních stran, a to ve formě očíslovaných písemných dodatků.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 byla vyhotovena ve třech stejnopisech, přičemž kupující obdrží dvě (2) a prodávající jedno (1) vyhotovení.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prohlašují, že skutečnosti uvedené v této smlouvě nepovažují za obchodní tajemství ve smyslu ustanovení § 504 občanského </w:t>
      </w:r>
      <w:r>
        <w:rPr>
          <w:rFonts w:ascii="Times New Roman" w:eastAsia="Times New Roman" w:hAnsi="Times New Roman" w:cs="Times New Roman"/>
          <w:sz w:val="24"/>
          <w:szCs w:val="24"/>
        </w:rPr>
        <w:t>zákoníku a udělují svolení k jejich užití a zveřejnění bez stanovení jakýchkoliv dalších podmínek.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souhlasí se zveřejněním této smlouvy v jejím plném znění dle zákona č. 340/2015 Sb., o zvláštních podmínkách účinnosti některých smluv, uveřej</w:t>
      </w:r>
      <w:r>
        <w:rPr>
          <w:rFonts w:ascii="Times New Roman" w:eastAsia="Times New Roman" w:hAnsi="Times New Roman" w:cs="Times New Roman"/>
          <w:sz w:val="24"/>
          <w:szCs w:val="24"/>
        </w:rPr>
        <w:t>ňování těchto smluv a o registru smluv (zákon o registru smluv), ve znění pozdějších předpisů.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výslovně sjednávají, že uveřejnění tohoto smlouvy v registru smluv dle zákona č. 340/2015 Sb., o zvláštních podmínkách účinnosti některých smluv, </w:t>
      </w:r>
      <w:r>
        <w:rPr>
          <w:rFonts w:ascii="Times New Roman" w:eastAsia="Times New Roman" w:hAnsi="Times New Roman" w:cs="Times New Roman"/>
          <w:sz w:val="24"/>
          <w:szCs w:val="24"/>
        </w:rPr>
        <w:t>uveřejňování těchto smluv a o registru smluv (zákon o registru smluv), ve znění pozdějších předpisů, zajistí kupující.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prohlašují, že si tuto smlouvu přečetly a že s jejím obsahem souhlasí. Prohlašují, že tato smlouva byla sepsána podle jeji</w:t>
      </w:r>
      <w:r>
        <w:rPr>
          <w:rFonts w:ascii="Times New Roman" w:eastAsia="Times New Roman" w:hAnsi="Times New Roman" w:cs="Times New Roman"/>
          <w:sz w:val="24"/>
          <w:szCs w:val="24"/>
        </w:rPr>
        <w:t>ch pravé a svobodné vůle, určitě, vážně a srozumitelně, a že nebyla uzavřena v tísni ani za nápadně nevýhodných podmínek a na důkaz toho k ní připojují svoje podpisy.</w:t>
      </w:r>
    </w:p>
    <w:p w:rsidR="00B05F34" w:rsidRDefault="0005139A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Nedílnou součástí této smlouvy je Příloha č. 1 – Specifikace zboží.</w:t>
      </w:r>
    </w:p>
    <w:p w:rsidR="00B05F34" w:rsidRDefault="00B05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prodávajícího: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Za kupujícího:</w:t>
      </w:r>
    </w:p>
    <w:p w:rsidR="00B05F34" w:rsidRDefault="00B05F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Ostravě dne 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 Praze dne ………………</w:t>
      </w:r>
    </w:p>
    <w:p w:rsidR="00B05F34" w:rsidRDefault="00B05F34">
      <w:pPr>
        <w:tabs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B05F34">
      <w:pPr>
        <w:tabs>
          <w:tab w:val="left" w:pos="59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.........………………………</w:t>
      </w:r>
    </w:p>
    <w:p w:rsidR="00B05F34" w:rsidRDefault="0005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Pavel Král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Mgr. Irena Trojanová, Ph.D.</w:t>
      </w:r>
    </w:p>
    <w:p w:rsidR="00B05F34" w:rsidRDefault="00B05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r>
        <w:br w:type="page"/>
      </w:r>
    </w:p>
    <w:p w:rsidR="00B05F34" w:rsidRDefault="000513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Příloha č. 1 - Specifikace zboží</w:t>
      </w:r>
    </w:p>
    <w:p w:rsidR="00B05F34" w:rsidRDefault="00B05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Sada 16 – ti kusů šatních skříněk po 4 boxech (400 mm na sok</w:t>
      </w:r>
      <w:r>
        <w:rPr>
          <w:rFonts w:ascii="Times New Roman" w:eastAsia="Times New Roman" w:hAnsi="Times New Roman" w:cs="Times New Roman"/>
          <w:sz w:val="24"/>
          <w:szCs w:val="24"/>
        </w:rPr>
        <w:t>lu, laminované dveře bříza, cylindrický zámek - 1260934) </w:t>
      </w: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3895725" cy="3895725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7200" w:type="dxa"/>
        <w:tblInd w:w="-150" w:type="dxa"/>
        <w:tblLayout w:type="fixed"/>
        <w:tblLook w:val="0400" w:firstRow="0" w:lastRow="0" w:firstColumn="0" w:lastColumn="0" w:noHBand="0" w:noVBand="1"/>
      </w:tblPr>
      <w:tblGrid>
        <w:gridCol w:w="3403"/>
        <w:gridCol w:w="3797"/>
      </w:tblGrid>
      <w:tr w:rsidR="00B05F34">
        <w:tc>
          <w:tcPr>
            <w:tcW w:w="3403" w:type="dxa"/>
            <w:tcBorders>
              <w:top w:val="single" w:sz="12" w:space="0" w:color="FFFFFF"/>
              <w:bottom w:val="single" w:sz="12" w:space="0" w:color="FFFFFF"/>
              <w:right w:val="single" w:sz="48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 základny </w:t>
            </w:r>
          </w:p>
        </w:tc>
        <w:tc>
          <w:tcPr>
            <w:tcW w:w="3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sokl</w:t>
            </w:r>
          </w:p>
        </w:tc>
      </w:tr>
      <w:tr w:rsidR="00B05F34">
        <w:tc>
          <w:tcPr>
            <w:tcW w:w="3403" w:type="dxa"/>
            <w:tcBorders>
              <w:top w:val="single" w:sz="12" w:space="0" w:color="FFFFFF"/>
              <w:bottom w:val="single" w:sz="12" w:space="0" w:color="FFFFFF"/>
              <w:right w:val="single" w:sz="48" w:space="0" w:color="FFFFFF"/>
            </w:tcBorders>
            <w:shd w:val="clear" w:color="auto" w:fill="F7F7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Barva korpusu</w:t>
            </w:r>
          </w:p>
        </w:tc>
        <w:tc>
          <w:tcPr>
            <w:tcW w:w="3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7F7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šedá</w:t>
            </w:r>
          </w:p>
        </w:tc>
      </w:tr>
      <w:tr w:rsidR="00B05F34">
        <w:tc>
          <w:tcPr>
            <w:tcW w:w="3403" w:type="dxa"/>
            <w:tcBorders>
              <w:top w:val="single" w:sz="12" w:space="0" w:color="FFFFFF"/>
              <w:bottom w:val="single" w:sz="12" w:space="0" w:color="FFFFFF"/>
              <w:right w:val="single" w:sz="48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Konstrukce </w:t>
            </w:r>
          </w:p>
        </w:tc>
        <w:tc>
          <w:tcPr>
            <w:tcW w:w="3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svařovaná</w:t>
            </w:r>
          </w:p>
        </w:tc>
      </w:tr>
      <w:tr w:rsidR="00B05F34">
        <w:tc>
          <w:tcPr>
            <w:tcW w:w="3403" w:type="dxa"/>
            <w:tcBorders>
              <w:top w:val="single" w:sz="12" w:space="0" w:color="FFFFFF"/>
              <w:bottom w:val="single" w:sz="12" w:space="0" w:color="FFFFFF"/>
              <w:right w:val="single" w:sz="48" w:space="0" w:color="FFFFFF"/>
            </w:tcBorders>
            <w:shd w:val="clear" w:color="auto" w:fill="F7F7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Rozměry v x š x h (mm)</w:t>
            </w:r>
          </w:p>
        </w:tc>
        <w:tc>
          <w:tcPr>
            <w:tcW w:w="3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7F7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 x 800 x 500</w:t>
            </w:r>
          </w:p>
        </w:tc>
      </w:tr>
      <w:tr w:rsidR="00B05F34">
        <w:tc>
          <w:tcPr>
            <w:tcW w:w="3403" w:type="dxa"/>
            <w:tcBorders>
              <w:top w:val="single" w:sz="12" w:space="0" w:color="FFFFFF"/>
              <w:bottom w:val="single" w:sz="12" w:space="0" w:color="FFFFFF"/>
              <w:right w:val="single" w:sz="48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Počet dveří</w:t>
            </w:r>
          </w:p>
        </w:tc>
        <w:tc>
          <w:tcPr>
            <w:tcW w:w="3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5F34">
        <w:tc>
          <w:tcPr>
            <w:tcW w:w="3403" w:type="dxa"/>
            <w:tcBorders>
              <w:top w:val="single" w:sz="12" w:space="0" w:color="FFFFFF"/>
              <w:bottom w:val="single" w:sz="12" w:space="0" w:color="FFFFFF"/>
              <w:right w:val="single" w:sz="48" w:space="0" w:color="FFFFFF"/>
            </w:tcBorders>
            <w:shd w:val="clear" w:color="auto" w:fill="F7F7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Materiál dveří</w:t>
            </w:r>
          </w:p>
        </w:tc>
        <w:tc>
          <w:tcPr>
            <w:tcW w:w="379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7F7F7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05F34" w:rsidRDefault="00051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laminovaná dřevotříska</w:t>
            </w:r>
          </w:p>
        </w:tc>
      </w:tr>
    </w:tbl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Popis zboží</w:t>
      </w: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Šatník se soklem 120 mm, spodní část skříně je vždy vybavena plastovými koncovkami.</w:t>
      </w: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Skříňka je vybavena účinným větráním dle normy DIN 4547.</w:t>
      </w:r>
    </w:p>
    <w:p w:rsidR="00B05F34" w:rsidRDefault="00051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Kovové panty umožňují otevírání dveří v úhlu 100°. Systém uchycení horního čepu umožňuje snadnou výměnu dveří.</w:t>
      </w:r>
    </w:p>
    <w:p w:rsidR="00B05F34" w:rsidRDefault="00051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Všec</w:t>
      </w:r>
      <w:r>
        <w:rPr>
          <w:rFonts w:ascii="Times New Roman" w:eastAsia="Times New Roman" w:hAnsi="Times New Roman" w:cs="Times New Roman"/>
          <w:sz w:val="24"/>
          <w:szCs w:val="24"/>
        </w:rPr>
        <w:t>hny přístupné hrany plechu jsou opatřené bezpečnostními ohyby, odolnost proti vylomení pomocí nástrojů odpovídá bezpečnostní třídě B.</w:t>
      </w:r>
    </w:p>
    <w:p w:rsidR="00B05F34" w:rsidRDefault="00051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Barva korpusu je vždy šedá RAL 7035, je provedena vypalovacím práškovým lakem.</w:t>
      </w:r>
    </w:p>
    <w:p w:rsidR="00B05F34" w:rsidRDefault="00051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Dveře z laminované dřevotřísky v dezénu bříza jsou olepeny ABS plastovou hranou a zavěšeny na kovových pantech.</w:t>
      </w:r>
    </w:p>
    <w:p w:rsidR="00B05F34" w:rsidRDefault="00B05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Plastová vanička na obuv, modul 400, určená k zachycení nečistot z obuvi</w:t>
      </w: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5F34" w:rsidRDefault="000513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3790950" cy="3790950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05F34" w:rsidRDefault="00B0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05F34">
      <w:pgSz w:w="11906" w:h="17338"/>
      <w:pgMar w:top="1418" w:right="1558" w:bottom="1560" w:left="156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5010"/>
    <w:multiLevelType w:val="multilevel"/>
    <w:tmpl w:val="8676E4CA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1936F13"/>
    <w:multiLevelType w:val="multilevel"/>
    <w:tmpl w:val="1D2C96F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149961E5"/>
    <w:multiLevelType w:val="multilevel"/>
    <w:tmpl w:val="ADB20FA6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4A277D96"/>
    <w:multiLevelType w:val="multilevel"/>
    <w:tmpl w:val="6DEA4A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4F942F78"/>
    <w:multiLevelType w:val="multilevel"/>
    <w:tmpl w:val="80781264"/>
    <w:lvl w:ilvl="0">
      <w:start w:val="2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573262FA"/>
    <w:multiLevelType w:val="multilevel"/>
    <w:tmpl w:val="A5124ED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634468C9"/>
    <w:multiLevelType w:val="multilevel"/>
    <w:tmpl w:val="55D40150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6A4F382F"/>
    <w:multiLevelType w:val="multilevel"/>
    <w:tmpl w:val="65E21D66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05F34"/>
    <w:rsid w:val="0005139A"/>
    <w:rsid w:val="00B0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Marketa</cp:lastModifiedBy>
  <cp:revision>2</cp:revision>
  <dcterms:created xsi:type="dcterms:W3CDTF">2017-05-24T07:11:00Z</dcterms:created>
  <dcterms:modified xsi:type="dcterms:W3CDTF">2017-05-24T07:11:00Z</dcterms:modified>
</cp:coreProperties>
</file>