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A95" w:rsidRDefault="006974A5">
      <w:pPr>
        <w:spacing w:line="360" w:lineRule="exact"/>
      </w:pPr>
      <w:r>
        <w:rPr>
          <w:noProof/>
          <w:lang w:bidi="ar-SA"/>
        </w:rPr>
        <w:drawing>
          <wp:anchor distT="0" distB="0" distL="0" distR="0" simplePos="0" relativeHeight="62914690" behindDoc="1" locked="0" layoutInCell="1" allowOverlap="1">
            <wp:simplePos x="0" y="0"/>
            <wp:positionH relativeFrom="page">
              <wp:posOffset>475615</wp:posOffset>
            </wp:positionH>
            <wp:positionV relativeFrom="margin">
              <wp:posOffset>0</wp:posOffset>
            </wp:positionV>
            <wp:extent cx="6577330" cy="6337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577330" cy="633730"/>
                    </a:xfrm>
                    <a:prstGeom prst="rect">
                      <a:avLst/>
                    </a:prstGeom>
                  </pic:spPr>
                </pic:pic>
              </a:graphicData>
            </a:graphic>
          </wp:anchor>
        </w:drawing>
      </w:r>
    </w:p>
    <w:p w:rsidR="00352A95" w:rsidRDefault="00352A95">
      <w:pPr>
        <w:spacing w:after="637" w:line="1" w:lineRule="exact"/>
      </w:pPr>
    </w:p>
    <w:p w:rsidR="00352A95" w:rsidRDefault="00352A95">
      <w:pPr>
        <w:spacing w:line="1" w:lineRule="exact"/>
        <w:sectPr w:rsidR="00352A95">
          <w:footerReference w:type="default" r:id="rId8"/>
          <w:pgSz w:w="11900" w:h="16840"/>
          <w:pgMar w:top="375" w:right="797" w:bottom="981" w:left="749" w:header="0" w:footer="3" w:gutter="0"/>
          <w:pgNumType w:start="1"/>
          <w:cols w:space="720"/>
          <w:noEndnote/>
          <w:docGrid w:linePitch="360"/>
        </w:sectPr>
      </w:pPr>
    </w:p>
    <w:p w:rsidR="00352A95" w:rsidRDefault="006974A5">
      <w:pPr>
        <w:spacing w:line="1" w:lineRule="exact"/>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5697220</wp:posOffset>
                </wp:positionH>
                <wp:positionV relativeFrom="paragraph">
                  <wp:posOffset>292735</wp:posOffset>
                </wp:positionV>
                <wp:extent cx="1258570" cy="35369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258570" cy="353695"/>
                        </a:xfrm>
                        <a:prstGeom prst="rect">
                          <a:avLst/>
                        </a:prstGeom>
                        <a:noFill/>
                      </wps:spPr>
                      <wps:txbx>
                        <w:txbxContent>
                          <w:p w:rsidR="00352A95" w:rsidRDefault="006974A5">
                            <w:pPr>
                              <w:pStyle w:val="Zkladntext1"/>
                              <w:shd w:val="clear" w:color="auto" w:fill="auto"/>
                              <w:spacing w:after="0" w:line="240" w:lineRule="auto"/>
                            </w:pPr>
                            <w:r>
                              <w:t>ev.č.: 274/310/2022 č.j.: 310/106088/2022</w:t>
                            </w:r>
                          </w:p>
                        </w:txbxContent>
                      </wps:txbx>
                      <wps:bodyPr lIns="0" tIns="0" rIns="0" bIns="0"/>
                    </wps:wsp>
                  </a:graphicData>
                </a:graphic>
              </wp:anchor>
            </w:drawing>
          </mc:Choice>
          <mc:Fallback>
            <w:pict>
              <v:shape id="_x0000_s1033" type="#_x0000_t202" style="position:absolute;margin-left:448.60000000000002pt;margin-top:23.050000000000001pt;width:99.099999999999994pt;height:27.850000000000001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ev.č.: 274/310/2022 č.j.: 310/106088/2022</w:t>
                      </w:r>
                    </w:p>
                  </w:txbxContent>
                </v:textbox>
                <w10:wrap type="square" anchorx="page"/>
              </v:shape>
            </w:pict>
          </mc:Fallback>
        </mc:AlternateContent>
      </w:r>
      <w:r>
        <w:rPr>
          <w:noProof/>
          <w:lang w:bidi="ar-SA"/>
        </w:rPr>
        <mc:AlternateContent>
          <mc:Choice Requires="wps">
            <w:drawing>
              <wp:anchor distT="575310" distB="0" distL="120650" distR="1138555" simplePos="0" relativeHeight="125829380" behindDoc="0" locked="0" layoutInCell="1" allowOverlap="1">
                <wp:simplePos x="0" y="0"/>
                <wp:positionH relativeFrom="page">
                  <wp:posOffset>881380</wp:posOffset>
                </wp:positionH>
                <wp:positionV relativeFrom="paragraph">
                  <wp:posOffset>1643380</wp:posOffset>
                </wp:positionV>
                <wp:extent cx="4763770" cy="12344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763770" cy="123444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741"/>
                              <w:gridCol w:w="4176"/>
                              <w:gridCol w:w="586"/>
                            </w:tblGrid>
                            <w:tr w:rsidR="00352A95">
                              <w:tblPrEx>
                                <w:tblCellMar>
                                  <w:top w:w="0" w:type="dxa"/>
                                  <w:bottom w:w="0" w:type="dxa"/>
                                </w:tblCellMar>
                              </w:tblPrEx>
                              <w:trPr>
                                <w:trHeight w:hRule="exact" w:val="245"/>
                                <w:tblHeader/>
                              </w:trPr>
                              <w:tc>
                                <w:tcPr>
                                  <w:tcW w:w="7503" w:type="dxa"/>
                                  <w:gridSpan w:val="3"/>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b/>
                                      <w:bCs/>
                                      <w:sz w:val="18"/>
                                      <w:szCs w:val="18"/>
                                    </w:rPr>
                                    <w:t xml:space="preserve">T-Mobile Czech Republic </w:t>
                                  </w:r>
                                  <w:r>
                                    <w:rPr>
                                      <w:rFonts w:ascii="Arial" w:eastAsia="Arial" w:hAnsi="Arial" w:cs="Arial"/>
                                      <w:b/>
                                      <w:bCs/>
                                      <w:sz w:val="18"/>
                                      <w:szCs w:val="18"/>
                                    </w:rPr>
                                    <w:t>a.s.</w:t>
                                  </w:r>
                                </w:p>
                              </w:tc>
                            </w:tr>
                            <w:tr w:rsidR="00352A95">
                              <w:tblPrEx>
                                <w:tblCellMar>
                                  <w:top w:w="0" w:type="dxa"/>
                                  <w:bottom w:w="0" w:type="dxa"/>
                                </w:tblCellMar>
                              </w:tblPrEx>
                              <w:trPr>
                                <w:trHeight w:hRule="exact" w:val="269"/>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Sídlo: Ulice</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Tomíčkova 2144/1</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278"/>
                              </w:trPr>
                              <w:tc>
                                <w:tcPr>
                                  <w:tcW w:w="2741" w:type="dxa"/>
                                  <w:shd w:val="clear" w:color="auto" w:fill="FFFFFF"/>
                                  <w:vAlign w:val="bottom"/>
                                </w:tcPr>
                                <w:p w:rsidR="00352A95" w:rsidRDefault="006974A5">
                                  <w:pPr>
                                    <w:pStyle w:val="Jin0"/>
                                    <w:shd w:val="clear" w:color="auto" w:fill="auto"/>
                                    <w:spacing w:after="0" w:line="240" w:lineRule="auto"/>
                                    <w:ind w:firstLine="720"/>
                                    <w:rPr>
                                      <w:sz w:val="18"/>
                                      <w:szCs w:val="18"/>
                                    </w:rPr>
                                  </w:pPr>
                                  <w:r>
                                    <w:rPr>
                                      <w:rFonts w:ascii="Arial" w:eastAsia="Arial" w:hAnsi="Arial" w:cs="Arial"/>
                                      <w:sz w:val="18"/>
                                      <w:szCs w:val="18"/>
                                    </w:rPr>
                                    <w:t>Město</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Praha 4</w:t>
                                  </w:r>
                                </w:p>
                              </w:tc>
                              <w:tc>
                                <w:tcPr>
                                  <w:tcW w:w="586" w:type="dxa"/>
                                  <w:shd w:val="clear" w:color="auto" w:fill="FFFFFF"/>
                                  <w:vAlign w:val="bottom"/>
                                </w:tcPr>
                                <w:p w:rsidR="00352A95" w:rsidRDefault="006974A5">
                                  <w:pPr>
                                    <w:pStyle w:val="Jin0"/>
                                    <w:shd w:val="clear" w:color="auto" w:fill="auto"/>
                                    <w:spacing w:after="0" w:line="240" w:lineRule="auto"/>
                                    <w:ind w:firstLine="180"/>
                                    <w:rPr>
                                      <w:sz w:val="18"/>
                                      <w:szCs w:val="18"/>
                                    </w:rPr>
                                  </w:pPr>
                                  <w:r>
                                    <w:rPr>
                                      <w:rFonts w:ascii="Arial" w:eastAsia="Arial" w:hAnsi="Arial" w:cs="Arial"/>
                                      <w:sz w:val="18"/>
                                      <w:szCs w:val="18"/>
                                    </w:rPr>
                                    <w:t>PSČ</w:t>
                                  </w:r>
                                </w:p>
                              </w:tc>
                            </w:tr>
                            <w:tr w:rsidR="00352A95">
                              <w:tblPrEx>
                                <w:tblCellMar>
                                  <w:top w:w="0" w:type="dxa"/>
                                  <w:bottom w:w="0" w:type="dxa"/>
                                </w:tblCellMar>
                              </w:tblPrEx>
                              <w:trPr>
                                <w:trHeight w:hRule="exact" w:val="283"/>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IČ</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64949681</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278"/>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DIČ</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CZ64949681</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302"/>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Spisová značka</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B. 3787 vedená u Městského soudu v Praze</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288"/>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Zastoupená</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Dagmar Elbastawisi, na základě pověření</w:t>
                                  </w:r>
                                </w:p>
                              </w:tc>
                              <w:tc>
                                <w:tcPr>
                                  <w:tcW w:w="586" w:type="dxa"/>
                                  <w:shd w:val="clear" w:color="auto" w:fill="FFFFFF"/>
                                </w:tcPr>
                                <w:p w:rsidR="00352A95" w:rsidRDefault="00352A95">
                                  <w:pPr>
                                    <w:rPr>
                                      <w:sz w:val="10"/>
                                      <w:szCs w:val="10"/>
                                    </w:rPr>
                                  </w:pPr>
                                </w:p>
                              </w:tc>
                            </w:tr>
                          </w:tbl>
                          <w:p w:rsidR="00352A95" w:rsidRDefault="00352A95">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69.4pt;margin-top:129.4pt;width:375.1pt;height:97.2pt;z-index:125829380;visibility:visible;mso-wrap-style:square;mso-wrap-distance-left:9.5pt;mso-wrap-distance-top:45.3pt;mso-wrap-distance-right:89.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741"/>
                        <w:gridCol w:w="4176"/>
                        <w:gridCol w:w="586"/>
                      </w:tblGrid>
                      <w:tr w:rsidR="00352A95">
                        <w:tblPrEx>
                          <w:tblCellMar>
                            <w:top w:w="0" w:type="dxa"/>
                            <w:bottom w:w="0" w:type="dxa"/>
                          </w:tblCellMar>
                        </w:tblPrEx>
                        <w:trPr>
                          <w:trHeight w:hRule="exact" w:val="245"/>
                          <w:tblHeader/>
                        </w:trPr>
                        <w:tc>
                          <w:tcPr>
                            <w:tcW w:w="7503" w:type="dxa"/>
                            <w:gridSpan w:val="3"/>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b/>
                                <w:bCs/>
                                <w:sz w:val="18"/>
                                <w:szCs w:val="18"/>
                              </w:rPr>
                              <w:t xml:space="preserve">T-Mobile Czech Republic </w:t>
                            </w:r>
                            <w:r>
                              <w:rPr>
                                <w:rFonts w:ascii="Arial" w:eastAsia="Arial" w:hAnsi="Arial" w:cs="Arial"/>
                                <w:b/>
                                <w:bCs/>
                                <w:sz w:val="18"/>
                                <w:szCs w:val="18"/>
                              </w:rPr>
                              <w:t>a.s.</w:t>
                            </w:r>
                          </w:p>
                        </w:tc>
                      </w:tr>
                      <w:tr w:rsidR="00352A95">
                        <w:tblPrEx>
                          <w:tblCellMar>
                            <w:top w:w="0" w:type="dxa"/>
                            <w:bottom w:w="0" w:type="dxa"/>
                          </w:tblCellMar>
                        </w:tblPrEx>
                        <w:trPr>
                          <w:trHeight w:hRule="exact" w:val="269"/>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Sídlo: Ulice</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Tomíčkova 2144/1</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278"/>
                        </w:trPr>
                        <w:tc>
                          <w:tcPr>
                            <w:tcW w:w="2741" w:type="dxa"/>
                            <w:shd w:val="clear" w:color="auto" w:fill="FFFFFF"/>
                            <w:vAlign w:val="bottom"/>
                          </w:tcPr>
                          <w:p w:rsidR="00352A95" w:rsidRDefault="006974A5">
                            <w:pPr>
                              <w:pStyle w:val="Jin0"/>
                              <w:shd w:val="clear" w:color="auto" w:fill="auto"/>
                              <w:spacing w:after="0" w:line="240" w:lineRule="auto"/>
                              <w:ind w:firstLine="720"/>
                              <w:rPr>
                                <w:sz w:val="18"/>
                                <w:szCs w:val="18"/>
                              </w:rPr>
                            </w:pPr>
                            <w:r>
                              <w:rPr>
                                <w:rFonts w:ascii="Arial" w:eastAsia="Arial" w:hAnsi="Arial" w:cs="Arial"/>
                                <w:sz w:val="18"/>
                                <w:szCs w:val="18"/>
                              </w:rPr>
                              <w:t>Město</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Praha 4</w:t>
                            </w:r>
                          </w:p>
                        </w:tc>
                        <w:tc>
                          <w:tcPr>
                            <w:tcW w:w="586" w:type="dxa"/>
                            <w:shd w:val="clear" w:color="auto" w:fill="FFFFFF"/>
                            <w:vAlign w:val="bottom"/>
                          </w:tcPr>
                          <w:p w:rsidR="00352A95" w:rsidRDefault="006974A5">
                            <w:pPr>
                              <w:pStyle w:val="Jin0"/>
                              <w:shd w:val="clear" w:color="auto" w:fill="auto"/>
                              <w:spacing w:after="0" w:line="240" w:lineRule="auto"/>
                              <w:ind w:firstLine="180"/>
                              <w:rPr>
                                <w:sz w:val="18"/>
                                <w:szCs w:val="18"/>
                              </w:rPr>
                            </w:pPr>
                            <w:r>
                              <w:rPr>
                                <w:rFonts w:ascii="Arial" w:eastAsia="Arial" w:hAnsi="Arial" w:cs="Arial"/>
                                <w:sz w:val="18"/>
                                <w:szCs w:val="18"/>
                              </w:rPr>
                              <w:t>PSČ</w:t>
                            </w:r>
                          </w:p>
                        </w:tc>
                      </w:tr>
                      <w:tr w:rsidR="00352A95">
                        <w:tblPrEx>
                          <w:tblCellMar>
                            <w:top w:w="0" w:type="dxa"/>
                            <w:bottom w:w="0" w:type="dxa"/>
                          </w:tblCellMar>
                        </w:tblPrEx>
                        <w:trPr>
                          <w:trHeight w:hRule="exact" w:val="283"/>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IČ</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64949681</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278"/>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DIČ</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CZ64949681</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302"/>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Spisová značka</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B. 3787 vedená u Městského soudu v Praze</w:t>
                            </w:r>
                          </w:p>
                        </w:tc>
                        <w:tc>
                          <w:tcPr>
                            <w:tcW w:w="586" w:type="dxa"/>
                            <w:shd w:val="clear" w:color="auto" w:fill="FFFFFF"/>
                          </w:tcPr>
                          <w:p w:rsidR="00352A95" w:rsidRDefault="00352A95">
                            <w:pPr>
                              <w:rPr>
                                <w:sz w:val="10"/>
                                <w:szCs w:val="10"/>
                              </w:rPr>
                            </w:pPr>
                          </w:p>
                        </w:tc>
                      </w:tr>
                      <w:tr w:rsidR="00352A95">
                        <w:tblPrEx>
                          <w:tblCellMar>
                            <w:top w:w="0" w:type="dxa"/>
                            <w:bottom w:w="0" w:type="dxa"/>
                          </w:tblCellMar>
                        </w:tblPrEx>
                        <w:trPr>
                          <w:trHeight w:hRule="exact" w:val="288"/>
                        </w:trPr>
                        <w:tc>
                          <w:tcPr>
                            <w:tcW w:w="2741" w:type="dxa"/>
                            <w:shd w:val="clear" w:color="auto" w:fill="FFFFFF"/>
                            <w:vAlign w:val="bottom"/>
                          </w:tcPr>
                          <w:p w:rsidR="00352A95" w:rsidRDefault="006974A5">
                            <w:pPr>
                              <w:pStyle w:val="Jin0"/>
                              <w:shd w:val="clear" w:color="auto" w:fill="auto"/>
                              <w:spacing w:after="0" w:line="240" w:lineRule="auto"/>
                              <w:rPr>
                                <w:sz w:val="18"/>
                                <w:szCs w:val="18"/>
                              </w:rPr>
                            </w:pPr>
                            <w:r>
                              <w:rPr>
                                <w:rFonts w:ascii="Arial" w:eastAsia="Arial" w:hAnsi="Arial" w:cs="Arial"/>
                                <w:sz w:val="18"/>
                                <w:szCs w:val="18"/>
                              </w:rPr>
                              <w:t>Zastoupená</w:t>
                            </w:r>
                          </w:p>
                        </w:tc>
                        <w:tc>
                          <w:tcPr>
                            <w:tcW w:w="4176" w:type="dxa"/>
                            <w:shd w:val="clear" w:color="auto" w:fill="FFFFFF"/>
                            <w:vAlign w:val="bottom"/>
                          </w:tcPr>
                          <w:p w:rsidR="00352A95" w:rsidRDefault="006974A5">
                            <w:pPr>
                              <w:pStyle w:val="Jin0"/>
                              <w:shd w:val="clear" w:color="auto" w:fill="auto"/>
                              <w:spacing w:after="0" w:line="240" w:lineRule="auto"/>
                              <w:ind w:firstLine="240"/>
                              <w:rPr>
                                <w:sz w:val="18"/>
                                <w:szCs w:val="18"/>
                              </w:rPr>
                            </w:pPr>
                            <w:r>
                              <w:rPr>
                                <w:rFonts w:ascii="Arial" w:eastAsia="Arial" w:hAnsi="Arial" w:cs="Arial"/>
                                <w:b/>
                                <w:bCs/>
                                <w:sz w:val="18"/>
                                <w:szCs w:val="18"/>
                              </w:rPr>
                              <w:t>Dagmar Elbastawisi, na základě pověření</w:t>
                            </w:r>
                          </w:p>
                        </w:tc>
                        <w:tc>
                          <w:tcPr>
                            <w:tcW w:w="586" w:type="dxa"/>
                            <w:shd w:val="clear" w:color="auto" w:fill="FFFFFF"/>
                          </w:tcPr>
                          <w:p w:rsidR="00352A95" w:rsidRDefault="00352A95">
                            <w:pPr>
                              <w:rPr>
                                <w:sz w:val="10"/>
                                <w:szCs w:val="10"/>
                              </w:rPr>
                            </w:pPr>
                          </w:p>
                        </w:tc>
                      </w:tr>
                    </w:tbl>
                    <w:p w:rsidR="00352A95" w:rsidRDefault="00352A95">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875030</wp:posOffset>
                </wp:positionH>
                <wp:positionV relativeFrom="paragraph">
                  <wp:posOffset>1271270</wp:posOffset>
                </wp:positionV>
                <wp:extent cx="831850" cy="161290"/>
                <wp:effectExtent l="0" t="0" r="0" b="0"/>
                <wp:wrapNone/>
                <wp:docPr id="11" name="Shape 11"/>
                <wp:cNvGraphicFramePr/>
                <a:graphic xmlns:a="http://schemas.openxmlformats.org/drawingml/2006/main">
                  <a:graphicData uri="http://schemas.microsoft.com/office/word/2010/wordprocessingShape">
                    <wps:wsp>
                      <wps:cNvSpPr txBox="1"/>
                      <wps:spPr>
                        <a:xfrm>
                          <a:off x="0" y="0"/>
                          <a:ext cx="831850" cy="161290"/>
                        </a:xfrm>
                        <a:prstGeom prst="rect">
                          <a:avLst/>
                        </a:prstGeom>
                        <a:noFill/>
                      </wps:spPr>
                      <wps:txbx>
                        <w:txbxContent>
                          <w:p w:rsidR="00352A95" w:rsidRDefault="006974A5">
                            <w:pPr>
                              <w:pStyle w:val="Titulektabulky0"/>
                              <w:shd w:val="clear" w:color="auto" w:fill="auto"/>
                              <w:rPr>
                                <w:sz w:val="18"/>
                                <w:szCs w:val="18"/>
                              </w:rPr>
                            </w:pPr>
                            <w:r>
                              <w:rPr>
                                <w:rFonts w:ascii="Arial" w:eastAsia="Arial" w:hAnsi="Arial" w:cs="Arial"/>
                                <w:sz w:val="18"/>
                                <w:szCs w:val="18"/>
                              </w:rPr>
                              <w:t>Smluvní strany:</w:t>
                            </w:r>
                          </w:p>
                        </w:txbxContent>
                      </wps:txbx>
                      <wps:bodyPr lIns="0" tIns="0" rIns="0" bIns="0"/>
                    </wps:wsp>
                  </a:graphicData>
                </a:graphic>
              </wp:anchor>
            </w:drawing>
          </mc:Choice>
          <mc:Fallback>
            <w:pict>
              <v:shape id="_x0000_s1037" type="#_x0000_t202" style="position:absolute;margin-left:68.900000000000006pt;margin-top:100.09999999999999pt;width:65.5pt;height:12.699999999999999pt;z-index:251657729;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Smluvní strany:</w:t>
                      </w:r>
                    </w:p>
                  </w:txbxContent>
                </v:textbox>
                <w10:wrap anchorx="page"/>
              </v:shape>
            </w:pict>
          </mc:Fallback>
        </mc:AlternateContent>
      </w:r>
      <w:r>
        <w:rPr>
          <w:noProof/>
          <w:lang w:bidi="ar-SA"/>
        </w:rPr>
        <mc:AlternateContent>
          <mc:Choice Requires="wps">
            <w:drawing>
              <wp:anchor distT="913130" distB="741045" distL="5515610" distR="114300" simplePos="0" relativeHeight="125829382" behindDoc="0" locked="0" layoutInCell="1" allowOverlap="1">
                <wp:simplePos x="0" y="0"/>
                <wp:positionH relativeFrom="page">
                  <wp:posOffset>6276340</wp:posOffset>
                </wp:positionH>
                <wp:positionV relativeFrom="paragraph">
                  <wp:posOffset>1981200</wp:posOffset>
                </wp:positionV>
                <wp:extent cx="393065"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93065" cy="155575"/>
                        </a:xfrm>
                        <a:prstGeom prst="rect">
                          <a:avLst/>
                        </a:prstGeom>
                        <a:noFill/>
                      </wps:spPr>
                      <wps:txbx>
                        <w:txbxContent>
                          <w:p w:rsidR="00352A95" w:rsidRDefault="006974A5">
                            <w:pPr>
                              <w:pStyle w:val="Zkladntext20"/>
                              <w:shd w:val="clear" w:color="auto" w:fill="auto"/>
                            </w:pPr>
                            <w:r>
                              <w:t>148 00</w:t>
                            </w:r>
                          </w:p>
                        </w:txbxContent>
                      </wps:txbx>
                      <wps:bodyPr wrap="none" lIns="0" tIns="0" rIns="0" bIns="0"/>
                    </wps:wsp>
                  </a:graphicData>
                </a:graphic>
              </wp:anchor>
            </w:drawing>
          </mc:Choice>
          <mc:Fallback>
            <w:pict>
              <v:shape id="_x0000_s1039" type="#_x0000_t202" style="position:absolute;margin-left:494.19999999999999pt;margin-top:156.pt;width:30.949999999999999pt;height:12.25pt;z-index:-125829371;mso-wrap-distance-left:434.30000000000001pt;mso-wrap-distance-top:71.900000000000006pt;mso-wrap-distance-right:9.pt;mso-wrap-distance-bottom:58.350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148 00</w:t>
                      </w:r>
                    </w:p>
                  </w:txbxContent>
                </v:textbox>
                <w10:wrap type="topAndBottom" anchorx="page"/>
              </v:shape>
            </w:pict>
          </mc:Fallback>
        </mc:AlternateContent>
      </w:r>
    </w:p>
    <w:p w:rsidR="00352A95" w:rsidRDefault="006974A5">
      <w:pPr>
        <w:pStyle w:val="Nadpis10"/>
        <w:keepNext/>
        <w:keepLines/>
        <w:shd w:val="clear" w:color="auto" w:fill="auto"/>
      </w:pPr>
      <w:bookmarkStart w:id="0" w:name="bookmark0"/>
      <w:bookmarkStart w:id="1" w:name="bookmark1"/>
      <w:r>
        <w:t xml:space="preserve">SMLOUVA O ZAJIŠTĚNÍ SW </w:t>
      </w:r>
      <w:r>
        <w:t>PRODUKTŮ MICROSOFT</w:t>
      </w:r>
      <w:bookmarkEnd w:id="0"/>
      <w:bookmarkEnd w:id="1"/>
    </w:p>
    <w:p w:rsidR="00352A95" w:rsidRDefault="006974A5">
      <w:pPr>
        <w:pStyle w:val="Zkladntext20"/>
        <w:shd w:val="clear" w:color="auto" w:fill="auto"/>
        <w:spacing w:after="180"/>
      </w:pPr>
      <w:r>
        <w:t>Číslo smlouvy T-Mobile</w:t>
      </w:r>
    </w:p>
    <w:p w:rsidR="00352A95" w:rsidRDefault="006974A5">
      <w:pPr>
        <w:pStyle w:val="Zkladntext20"/>
        <w:shd w:val="clear" w:color="auto" w:fill="auto"/>
        <w:sectPr w:rsidR="00352A95">
          <w:type w:val="continuous"/>
          <w:pgSz w:w="11900" w:h="16840"/>
          <w:pgMar w:top="375" w:right="1483" w:bottom="3650" w:left="1373" w:header="0" w:footer="3" w:gutter="0"/>
          <w:cols w:space="720"/>
          <w:noEndnote/>
          <w:docGrid w:linePitch="360"/>
        </w:sectPr>
      </w:pPr>
      <w:r>
        <w:t>Referenční číslo T-Mobile</w:t>
      </w:r>
    </w:p>
    <w:p w:rsidR="00352A95" w:rsidRDefault="00352A95">
      <w:pPr>
        <w:spacing w:before="106" w:after="106" w:line="240" w:lineRule="exact"/>
        <w:rPr>
          <w:sz w:val="19"/>
          <w:szCs w:val="19"/>
        </w:rPr>
      </w:pPr>
    </w:p>
    <w:p w:rsidR="00352A95" w:rsidRDefault="00352A95">
      <w:pPr>
        <w:spacing w:line="1" w:lineRule="exact"/>
        <w:sectPr w:rsidR="00352A95">
          <w:type w:val="continuous"/>
          <w:pgSz w:w="11900" w:h="16840"/>
          <w:pgMar w:top="375" w:right="0" w:bottom="3650" w:left="0" w:header="0" w:footer="3" w:gutter="0"/>
          <w:cols w:space="720"/>
          <w:noEndnote/>
          <w:docGrid w:linePitch="360"/>
        </w:sectPr>
      </w:pPr>
    </w:p>
    <w:p w:rsidR="00352A95" w:rsidRDefault="006974A5">
      <w:pPr>
        <w:pStyle w:val="Zkladntext20"/>
        <w:shd w:val="clear" w:color="auto" w:fill="auto"/>
      </w:pPr>
      <w:r>
        <w:rPr>
          <w:b w:val="0"/>
          <w:bCs w:val="0"/>
        </w:rPr>
        <w:lastRenderedPageBreak/>
        <w:t>(dále jen “</w:t>
      </w:r>
      <w:r>
        <w:t>Dodavatel</w:t>
      </w:r>
      <w:r>
        <w:rPr>
          <w:b w:val="0"/>
          <w:bCs w:val="0"/>
        </w:rPr>
        <w:t>” nebo „poskytovatel“)</w:t>
      </w:r>
    </w:p>
    <w:p w:rsidR="00352A95" w:rsidRDefault="006974A5">
      <w:pPr>
        <w:spacing w:line="1" w:lineRule="exact"/>
        <w:sectPr w:rsidR="00352A95">
          <w:type w:val="continuous"/>
          <w:pgSz w:w="11900" w:h="16840"/>
          <w:pgMar w:top="375" w:right="1483" w:bottom="3650" w:left="1373" w:header="0" w:footer="3" w:gutter="0"/>
          <w:cols w:space="720"/>
          <w:noEndnote/>
          <w:docGrid w:linePitch="360"/>
        </w:sectPr>
      </w:pPr>
      <w:r>
        <w:rPr>
          <w:noProof/>
          <w:lang w:bidi="ar-SA"/>
        </w:rPr>
        <mc:AlternateContent>
          <mc:Choice Requires="wps">
            <w:drawing>
              <wp:anchor distT="482600" distB="911860" distL="0" distR="0" simplePos="0" relativeHeight="125829384" behindDoc="0" locked="0" layoutInCell="1" allowOverlap="1">
                <wp:simplePos x="0" y="0"/>
                <wp:positionH relativeFrom="page">
                  <wp:posOffset>875030</wp:posOffset>
                </wp:positionH>
                <wp:positionV relativeFrom="paragraph">
                  <wp:posOffset>482600</wp:posOffset>
                </wp:positionV>
                <wp:extent cx="3130550" cy="5270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130550" cy="527050"/>
                        </a:xfrm>
                        <a:prstGeom prst="rect">
                          <a:avLst/>
                        </a:prstGeom>
                        <a:noFill/>
                      </wps:spPr>
                      <wps:txbx>
                        <w:txbxContent>
                          <w:p w:rsidR="00352A95" w:rsidRDefault="006974A5">
                            <w:pPr>
                              <w:pStyle w:val="Zkladntext20"/>
                              <w:shd w:val="clear" w:color="auto" w:fill="auto"/>
                              <w:spacing w:line="324" w:lineRule="auto"/>
                            </w:pPr>
                            <w:r>
                              <w:t xml:space="preserve">Národní památkový ústav, státní příspěvková organizace </w:t>
                            </w:r>
                            <w:r>
                              <w:rPr>
                                <w:b w:val="0"/>
                                <w:bCs w:val="0"/>
                              </w:rPr>
                              <w:t>Sídlo: Ulice</w:t>
                            </w:r>
                          </w:p>
                          <w:p w:rsidR="00352A95" w:rsidRDefault="006974A5">
                            <w:pPr>
                              <w:pStyle w:val="Zkladntext20"/>
                              <w:shd w:val="clear" w:color="auto" w:fill="auto"/>
                              <w:spacing w:line="324" w:lineRule="auto"/>
                              <w:ind w:firstLine="720"/>
                            </w:pPr>
                            <w:r>
                              <w:rPr>
                                <w:b w:val="0"/>
                                <w:bCs w:val="0"/>
                              </w:rPr>
                              <w:t>Město</w:t>
                            </w:r>
                          </w:p>
                        </w:txbxContent>
                      </wps:txbx>
                      <wps:bodyPr lIns="0" tIns="0" rIns="0" bIns="0"/>
                    </wps:wsp>
                  </a:graphicData>
                </a:graphic>
              </wp:anchor>
            </w:drawing>
          </mc:Choice>
          <mc:Fallback>
            <w:pict>
              <v:shape id="_x0000_s1041" type="#_x0000_t202" style="position:absolute;margin-left:68.900000000000006pt;margin-top:38.pt;width:246.5pt;height:41.5pt;z-index:-125829369;mso-wrap-distance-left:0;mso-wrap-distance-top:38.pt;mso-wrap-distance-right:0;mso-wrap-distance-bottom:71.799999999999997pt;mso-position-horizontal-relative:page" filled="f" stroked="f">
                <v:textbox inset="0,0,0,0">
                  <w:txbxContent>
                    <w:p>
                      <w:pPr>
                        <w:pStyle w:val="Style15"/>
                        <w:keepNext w:val="0"/>
                        <w:keepLines w:val="0"/>
                        <w:widowControl w:val="0"/>
                        <w:shd w:val="clear" w:color="auto" w:fill="auto"/>
                        <w:bidi w:val="0"/>
                        <w:spacing w:before="0" w:after="0" w:line="324" w:lineRule="auto"/>
                        <w:ind w:left="0" w:right="0" w:firstLine="0"/>
                        <w:jc w:val="left"/>
                      </w:pPr>
                      <w:r>
                        <w:rPr>
                          <w:color w:val="000000"/>
                          <w:spacing w:val="0"/>
                          <w:w w:val="100"/>
                          <w:position w:val="0"/>
                          <w:shd w:val="clear" w:color="auto" w:fill="auto"/>
                          <w:lang w:val="cs-CZ" w:eastAsia="cs-CZ" w:bidi="cs-CZ"/>
                        </w:rPr>
                        <w:t xml:space="preserve">Národní památkový ústav, státní příspěvková organizace </w:t>
                      </w:r>
                      <w:r>
                        <w:rPr>
                          <w:b w:val="0"/>
                          <w:bCs w:val="0"/>
                          <w:color w:val="000000"/>
                          <w:spacing w:val="0"/>
                          <w:w w:val="100"/>
                          <w:position w:val="0"/>
                          <w:shd w:val="clear" w:color="auto" w:fill="auto"/>
                          <w:lang w:val="cs-CZ" w:eastAsia="cs-CZ" w:bidi="cs-CZ"/>
                        </w:rPr>
                        <w:t>Sídlo: Ulice</w:t>
                      </w:r>
                    </w:p>
                    <w:p>
                      <w:pPr>
                        <w:pStyle w:val="Style15"/>
                        <w:keepNext w:val="0"/>
                        <w:keepLines w:val="0"/>
                        <w:widowControl w:val="0"/>
                        <w:shd w:val="clear" w:color="auto" w:fill="auto"/>
                        <w:bidi w:val="0"/>
                        <w:spacing w:before="0" w:after="0" w:line="324" w:lineRule="auto"/>
                        <w:ind w:left="0" w:right="0" w:firstLine="720"/>
                        <w:jc w:val="left"/>
                      </w:pPr>
                      <w:r>
                        <w:rPr>
                          <w:b w:val="0"/>
                          <w:bCs w:val="0"/>
                          <w:color w:val="000000"/>
                          <w:spacing w:val="0"/>
                          <w:w w:val="100"/>
                          <w:position w:val="0"/>
                          <w:shd w:val="clear" w:color="auto" w:fill="auto"/>
                          <w:lang w:val="cs-CZ" w:eastAsia="cs-CZ" w:bidi="cs-CZ"/>
                        </w:rPr>
                        <w:t>Město</w:t>
                      </w:r>
                    </w:p>
                  </w:txbxContent>
                </v:textbox>
                <w10:wrap type="topAndBottom" anchorx="page"/>
              </v:shape>
            </w:pict>
          </mc:Fallback>
        </mc:AlternateContent>
      </w:r>
      <w:r>
        <w:rPr>
          <w:noProof/>
          <w:lang w:bidi="ar-SA"/>
        </w:rPr>
        <mc:AlternateContent>
          <mc:Choice Requires="wps">
            <w:drawing>
              <wp:anchor distT="1012825" distB="31115" distL="0" distR="0" simplePos="0" relativeHeight="125829386" behindDoc="0" locked="0" layoutInCell="1" allowOverlap="1">
                <wp:simplePos x="0" y="0"/>
                <wp:positionH relativeFrom="page">
                  <wp:posOffset>871855</wp:posOffset>
                </wp:positionH>
                <wp:positionV relativeFrom="paragraph">
                  <wp:posOffset>1012825</wp:posOffset>
                </wp:positionV>
                <wp:extent cx="847090" cy="8775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47090" cy="877570"/>
                        </a:xfrm>
                        <a:prstGeom prst="rect">
                          <a:avLst/>
                        </a:prstGeom>
                        <a:noFill/>
                      </wps:spPr>
                      <wps:txbx>
                        <w:txbxContent>
                          <w:p w:rsidR="00352A95" w:rsidRDefault="006974A5">
                            <w:pPr>
                              <w:pStyle w:val="Zkladntext20"/>
                              <w:shd w:val="clear" w:color="auto" w:fill="auto"/>
                              <w:spacing w:after="60"/>
                            </w:pPr>
                            <w:r>
                              <w:rPr>
                                <w:b w:val="0"/>
                                <w:bCs w:val="0"/>
                              </w:rPr>
                              <w:t>IČ</w:t>
                            </w:r>
                          </w:p>
                          <w:p w:rsidR="00352A95" w:rsidRDefault="006974A5">
                            <w:pPr>
                              <w:pStyle w:val="Zkladntext20"/>
                              <w:shd w:val="clear" w:color="auto" w:fill="auto"/>
                              <w:spacing w:after="60"/>
                            </w:pPr>
                            <w:r>
                              <w:rPr>
                                <w:b w:val="0"/>
                                <w:bCs w:val="0"/>
                              </w:rPr>
                              <w:t>DIČ</w:t>
                            </w:r>
                          </w:p>
                          <w:p w:rsidR="00352A95" w:rsidRDefault="006974A5">
                            <w:pPr>
                              <w:pStyle w:val="Zkladntext20"/>
                              <w:shd w:val="clear" w:color="auto" w:fill="auto"/>
                              <w:spacing w:after="60"/>
                            </w:pPr>
                            <w:r>
                              <w:rPr>
                                <w:b w:val="0"/>
                                <w:bCs w:val="0"/>
                              </w:rPr>
                              <w:t>Spisová značka</w:t>
                            </w:r>
                          </w:p>
                          <w:p w:rsidR="00352A95" w:rsidRDefault="006974A5">
                            <w:pPr>
                              <w:pStyle w:val="Zkladntext20"/>
                              <w:shd w:val="clear" w:color="auto" w:fill="auto"/>
                              <w:spacing w:after="60"/>
                            </w:pPr>
                            <w:r>
                              <w:rPr>
                                <w:b w:val="0"/>
                                <w:bCs w:val="0"/>
                              </w:rPr>
                              <w:t>Zastoupená</w:t>
                            </w:r>
                          </w:p>
                          <w:p w:rsidR="00352A95" w:rsidRDefault="006974A5">
                            <w:pPr>
                              <w:pStyle w:val="Zkladntext1"/>
                              <w:shd w:val="clear" w:color="auto" w:fill="auto"/>
                              <w:spacing w:after="60" w:line="240" w:lineRule="auto"/>
                            </w:pPr>
                            <w:r>
                              <w:t>Registr smluv</w:t>
                            </w:r>
                          </w:p>
                        </w:txbxContent>
                      </wps:txbx>
                      <wps:bodyPr lIns="0" tIns="0" rIns="0" bIns="0"/>
                    </wps:wsp>
                  </a:graphicData>
                </a:graphic>
              </wp:anchor>
            </w:drawing>
          </mc:Choice>
          <mc:Fallback>
            <w:pict>
              <v:shape id="_x0000_s1043" type="#_x0000_t202" style="position:absolute;margin-left:68.650000000000006pt;margin-top:79.75pt;width:66.700000000000003pt;height:69.099999999999994pt;z-index:-125829367;mso-wrap-distance-left:0;mso-wrap-distance-top:79.75pt;mso-wrap-distance-right:0;mso-wrap-distance-bottom:2.4500000000000002pt;mso-position-horizontal-relative:page" filled="f" stroked="f">
                <v:textbox inset="0,0,0,0">
                  <w:txbxContent>
                    <w:p>
                      <w:pPr>
                        <w:pStyle w:val="Style15"/>
                        <w:keepNext w:val="0"/>
                        <w:keepLines w:val="0"/>
                        <w:widowControl w:val="0"/>
                        <w:shd w:val="clear" w:color="auto" w:fill="auto"/>
                        <w:bidi w:val="0"/>
                        <w:spacing w:before="0" w:after="60" w:line="240" w:lineRule="auto"/>
                        <w:ind w:left="0" w:right="0" w:firstLine="0"/>
                        <w:jc w:val="left"/>
                      </w:pPr>
                      <w:r>
                        <w:rPr>
                          <w:b w:val="0"/>
                          <w:bCs w:val="0"/>
                          <w:color w:val="000000"/>
                          <w:spacing w:val="0"/>
                          <w:w w:val="100"/>
                          <w:position w:val="0"/>
                          <w:shd w:val="clear" w:color="auto" w:fill="auto"/>
                          <w:lang w:val="cs-CZ" w:eastAsia="cs-CZ" w:bidi="cs-CZ"/>
                        </w:rPr>
                        <w:t>IČ</w:t>
                      </w:r>
                    </w:p>
                    <w:p>
                      <w:pPr>
                        <w:pStyle w:val="Style15"/>
                        <w:keepNext w:val="0"/>
                        <w:keepLines w:val="0"/>
                        <w:widowControl w:val="0"/>
                        <w:shd w:val="clear" w:color="auto" w:fill="auto"/>
                        <w:bidi w:val="0"/>
                        <w:spacing w:before="0" w:after="60" w:line="240" w:lineRule="auto"/>
                        <w:ind w:left="0" w:right="0" w:firstLine="0"/>
                        <w:jc w:val="left"/>
                      </w:pPr>
                      <w:r>
                        <w:rPr>
                          <w:b w:val="0"/>
                          <w:bCs w:val="0"/>
                          <w:color w:val="000000"/>
                          <w:spacing w:val="0"/>
                          <w:w w:val="100"/>
                          <w:position w:val="0"/>
                          <w:shd w:val="clear" w:color="auto" w:fill="auto"/>
                          <w:lang w:val="cs-CZ" w:eastAsia="cs-CZ" w:bidi="cs-CZ"/>
                        </w:rPr>
                        <w:t>DIČ</w:t>
                      </w:r>
                    </w:p>
                    <w:p>
                      <w:pPr>
                        <w:pStyle w:val="Style15"/>
                        <w:keepNext w:val="0"/>
                        <w:keepLines w:val="0"/>
                        <w:widowControl w:val="0"/>
                        <w:shd w:val="clear" w:color="auto" w:fill="auto"/>
                        <w:bidi w:val="0"/>
                        <w:spacing w:before="0" w:after="60" w:line="240" w:lineRule="auto"/>
                        <w:ind w:left="0" w:right="0" w:firstLine="0"/>
                        <w:jc w:val="left"/>
                      </w:pPr>
                      <w:r>
                        <w:rPr>
                          <w:b w:val="0"/>
                          <w:bCs w:val="0"/>
                          <w:color w:val="000000"/>
                          <w:spacing w:val="0"/>
                          <w:w w:val="100"/>
                          <w:position w:val="0"/>
                          <w:shd w:val="clear" w:color="auto" w:fill="auto"/>
                          <w:lang w:val="cs-CZ" w:eastAsia="cs-CZ" w:bidi="cs-CZ"/>
                        </w:rPr>
                        <w:t>Spisová značka</w:t>
                      </w:r>
                    </w:p>
                    <w:p>
                      <w:pPr>
                        <w:pStyle w:val="Style15"/>
                        <w:keepNext w:val="0"/>
                        <w:keepLines w:val="0"/>
                        <w:widowControl w:val="0"/>
                        <w:shd w:val="clear" w:color="auto" w:fill="auto"/>
                        <w:bidi w:val="0"/>
                        <w:spacing w:before="0" w:after="60" w:line="240" w:lineRule="auto"/>
                        <w:ind w:left="0" w:right="0" w:firstLine="0"/>
                        <w:jc w:val="left"/>
                      </w:pPr>
                      <w:r>
                        <w:rPr>
                          <w:b w:val="0"/>
                          <w:bCs w:val="0"/>
                          <w:color w:val="000000"/>
                          <w:spacing w:val="0"/>
                          <w:w w:val="100"/>
                          <w:position w:val="0"/>
                          <w:shd w:val="clear" w:color="auto" w:fill="auto"/>
                          <w:lang w:val="cs-CZ" w:eastAsia="cs-CZ" w:bidi="cs-CZ"/>
                        </w:rPr>
                        <w:t>Zastoupená</w:t>
                      </w:r>
                    </w:p>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Registr smluv</w:t>
                      </w:r>
                    </w:p>
                  </w:txbxContent>
                </v:textbox>
                <w10:wrap type="topAndBottom" anchorx="page"/>
              </v:shape>
            </w:pict>
          </mc:Fallback>
        </mc:AlternateContent>
      </w:r>
      <w:r>
        <w:rPr>
          <w:noProof/>
          <w:lang w:bidi="ar-SA"/>
        </w:rPr>
        <mc:AlternateContent>
          <mc:Choice Requires="wps">
            <w:drawing>
              <wp:anchor distT="659130" distB="635" distL="0" distR="0" simplePos="0" relativeHeight="125829388" behindDoc="0" locked="0" layoutInCell="1" allowOverlap="1">
                <wp:simplePos x="0" y="0"/>
                <wp:positionH relativeFrom="page">
                  <wp:posOffset>2764790</wp:posOffset>
                </wp:positionH>
                <wp:positionV relativeFrom="paragraph">
                  <wp:posOffset>659130</wp:posOffset>
                </wp:positionV>
                <wp:extent cx="3032760" cy="12617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032760" cy="1261745"/>
                        </a:xfrm>
                        <a:prstGeom prst="rect">
                          <a:avLst/>
                        </a:prstGeom>
                        <a:noFill/>
                      </wps:spPr>
                      <wps:txbx>
                        <w:txbxContent>
                          <w:p w:rsidR="00352A95" w:rsidRDefault="006974A5">
                            <w:pPr>
                              <w:pStyle w:val="Zkladntext20"/>
                              <w:shd w:val="clear" w:color="auto" w:fill="auto"/>
                              <w:spacing w:line="326" w:lineRule="auto"/>
                            </w:pPr>
                            <w:r>
                              <w:t>Valdštějnské náměstí 162/3 Praha 1 75032333</w:t>
                            </w:r>
                          </w:p>
                          <w:p w:rsidR="00352A95" w:rsidRDefault="006974A5">
                            <w:pPr>
                              <w:pStyle w:val="Zkladntext20"/>
                              <w:shd w:val="clear" w:color="auto" w:fill="auto"/>
                              <w:spacing w:line="326" w:lineRule="auto"/>
                            </w:pPr>
                            <w:r>
                              <w:t>CZ75032333</w:t>
                            </w:r>
                          </w:p>
                          <w:p w:rsidR="00352A95" w:rsidRDefault="006974A5">
                            <w:pPr>
                              <w:pStyle w:val="Zkladntext20"/>
                              <w:shd w:val="clear" w:color="auto" w:fill="auto"/>
                              <w:spacing w:line="326" w:lineRule="auto"/>
                            </w:pPr>
                            <w:r>
                              <w:t>ústřední vládní instituce</w:t>
                            </w:r>
                          </w:p>
                          <w:p w:rsidR="00352A95" w:rsidRDefault="006974A5">
                            <w:pPr>
                              <w:pStyle w:val="Zkladntext20"/>
                              <w:shd w:val="clear" w:color="auto" w:fill="auto"/>
                              <w:spacing w:line="295" w:lineRule="auto"/>
                              <w:rPr>
                                <w:sz w:val="22"/>
                                <w:szCs w:val="22"/>
                              </w:rPr>
                            </w:pPr>
                            <w:r>
                              <w:t xml:space="preserve">Ing. arch. Naděždou Goryczkovou, generální ředitelkou </w:t>
                            </w:r>
                            <w:r>
                              <w:rPr>
                                <w:rFonts w:ascii="Times New Roman" w:eastAsia="Times New Roman" w:hAnsi="Times New Roman" w:cs="Times New Roman"/>
                                <w:b w:val="0"/>
                                <w:bCs w:val="0"/>
                                <w:sz w:val="22"/>
                                <w:szCs w:val="22"/>
                              </w:rPr>
                              <w:t>ANO</w:t>
                            </w:r>
                          </w:p>
                        </w:txbxContent>
                      </wps:txbx>
                      <wps:bodyPr lIns="0" tIns="0" rIns="0" bIns="0"/>
                    </wps:wsp>
                  </a:graphicData>
                </a:graphic>
              </wp:anchor>
            </w:drawing>
          </mc:Choice>
          <mc:Fallback>
            <w:pict>
              <v:shape id="_x0000_s1045" type="#_x0000_t202" style="position:absolute;margin-left:217.69999999999999pt;margin-top:51.899999999999999pt;width:238.80000000000001pt;height:99.349999999999994pt;z-index:-125829365;mso-wrap-distance-left:0;mso-wrap-distance-top:51.899999999999999pt;mso-wrap-distance-right:0;mso-wrap-distance-bottom:5.0000000000000003e-002pt;mso-position-horizontal-relative:page" filled="f" stroked="f">
                <v:textbox inset="0,0,0,0">
                  <w:txbxContent>
                    <w:p>
                      <w:pPr>
                        <w:pStyle w:val="Style15"/>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Valdštějnské náměstí 162/3 Praha 1 75032333</w:t>
                      </w:r>
                    </w:p>
                    <w:p>
                      <w:pPr>
                        <w:pStyle w:val="Style15"/>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CZ75032333</w:t>
                      </w:r>
                    </w:p>
                    <w:p>
                      <w:pPr>
                        <w:pStyle w:val="Style15"/>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ústřední vládní instituce</w:t>
                      </w:r>
                    </w:p>
                    <w:p>
                      <w:pPr>
                        <w:pStyle w:val="Style15"/>
                        <w:keepNext w:val="0"/>
                        <w:keepLines w:val="0"/>
                        <w:widowControl w:val="0"/>
                        <w:shd w:val="clear" w:color="auto" w:fill="auto"/>
                        <w:bidi w:val="0"/>
                        <w:spacing w:before="0" w:after="0" w:line="295" w:lineRule="auto"/>
                        <w:ind w:left="0" w:right="0" w:firstLine="0"/>
                        <w:jc w:val="left"/>
                        <w:rPr>
                          <w:sz w:val="22"/>
                          <w:szCs w:val="22"/>
                        </w:rPr>
                      </w:pPr>
                      <w:r>
                        <w:rPr>
                          <w:color w:val="000000"/>
                          <w:spacing w:val="0"/>
                          <w:w w:val="100"/>
                          <w:position w:val="0"/>
                          <w:sz w:val="18"/>
                          <w:szCs w:val="18"/>
                          <w:shd w:val="clear" w:color="auto" w:fill="auto"/>
                          <w:lang w:val="cs-CZ" w:eastAsia="cs-CZ" w:bidi="cs-CZ"/>
                        </w:rPr>
                        <w:t xml:space="preserve">Ing. arch. Naděždou Goryczkovou, generální ředitelkou </w:t>
                      </w:r>
                      <w:r>
                        <w:rPr>
                          <w:rFonts w:ascii="Times New Roman" w:eastAsia="Times New Roman" w:hAnsi="Times New Roman" w:cs="Times New Roman"/>
                          <w:b w:val="0"/>
                          <w:bCs w:val="0"/>
                          <w:color w:val="000000"/>
                          <w:spacing w:val="0"/>
                          <w:w w:val="100"/>
                          <w:position w:val="0"/>
                          <w:sz w:val="22"/>
                          <w:szCs w:val="22"/>
                          <w:shd w:val="clear" w:color="auto" w:fill="auto"/>
                          <w:lang w:val="cs-CZ" w:eastAsia="cs-CZ" w:bidi="cs-CZ"/>
                        </w:rPr>
                        <w:t>ANO</w:t>
                      </w:r>
                    </w:p>
                  </w:txbxContent>
                </v:textbox>
                <w10:wrap type="topAndBottom" anchorx="page"/>
              </v:shape>
            </w:pict>
          </mc:Fallback>
        </mc:AlternateContent>
      </w:r>
      <w:r>
        <w:rPr>
          <w:noProof/>
          <w:lang w:bidi="ar-SA"/>
        </w:rPr>
        <mc:AlternateContent>
          <mc:Choice Requires="wps">
            <w:drawing>
              <wp:anchor distT="833120" distB="929640" distL="0" distR="0" simplePos="0" relativeHeight="125829390" behindDoc="0" locked="0" layoutInCell="1" allowOverlap="1">
                <wp:simplePos x="0" y="0"/>
                <wp:positionH relativeFrom="page">
                  <wp:posOffset>5376545</wp:posOffset>
                </wp:positionH>
                <wp:positionV relativeFrom="paragraph">
                  <wp:posOffset>833120</wp:posOffset>
                </wp:positionV>
                <wp:extent cx="277495" cy="1587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77495" cy="158750"/>
                        </a:xfrm>
                        <a:prstGeom prst="rect">
                          <a:avLst/>
                        </a:prstGeom>
                        <a:noFill/>
                      </wps:spPr>
                      <wps:txbx>
                        <w:txbxContent>
                          <w:p w:rsidR="00352A95" w:rsidRDefault="006974A5">
                            <w:pPr>
                              <w:pStyle w:val="Zkladntext20"/>
                              <w:shd w:val="clear" w:color="auto" w:fill="auto"/>
                            </w:pPr>
                            <w:r>
                              <w:rPr>
                                <w:b w:val="0"/>
                                <w:bCs w:val="0"/>
                              </w:rPr>
                              <w:t>PSČ</w:t>
                            </w:r>
                          </w:p>
                        </w:txbxContent>
                      </wps:txbx>
                      <wps:bodyPr wrap="none" lIns="0" tIns="0" rIns="0" bIns="0"/>
                    </wps:wsp>
                  </a:graphicData>
                </a:graphic>
              </wp:anchor>
            </w:drawing>
          </mc:Choice>
          <mc:Fallback>
            <w:pict>
              <v:shape id="_x0000_s1047" type="#_x0000_t202" style="position:absolute;margin-left:423.35000000000002pt;margin-top:65.599999999999994pt;width:21.850000000000001pt;height:12.5pt;z-index:-125829363;mso-wrap-distance-left:0;mso-wrap-distance-top:65.599999999999994pt;mso-wrap-distance-right:0;mso-wrap-distance-bottom:73.200000000000003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PSČ</w:t>
                      </w:r>
                    </w:p>
                  </w:txbxContent>
                </v:textbox>
                <w10:wrap type="topAndBottom" anchorx="page"/>
              </v:shape>
            </w:pict>
          </mc:Fallback>
        </mc:AlternateContent>
      </w:r>
      <w:r>
        <w:rPr>
          <w:noProof/>
          <w:lang w:bidi="ar-SA"/>
        </w:rPr>
        <mc:AlternateContent>
          <mc:Choice Requires="wps">
            <w:drawing>
              <wp:anchor distT="836295" distB="929640" distL="0" distR="0" simplePos="0" relativeHeight="125829392" behindDoc="0" locked="0" layoutInCell="1" allowOverlap="1">
                <wp:simplePos x="0" y="0"/>
                <wp:positionH relativeFrom="page">
                  <wp:posOffset>6275705</wp:posOffset>
                </wp:positionH>
                <wp:positionV relativeFrom="paragraph">
                  <wp:posOffset>836295</wp:posOffset>
                </wp:positionV>
                <wp:extent cx="393065" cy="1555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393065" cy="155575"/>
                        </a:xfrm>
                        <a:prstGeom prst="rect">
                          <a:avLst/>
                        </a:prstGeom>
                        <a:noFill/>
                      </wps:spPr>
                      <wps:txbx>
                        <w:txbxContent>
                          <w:p w:rsidR="00352A95" w:rsidRDefault="006974A5">
                            <w:pPr>
                              <w:pStyle w:val="Zkladntext20"/>
                              <w:shd w:val="clear" w:color="auto" w:fill="auto"/>
                            </w:pPr>
                            <w:r>
                              <w:t>118 01</w:t>
                            </w:r>
                          </w:p>
                        </w:txbxContent>
                      </wps:txbx>
                      <wps:bodyPr wrap="none" lIns="0" tIns="0" rIns="0" bIns="0"/>
                    </wps:wsp>
                  </a:graphicData>
                </a:graphic>
              </wp:anchor>
            </w:drawing>
          </mc:Choice>
          <mc:Fallback>
            <w:pict>
              <v:shape id="_x0000_s1049" type="#_x0000_t202" style="position:absolute;margin-left:494.14999999999998pt;margin-top:65.849999999999994pt;width:30.949999999999999pt;height:12.25pt;z-index:-125829361;mso-wrap-distance-left:0;mso-wrap-distance-top:65.849999999999994pt;mso-wrap-distance-right:0;mso-wrap-distance-bottom:73.200000000000003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118 01</w:t>
                      </w:r>
                    </w:p>
                  </w:txbxContent>
                </v:textbox>
                <w10:wrap type="topAndBottom" anchorx="page"/>
              </v:shape>
            </w:pict>
          </mc:Fallback>
        </mc:AlternateContent>
      </w:r>
    </w:p>
    <w:p w:rsidR="00352A95" w:rsidRDefault="006974A5">
      <w:pPr>
        <w:pStyle w:val="Zkladntext1"/>
        <w:shd w:val="clear" w:color="auto" w:fill="auto"/>
        <w:spacing w:after="300" w:line="240" w:lineRule="auto"/>
      </w:pPr>
      <w:r>
        <w:lastRenderedPageBreak/>
        <w:t>(dále jen „</w:t>
      </w:r>
      <w:r>
        <w:rPr>
          <w:b/>
          <w:bCs/>
        </w:rPr>
        <w:t>Smluvní partner</w:t>
      </w:r>
      <w:r>
        <w:t>“ nebo také „</w:t>
      </w:r>
      <w:r>
        <w:rPr>
          <w:b/>
          <w:bCs/>
        </w:rPr>
        <w:t>zadavatel</w:t>
      </w:r>
      <w:r>
        <w:t>“ nebo také „</w:t>
      </w:r>
      <w:r>
        <w:rPr>
          <w:b/>
          <w:bCs/>
        </w:rPr>
        <w:t>objednatel</w:t>
      </w:r>
      <w:r>
        <w:t>“ nebo také „</w:t>
      </w:r>
      <w:r>
        <w:rPr>
          <w:b/>
          <w:bCs/>
        </w:rPr>
        <w:t>NPÚ</w:t>
      </w:r>
      <w:r>
        <w:t>“)</w:t>
      </w:r>
    </w:p>
    <w:p w:rsidR="00352A95" w:rsidRDefault="006974A5">
      <w:pPr>
        <w:pStyle w:val="Zkladntext1"/>
        <w:shd w:val="clear" w:color="auto" w:fill="auto"/>
        <w:spacing w:after="300" w:line="240" w:lineRule="auto"/>
      </w:pPr>
      <w:r>
        <w:t>Dodavatel a Smluvní partner dohromady dále také jako „</w:t>
      </w:r>
      <w:r>
        <w:rPr>
          <w:b/>
          <w:bCs/>
        </w:rPr>
        <w:t>Smluvní strany</w:t>
      </w:r>
      <w:r>
        <w:t>“).</w:t>
      </w:r>
    </w:p>
    <w:p w:rsidR="00352A95" w:rsidRDefault="006974A5">
      <w:pPr>
        <w:pStyle w:val="Zkladntext1"/>
        <w:shd w:val="clear" w:color="auto" w:fill="auto"/>
        <w:spacing w:after="840" w:line="264" w:lineRule="auto"/>
        <w:jc w:val="center"/>
      </w:pPr>
      <w:r>
        <w:t>uzavírají v souladu s ustanovením § 1746 odst. 2 zákona č. 89/2012 Sb., občanský zákoník, (dále jen</w:t>
      </w:r>
      <w:r>
        <w:br/>
        <w:t>„</w:t>
      </w:r>
      <w:r>
        <w:rPr>
          <w:b/>
          <w:bCs/>
        </w:rPr>
        <w:t>občanský zákoník</w:t>
      </w:r>
      <w:r>
        <w:t>“) tuto</w:t>
      </w:r>
    </w:p>
    <w:p w:rsidR="00352A95" w:rsidRDefault="006974A5">
      <w:pPr>
        <w:pStyle w:val="Zkladntext1"/>
        <w:shd w:val="clear" w:color="auto" w:fill="auto"/>
        <w:spacing w:after="0" w:line="269" w:lineRule="auto"/>
        <w:jc w:val="center"/>
      </w:pPr>
      <w:r>
        <w:rPr>
          <w:b/>
          <w:bCs/>
        </w:rPr>
        <w:t xml:space="preserve">Smlouvu </w:t>
      </w:r>
      <w:r>
        <w:rPr>
          <w:b/>
          <w:bCs/>
        </w:rPr>
        <w:t>o zajištění SW produktů Microsoft</w:t>
      </w:r>
      <w:r>
        <w:rPr>
          <w:b/>
          <w:bCs/>
        </w:rPr>
        <w:br/>
      </w:r>
      <w:r>
        <w:t>(dále jen „</w:t>
      </w:r>
      <w:r>
        <w:rPr>
          <w:b/>
          <w:bCs/>
        </w:rPr>
        <w:t>Smlouva</w:t>
      </w:r>
      <w:r>
        <w:t>“)</w:t>
      </w: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C81BFA" w:rsidRDefault="00C81BFA">
      <w:pPr>
        <w:pStyle w:val="Zkladntext1"/>
        <w:shd w:val="clear" w:color="auto" w:fill="auto"/>
        <w:spacing w:after="0" w:line="269" w:lineRule="auto"/>
        <w:jc w:val="center"/>
      </w:pPr>
    </w:p>
    <w:p w:rsidR="00352A95" w:rsidRDefault="006974A5">
      <w:pPr>
        <w:jc w:val="center"/>
        <w:rPr>
          <w:sz w:val="2"/>
          <w:szCs w:val="2"/>
        </w:rPr>
      </w:pPr>
      <w:r>
        <w:rPr>
          <w:noProof/>
          <w:lang w:bidi="ar-SA"/>
        </w:rPr>
        <w:lastRenderedPageBreak/>
        <w:drawing>
          <wp:inline distT="0" distB="0" distL="0" distR="0">
            <wp:extent cx="6577330" cy="63373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pic:blipFill>
                  <pic:spPr>
                    <a:xfrm>
                      <a:off x="0" y="0"/>
                      <a:ext cx="6577330" cy="633730"/>
                    </a:xfrm>
                    <a:prstGeom prst="rect">
                      <a:avLst/>
                    </a:prstGeom>
                  </pic:spPr>
                </pic:pic>
              </a:graphicData>
            </a:graphic>
          </wp:inline>
        </w:drawing>
      </w:r>
    </w:p>
    <w:p w:rsidR="00352A95" w:rsidRDefault="006974A5">
      <w:pPr>
        <w:pStyle w:val="Titulekobrzku0"/>
        <w:shd w:val="clear" w:color="auto" w:fill="auto"/>
        <w:ind w:left="4286"/>
      </w:pPr>
      <w:r>
        <w:rPr>
          <w:b/>
          <w:bCs/>
        </w:rPr>
        <w:t>Úvodní ustanovení</w:t>
      </w:r>
    </w:p>
    <w:p w:rsidR="00352A95" w:rsidRDefault="00352A95">
      <w:pPr>
        <w:spacing w:after="439" w:line="1" w:lineRule="exact"/>
      </w:pPr>
    </w:p>
    <w:p w:rsidR="00352A95" w:rsidRDefault="006974A5">
      <w:pPr>
        <w:pStyle w:val="Zkladntext1"/>
        <w:shd w:val="clear" w:color="auto" w:fill="auto"/>
        <w:spacing w:line="360" w:lineRule="auto"/>
        <w:jc w:val="both"/>
      </w:pPr>
      <w:r>
        <w:t>Smluvní partner zahájil výběrové řízení na veřejnou zakázku malého rozsahu s názvem „DODÁVKA SOFTWARE LICENCÍ SELECTPLUS EDU PRO GENERÁLNÍ ŘEDITELSTVÍ NPÚ“ (dále také jen „Zakázka“</w:t>
      </w:r>
      <w:r>
        <w:t>).</w:t>
      </w:r>
    </w:p>
    <w:p w:rsidR="00352A95" w:rsidRDefault="006974A5">
      <w:pPr>
        <w:pStyle w:val="Zkladntext1"/>
        <w:shd w:val="clear" w:color="auto" w:fill="auto"/>
        <w:spacing w:line="360" w:lineRule="auto"/>
        <w:jc w:val="both"/>
      </w:pPr>
      <w:r>
        <w:t>Na základě oznámení Smluvního partnera o výběru nejvhodnější nabídky č.j. NPU-310/105742/2022 ze dne 19.12.2022 se Smluvní strany dohodly níže uvedeného dne na uzavření této Smlouvy.</w:t>
      </w:r>
    </w:p>
    <w:p w:rsidR="00352A95" w:rsidRDefault="006974A5">
      <w:pPr>
        <w:pStyle w:val="Zkladntext1"/>
        <w:shd w:val="clear" w:color="auto" w:fill="auto"/>
        <w:spacing w:line="264" w:lineRule="auto"/>
        <w:jc w:val="both"/>
      </w:pPr>
      <w:r>
        <w:t>Každá ze Smluvních stran prohlašuje, že splňuje veškeré podmínky a pož</w:t>
      </w:r>
      <w:r>
        <w:t>adavky v této Smlouvě stanovené a je oprávněna tuto Smlouvu uzavřít, že není v úpadku ani v likvidaci a nebylo vůči ní zahájeno insolvenční ani trestní řízení.</w:t>
      </w:r>
    </w:p>
    <w:p w:rsidR="00352A95" w:rsidRDefault="006974A5">
      <w:pPr>
        <w:pStyle w:val="Zkladntext1"/>
        <w:shd w:val="clear" w:color="auto" w:fill="auto"/>
        <w:spacing w:after="1020" w:line="266" w:lineRule="auto"/>
        <w:jc w:val="both"/>
      </w:pPr>
      <w:r>
        <w:t>Dodavatel prohlašuje, že je oprávněným prodejcem (dále také „</w:t>
      </w:r>
      <w:r>
        <w:rPr>
          <w:b/>
          <w:bCs/>
        </w:rPr>
        <w:t>LSP</w:t>
      </w:r>
      <w:r>
        <w:t xml:space="preserve">“) SW produktů společnosti </w:t>
      </w:r>
      <w:r>
        <w:t>Microsoft Ireland Operations Limited, se sídlem Atrium Building Block B, Carmenhall Road, Sandyford Industrial Estate, Dublin 18, Irsko (Microsoft Ireland Operations Limited a osoby s ní propojené dále jen „</w:t>
      </w:r>
      <w:r>
        <w:rPr>
          <w:b/>
          <w:bCs/>
        </w:rPr>
        <w:t>Microsoft</w:t>
      </w:r>
      <w:r>
        <w:t>“).</w:t>
      </w:r>
    </w:p>
    <w:p w:rsidR="00352A95" w:rsidRDefault="006974A5">
      <w:pPr>
        <w:pStyle w:val="Nadpis20"/>
        <w:keepNext/>
        <w:keepLines/>
        <w:shd w:val="clear" w:color="auto" w:fill="auto"/>
        <w:jc w:val="both"/>
      </w:pPr>
      <w:bookmarkStart w:id="2" w:name="bookmark2"/>
      <w:bookmarkStart w:id="3" w:name="bookmark3"/>
      <w:r>
        <w:t>1. Účel Smlouvy</w:t>
      </w:r>
      <w:bookmarkEnd w:id="2"/>
      <w:bookmarkEnd w:id="3"/>
    </w:p>
    <w:p w:rsidR="00352A95" w:rsidRDefault="006974A5">
      <w:pPr>
        <w:pStyle w:val="Zkladntext1"/>
        <w:numPr>
          <w:ilvl w:val="0"/>
          <w:numId w:val="1"/>
        </w:numPr>
        <w:shd w:val="clear" w:color="auto" w:fill="auto"/>
        <w:tabs>
          <w:tab w:val="left" w:pos="566"/>
        </w:tabs>
        <w:ind w:left="560" w:hanging="560"/>
        <w:jc w:val="both"/>
      </w:pPr>
      <w:r>
        <w:t xml:space="preserve">Účelem této Smlouvy </w:t>
      </w:r>
      <w:r>
        <w:t>je úprava poskytování níže specifikovaného Plnění ze strany Dodavatele Smluvnímu partnerovi, a to v rámci programu Microsoft Select Plus případně jiného obdobného programu společnosti Microsoft (dále jen „</w:t>
      </w:r>
      <w:r>
        <w:rPr>
          <w:b/>
          <w:bCs/>
        </w:rPr>
        <w:t>Program</w:t>
      </w:r>
      <w:r>
        <w:t>“), jehož právní rámec je zakotven ve smlouv</w:t>
      </w:r>
      <w:r>
        <w:t>ách definovaných v následujícím odstavci.</w:t>
      </w:r>
    </w:p>
    <w:p w:rsidR="00352A95" w:rsidRDefault="006974A5">
      <w:pPr>
        <w:pStyle w:val="Zkladntext1"/>
        <w:numPr>
          <w:ilvl w:val="0"/>
          <w:numId w:val="1"/>
        </w:numPr>
        <w:shd w:val="clear" w:color="auto" w:fill="auto"/>
        <w:tabs>
          <w:tab w:val="left" w:pos="566"/>
        </w:tabs>
        <w:spacing w:line="264" w:lineRule="auto"/>
        <w:ind w:left="560" w:hanging="560"/>
        <w:jc w:val="both"/>
      </w:pPr>
      <w:r>
        <w:t xml:space="preserve">Předmět této Smlouvy je dále vymezen nabídkou Dodavatele, předloženou Dodavatelem jako účastníkem zadávacího řízení uvedené Zakázky Smluvního partnera podle příslušných ustanovení ZZVZ dne 8. 12. 2022 (dále jen </w:t>
      </w:r>
      <w:r>
        <w:t>Nabídka). Uvedená Nabídka je přiložena k této Smlouvě, přičemž předmětem plnění Dodavatele se pro účely této Smlouvy rozumí souhrn všech výkonů, dodávek a služeb, jak je vymezuje výše uvedená Nabídka.</w:t>
      </w:r>
    </w:p>
    <w:p w:rsidR="00352A95" w:rsidRDefault="006974A5">
      <w:pPr>
        <w:pStyle w:val="Zkladntext1"/>
        <w:numPr>
          <w:ilvl w:val="0"/>
          <w:numId w:val="1"/>
        </w:numPr>
        <w:shd w:val="clear" w:color="auto" w:fill="auto"/>
        <w:tabs>
          <w:tab w:val="left" w:pos="566"/>
        </w:tabs>
        <w:spacing w:line="259" w:lineRule="auto"/>
        <w:ind w:left="560" w:hanging="560"/>
        <w:jc w:val="both"/>
      </w:pPr>
      <w:r>
        <w:t>Plnění bude poskytováno rovněž za podmínek vymezených v</w:t>
      </w:r>
      <w:r>
        <w:t xml:space="preserve"> následujících smlouvách, které tvoří právní rámec Programu: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47"/>
        <w:gridCol w:w="2347"/>
        <w:gridCol w:w="2083"/>
      </w:tblGrid>
      <w:tr w:rsidR="00352A95">
        <w:tblPrEx>
          <w:tblCellMar>
            <w:top w:w="0" w:type="dxa"/>
            <w:bottom w:w="0" w:type="dxa"/>
          </w:tblCellMar>
        </w:tblPrEx>
        <w:trPr>
          <w:trHeight w:hRule="exact" w:val="576"/>
          <w:jc w:val="center"/>
        </w:trPr>
        <w:tc>
          <w:tcPr>
            <w:tcW w:w="2347" w:type="dxa"/>
            <w:tcBorders>
              <w:top w:val="single" w:sz="4" w:space="0" w:color="auto"/>
              <w:left w:val="single" w:sz="4" w:space="0" w:color="auto"/>
            </w:tcBorders>
            <w:shd w:val="clear" w:color="auto" w:fill="D9D9D9"/>
            <w:vAlign w:val="bottom"/>
          </w:tcPr>
          <w:p w:rsidR="00352A95" w:rsidRDefault="006974A5">
            <w:pPr>
              <w:pStyle w:val="Jin0"/>
              <w:shd w:val="clear" w:color="auto" w:fill="auto"/>
              <w:spacing w:after="0" w:line="264" w:lineRule="auto"/>
              <w:jc w:val="center"/>
            </w:pPr>
            <w:r>
              <w:rPr>
                <w:b/>
                <w:bCs/>
              </w:rPr>
              <w:t>Název smlouvy Microsoft:</w:t>
            </w:r>
          </w:p>
        </w:tc>
        <w:tc>
          <w:tcPr>
            <w:tcW w:w="2347" w:type="dxa"/>
            <w:tcBorders>
              <w:top w:val="single" w:sz="4" w:space="0" w:color="auto"/>
              <w:left w:val="single" w:sz="4" w:space="0" w:color="auto"/>
            </w:tcBorders>
            <w:shd w:val="clear" w:color="auto" w:fill="D9D9D9"/>
            <w:vAlign w:val="bottom"/>
          </w:tcPr>
          <w:p w:rsidR="00352A95" w:rsidRDefault="006974A5">
            <w:pPr>
              <w:pStyle w:val="Jin0"/>
              <w:shd w:val="clear" w:color="auto" w:fill="auto"/>
              <w:spacing w:after="0" w:line="264" w:lineRule="auto"/>
              <w:jc w:val="center"/>
            </w:pPr>
            <w:r>
              <w:rPr>
                <w:b/>
                <w:bCs/>
              </w:rPr>
              <w:t>Číslo smlouvy Microsoft:</w:t>
            </w:r>
          </w:p>
        </w:tc>
        <w:tc>
          <w:tcPr>
            <w:tcW w:w="2083" w:type="dxa"/>
            <w:tcBorders>
              <w:top w:val="single" w:sz="4" w:space="0" w:color="auto"/>
              <w:left w:val="single" w:sz="4" w:space="0" w:color="auto"/>
              <w:right w:val="single" w:sz="4" w:space="0" w:color="auto"/>
            </w:tcBorders>
            <w:shd w:val="clear" w:color="auto" w:fill="D9D9D9"/>
            <w:vAlign w:val="bottom"/>
          </w:tcPr>
          <w:p w:rsidR="00352A95" w:rsidRDefault="006974A5">
            <w:pPr>
              <w:pStyle w:val="Jin0"/>
              <w:shd w:val="clear" w:color="auto" w:fill="auto"/>
              <w:spacing w:after="0" w:line="240" w:lineRule="auto"/>
              <w:jc w:val="center"/>
            </w:pPr>
            <w:r>
              <w:rPr>
                <w:b/>
                <w:bCs/>
              </w:rPr>
              <w:t>PCN</w:t>
            </w:r>
          </w:p>
        </w:tc>
      </w:tr>
      <w:tr w:rsidR="00352A95">
        <w:tblPrEx>
          <w:tblCellMar>
            <w:top w:w="0" w:type="dxa"/>
            <w:bottom w:w="0" w:type="dxa"/>
          </w:tblCellMar>
        </w:tblPrEx>
        <w:trPr>
          <w:trHeight w:hRule="exact" w:val="302"/>
          <w:jc w:val="center"/>
        </w:trPr>
        <w:tc>
          <w:tcPr>
            <w:tcW w:w="2347" w:type="dxa"/>
            <w:tcBorders>
              <w:top w:val="single" w:sz="4" w:space="0" w:color="auto"/>
              <w:left w:val="single" w:sz="4" w:space="0" w:color="auto"/>
              <w:bottom w:val="single" w:sz="4" w:space="0" w:color="auto"/>
            </w:tcBorders>
            <w:shd w:val="clear" w:color="auto" w:fill="FFFFFF"/>
            <w:vAlign w:val="bottom"/>
          </w:tcPr>
          <w:p w:rsidR="00352A95" w:rsidRDefault="006974A5">
            <w:pPr>
              <w:pStyle w:val="Jin0"/>
              <w:shd w:val="clear" w:color="auto" w:fill="auto"/>
              <w:spacing w:after="0" w:line="240" w:lineRule="auto"/>
              <w:jc w:val="center"/>
            </w:pPr>
            <w:r>
              <w:rPr>
                <w:lang w:val="en-US" w:eastAsia="en-US" w:bidi="en-US"/>
              </w:rPr>
              <w:t xml:space="preserve">Select </w:t>
            </w:r>
            <w:r>
              <w:t>Plus</w:t>
            </w:r>
          </w:p>
        </w:tc>
        <w:tc>
          <w:tcPr>
            <w:tcW w:w="2347" w:type="dxa"/>
            <w:tcBorders>
              <w:top w:val="single" w:sz="4" w:space="0" w:color="auto"/>
              <w:left w:val="single" w:sz="4" w:space="0" w:color="auto"/>
              <w:bottom w:val="single" w:sz="4" w:space="0" w:color="auto"/>
            </w:tcBorders>
            <w:shd w:val="clear" w:color="auto" w:fill="FFFFFF"/>
            <w:vAlign w:val="bottom"/>
          </w:tcPr>
          <w:p w:rsidR="00352A95" w:rsidRDefault="006974A5">
            <w:pPr>
              <w:pStyle w:val="Jin0"/>
              <w:shd w:val="clear" w:color="auto" w:fill="auto"/>
              <w:spacing w:after="0" w:line="240" w:lineRule="auto"/>
              <w:jc w:val="center"/>
            </w:pPr>
            <w:r>
              <w:rPr>
                <w:rFonts w:ascii="Arial" w:eastAsia="Arial" w:hAnsi="Arial" w:cs="Arial"/>
                <w:color w:val="0563C1"/>
              </w:rPr>
              <w:t>S3218781</w:t>
            </w:r>
          </w:p>
        </w:tc>
        <w:tc>
          <w:tcPr>
            <w:tcW w:w="2083" w:type="dxa"/>
            <w:tcBorders>
              <w:top w:val="single" w:sz="4" w:space="0" w:color="auto"/>
              <w:left w:val="single" w:sz="4" w:space="0" w:color="auto"/>
              <w:bottom w:val="single" w:sz="4" w:space="0" w:color="auto"/>
              <w:right w:val="single" w:sz="4" w:space="0" w:color="auto"/>
            </w:tcBorders>
            <w:shd w:val="clear" w:color="auto" w:fill="FFFFFF"/>
            <w:vAlign w:val="bottom"/>
          </w:tcPr>
          <w:p w:rsidR="00352A95" w:rsidRDefault="006974A5">
            <w:pPr>
              <w:pStyle w:val="Jin0"/>
              <w:shd w:val="clear" w:color="auto" w:fill="auto"/>
              <w:spacing w:after="0" w:line="240" w:lineRule="auto"/>
              <w:jc w:val="center"/>
            </w:pPr>
            <w:r>
              <w:rPr>
                <w:rFonts w:ascii="Arial" w:eastAsia="Arial" w:hAnsi="Arial" w:cs="Arial"/>
              </w:rPr>
              <w:t>A13B51FB</w:t>
            </w:r>
          </w:p>
        </w:tc>
      </w:tr>
    </w:tbl>
    <w:p w:rsidR="00352A95" w:rsidRDefault="006974A5">
      <w:pPr>
        <w:pStyle w:val="Titulektabulky0"/>
        <w:shd w:val="clear" w:color="auto" w:fill="auto"/>
      </w:pPr>
      <w:r>
        <w:t>(uvedené smlouvy dále jen „</w:t>
      </w:r>
      <w:r>
        <w:rPr>
          <w:b/>
          <w:bCs/>
        </w:rPr>
        <w:t>Smlouvy Microsoft</w:t>
      </w:r>
      <w:r>
        <w:t>“).</w:t>
      </w:r>
    </w:p>
    <w:p w:rsidR="00352A95" w:rsidRDefault="00352A95">
      <w:pPr>
        <w:spacing w:after="99" w:line="1" w:lineRule="exact"/>
      </w:pPr>
    </w:p>
    <w:p w:rsidR="00352A95" w:rsidRDefault="006974A5">
      <w:pPr>
        <w:pStyle w:val="Zkladntext1"/>
        <w:numPr>
          <w:ilvl w:val="0"/>
          <w:numId w:val="1"/>
        </w:numPr>
        <w:shd w:val="clear" w:color="auto" w:fill="auto"/>
        <w:tabs>
          <w:tab w:val="left" w:pos="566"/>
        </w:tabs>
        <w:spacing w:line="259" w:lineRule="auto"/>
        <w:ind w:left="560" w:hanging="560"/>
        <w:jc w:val="both"/>
      </w:pPr>
      <w:r>
        <w:t xml:space="preserve">Nestanoví-li tato Smlouva výslovně jinak, řídí se veškeré </w:t>
      </w:r>
      <w:r>
        <w:t>vztahy mezi smluvními stranami a veškerá práva a povinnosti z této Smlouvy ustanoveními Smluv Microsoft vztahujícími se k poskytování Plnění, a to vždy v jejich aktuálně účinném znění.</w:t>
      </w:r>
    </w:p>
    <w:p w:rsidR="00352A95" w:rsidRDefault="006974A5">
      <w:pPr>
        <w:pStyle w:val="Zkladntext1"/>
        <w:numPr>
          <w:ilvl w:val="0"/>
          <w:numId w:val="1"/>
        </w:numPr>
        <w:shd w:val="clear" w:color="auto" w:fill="auto"/>
        <w:tabs>
          <w:tab w:val="left" w:pos="566"/>
        </w:tabs>
        <w:ind w:left="560" w:hanging="560"/>
        <w:jc w:val="both"/>
      </w:pPr>
      <w:r>
        <w:t>Tato Smlouva je uzavřena na základě veřejné zakázky s názvem „Dodávka s</w:t>
      </w:r>
      <w:r>
        <w:t>oftware licencí SelectPlus EDU pro generální ředitelství NPÚ“, zaregistrované prostřednictvím Národního elektronického nástroje pod ID: N006/22/V00031996 (dále také jen „Zakázka“). Smluvní strany se dohodly, že součást smluvních ujednání tvoří rovněž zadáv</w:t>
      </w:r>
      <w:r>
        <w:t>ací dokumentace k veřejné zakázce a nabídka dodavatele podaná v rámci této veřejné zakázky.</w:t>
      </w: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352A95" w:rsidRDefault="006974A5">
      <w:pPr>
        <w:jc w:val="center"/>
        <w:rPr>
          <w:sz w:val="2"/>
          <w:szCs w:val="2"/>
        </w:rPr>
      </w:pPr>
      <w:r>
        <w:rPr>
          <w:noProof/>
          <w:lang w:bidi="ar-SA"/>
        </w:rPr>
        <w:lastRenderedPageBreak/>
        <w:drawing>
          <wp:inline distT="0" distB="0" distL="0" distR="0">
            <wp:extent cx="6577330" cy="63373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pic:blipFill>
                  <pic:spPr>
                    <a:xfrm>
                      <a:off x="0" y="0"/>
                      <a:ext cx="6577330" cy="633730"/>
                    </a:xfrm>
                    <a:prstGeom prst="rect">
                      <a:avLst/>
                    </a:prstGeom>
                  </pic:spPr>
                </pic:pic>
              </a:graphicData>
            </a:graphic>
          </wp:inline>
        </w:drawing>
      </w:r>
    </w:p>
    <w:p w:rsidR="00352A95" w:rsidRDefault="006974A5">
      <w:pPr>
        <w:pStyle w:val="Titulekobrzku0"/>
        <w:shd w:val="clear" w:color="auto" w:fill="auto"/>
        <w:ind w:left="624"/>
      </w:pPr>
      <w:r>
        <w:rPr>
          <w:b/>
          <w:bCs/>
        </w:rPr>
        <w:t>2. Předmět Smlouvy</w:t>
      </w:r>
    </w:p>
    <w:p w:rsidR="00352A95" w:rsidRDefault="00352A95">
      <w:pPr>
        <w:spacing w:after="119" w:line="1" w:lineRule="exact"/>
      </w:pPr>
    </w:p>
    <w:p w:rsidR="00352A95" w:rsidRDefault="006974A5">
      <w:pPr>
        <w:pStyle w:val="Zkladntext1"/>
        <w:numPr>
          <w:ilvl w:val="0"/>
          <w:numId w:val="2"/>
        </w:numPr>
        <w:shd w:val="clear" w:color="auto" w:fill="auto"/>
        <w:tabs>
          <w:tab w:val="left" w:pos="565"/>
        </w:tabs>
        <w:spacing w:after="120" w:line="257" w:lineRule="auto"/>
        <w:ind w:left="560" w:hanging="560"/>
        <w:jc w:val="both"/>
      </w:pPr>
      <w:r>
        <w:t xml:space="preserve">Předmětem plnění dle této Smlouvy je závazek Dodavatele (poskytovatele) k řádnému zajištění licencí dle specifikace uvedené v příloze č. 1 </w:t>
      </w:r>
      <w:r>
        <w:t>této Smlouvy (dále jen „Plnění“) a závazek NPÚ uhradit Cenu za zajištění a dodání Licence Microsoft.</w:t>
      </w:r>
    </w:p>
    <w:p w:rsidR="00352A95" w:rsidRDefault="006974A5">
      <w:pPr>
        <w:pStyle w:val="Zkladntext1"/>
        <w:numPr>
          <w:ilvl w:val="0"/>
          <w:numId w:val="2"/>
        </w:numPr>
        <w:shd w:val="clear" w:color="auto" w:fill="auto"/>
        <w:tabs>
          <w:tab w:val="left" w:pos="565"/>
        </w:tabs>
        <w:spacing w:after="120" w:line="240" w:lineRule="auto"/>
      </w:pPr>
      <w:r>
        <w:t>Dodavatel se na základě této Smlouvy zavazuje:</w:t>
      </w:r>
    </w:p>
    <w:p w:rsidR="00352A95" w:rsidRDefault="006974A5">
      <w:pPr>
        <w:pStyle w:val="Zkladntext1"/>
        <w:numPr>
          <w:ilvl w:val="0"/>
          <w:numId w:val="3"/>
        </w:numPr>
        <w:shd w:val="clear" w:color="auto" w:fill="auto"/>
        <w:tabs>
          <w:tab w:val="left" w:pos="1300"/>
        </w:tabs>
        <w:spacing w:after="120" w:line="266" w:lineRule="auto"/>
        <w:ind w:left="1280" w:hanging="700"/>
      </w:pPr>
      <w:r>
        <w:t>zajistit Smluvnímu partnerovi poskytnutí práva užití (dále jen „</w:t>
      </w:r>
      <w:r>
        <w:rPr>
          <w:b/>
          <w:bCs/>
        </w:rPr>
        <w:t>Licence</w:t>
      </w:r>
      <w:r>
        <w:t xml:space="preserve">“) k softwarovým produktům </w:t>
      </w:r>
      <w:r>
        <w:t>společnosti Microsoft specifikovaným v Příloze č.1 této Smlouvy (dále jen „</w:t>
      </w:r>
      <w:r>
        <w:rPr>
          <w:b/>
          <w:bCs/>
        </w:rPr>
        <w:t>Software</w:t>
      </w:r>
      <w:r>
        <w:t>“);</w:t>
      </w:r>
    </w:p>
    <w:p w:rsidR="00352A95" w:rsidRDefault="006974A5">
      <w:pPr>
        <w:pStyle w:val="Zkladntext1"/>
        <w:numPr>
          <w:ilvl w:val="0"/>
          <w:numId w:val="2"/>
        </w:numPr>
        <w:shd w:val="clear" w:color="auto" w:fill="auto"/>
        <w:tabs>
          <w:tab w:val="left" w:pos="565"/>
        </w:tabs>
        <w:spacing w:after="120" w:line="259" w:lineRule="auto"/>
        <w:ind w:left="560" w:hanging="560"/>
        <w:jc w:val="both"/>
      </w:pPr>
      <w:r>
        <w:t xml:space="preserve">Bez ohledu na ostatní ustanovení Smlouvy se Smluvní strany dohodly, že Plnění dle této Smlouvy může být poskytováno pouze ve vztahu k takové Smlouvě Microsoft, která je </w:t>
      </w:r>
      <w:r>
        <w:t>v té době účinná a platná.</w:t>
      </w:r>
    </w:p>
    <w:p w:rsidR="00352A95" w:rsidRDefault="006974A5">
      <w:pPr>
        <w:pStyle w:val="Zkladntext1"/>
        <w:numPr>
          <w:ilvl w:val="0"/>
          <w:numId w:val="2"/>
        </w:numPr>
        <w:shd w:val="clear" w:color="auto" w:fill="auto"/>
        <w:tabs>
          <w:tab w:val="left" w:pos="565"/>
        </w:tabs>
        <w:spacing w:after="240"/>
        <w:ind w:left="560" w:hanging="560"/>
        <w:jc w:val="both"/>
      </w:pPr>
      <w:r>
        <w:t>Smluvní partner se za Plnění zavazuje uhradit cenu ve výši a za podmínek stanovených v této Smlouvě. Smluvní partner se rovněž zavazuje poskytnout Dodavateli veškerou součinnost potřebnou pro řádné poskytování Plnění dle této Sml</w:t>
      </w:r>
      <w:r>
        <w:t>ouvy, zejm. uzavřít příslušná licenční ujednání či jiné formuláře a dokumenty se společností Microsoft.</w:t>
      </w:r>
    </w:p>
    <w:p w:rsidR="00352A95" w:rsidRDefault="006974A5">
      <w:pPr>
        <w:pStyle w:val="Nadpis20"/>
        <w:keepNext/>
        <w:keepLines/>
        <w:numPr>
          <w:ilvl w:val="0"/>
          <w:numId w:val="4"/>
        </w:numPr>
        <w:shd w:val="clear" w:color="auto" w:fill="auto"/>
        <w:tabs>
          <w:tab w:val="left" w:pos="360"/>
        </w:tabs>
        <w:spacing w:after="120"/>
      </w:pPr>
      <w:bookmarkStart w:id="4" w:name="bookmark4"/>
      <w:bookmarkStart w:id="5" w:name="bookmark5"/>
      <w:r>
        <w:t>Doba a místo plnění</w:t>
      </w:r>
      <w:bookmarkEnd w:id="4"/>
      <w:bookmarkEnd w:id="5"/>
    </w:p>
    <w:p w:rsidR="00352A95" w:rsidRDefault="006974A5">
      <w:pPr>
        <w:pStyle w:val="Zkladntext1"/>
        <w:numPr>
          <w:ilvl w:val="1"/>
          <w:numId w:val="4"/>
        </w:numPr>
        <w:shd w:val="clear" w:color="auto" w:fill="auto"/>
        <w:tabs>
          <w:tab w:val="left" w:pos="565"/>
        </w:tabs>
        <w:spacing w:after="120" w:line="240" w:lineRule="auto"/>
      </w:pPr>
      <w:r>
        <w:t>Místem poskytování Licence je sídlo Smluvního partnera.</w:t>
      </w:r>
    </w:p>
    <w:p w:rsidR="00352A95" w:rsidRDefault="006974A5">
      <w:pPr>
        <w:pStyle w:val="Zkladntext1"/>
        <w:numPr>
          <w:ilvl w:val="1"/>
          <w:numId w:val="4"/>
        </w:numPr>
        <w:shd w:val="clear" w:color="auto" w:fill="auto"/>
        <w:tabs>
          <w:tab w:val="left" w:pos="565"/>
        </w:tabs>
        <w:spacing w:after="120" w:line="254" w:lineRule="auto"/>
        <w:ind w:left="560" w:hanging="560"/>
      </w:pPr>
      <w:r>
        <w:t>Licence může být poskytnuta i vzdáleným přístupem, a to dle volby Dodavatele</w:t>
      </w:r>
      <w:r>
        <w:t>. Smluvní partner je v takovém případě povinen v rámci svojí součinnosti vzdálený přístup zajistit.</w:t>
      </w:r>
    </w:p>
    <w:p w:rsidR="00352A95" w:rsidRDefault="006974A5">
      <w:pPr>
        <w:pStyle w:val="Zkladntext1"/>
        <w:numPr>
          <w:ilvl w:val="1"/>
          <w:numId w:val="4"/>
        </w:numPr>
        <w:shd w:val="clear" w:color="auto" w:fill="auto"/>
        <w:tabs>
          <w:tab w:val="left" w:pos="565"/>
        </w:tabs>
        <w:spacing w:after="120" w:line="254" w:lineRule="auto"/>
        <w:ind w:left="560" w:hanging="560"/>
      </w:pPr>
      <w:r>
        <w:t>Dodavatel (poskytovatel) se zavazuje zajistit Licence objednateli nejpozději do 20 dní ode dne nabytí účinnosti Smlouvy.</w:t>
      </w:r>
    </w:p>
    <w:p w:rsidR="00352A95" w:rsidRDefault="006974A5">
      <w:pPr>
        <w:pStyle w:val="Zkladntext1"/>
        <w:numPr>
          <w:ilvl w:val="1"/>
          <w:numId w:val="4"/>
        </w:numPr>
        <w:shd w:val="clear" w:color="auto" w:fill="auto"/>
        <w:tabs>
          <w:tab w:val="left" w:pos="565"/>
        </w:tabs>
        <w:spacing w:after="240" w:line="259" w:lineRule="auto"/>
        <w:ind w:left="560" w:hanging="560"/>
      </w:pPr>
      <w:r>
        <w:t xml:space="preserve">Licence jsou považovány za </w:t>
      </w:r>
      <w:r>
        <w:t>zajištěné a dodané okamžikem jejich připsání na portálu Microsoft Volume Licensing Service Center (VLSC).</w:t>
      </w:r>
    </w:p>
    <w:p w:rsidR="00352A95" w:rsidRDefault="006974A5">
      <w:pPr>
        <w:pStyle w:val="Nadpis20"/>
        <w:keepNext/>
        <w:keepLines/>
        <w:numPr>
          <w:ilvl w:val="0"/>
          <w:numId w:val="4"/>
        </w:numPr>
        <w:shd w:val="clear" w:color="auto" w:fill="auto"/>
        <w:tabs>
          <w:tab w:val="left" w:pos="360"/>
        </w:tabs>
        <w:spacing w:after="120"/>
      </w:pPr>
      <w:bookmarkStart w:id="6" w:name="bookmark6"/>
      <w:bookmarkStart w:id="7" w:name="bookmark7"/>
      <w:r>
        <w:t>Cena a platební podmínky</w:t>
      </w:r>
      <w:bookmarkEnd w:id="6"/>
      <w:bookmarkEnd w:id="7"/>
    </w:p>
    <w:p w:rsidR="00352A95" w:rsidRDefault="006974A5">
      <w:pPr>
        <w:pStyle w:val="Zkladntext1"/>
        <w:numPr>
          <w:ilvl w:val="1"/>
          <w:numId w:val="4"/>
        </w:numPr>
        <w:shd w:val="clear" w:color="auto" w:fill="auto"/>
        <w:tabs>
          <w:tab w:val="left" w:pos="565"/>
        </w:tabs>
        <w:spacing w:after="120" w:line="264" w:lineRule="auto"/>
        <w:ind w:left="560" w:hanging="560"/>
        <w:jc w:val="both"/>
      </w:pPr>
      <w:r>
        <w:t>Cena za zajištění Licence ze strany Dodavatele dle této Smlouvy a dodání Licence od Microsoft (dále jen „</w:t>
      </w:r>
      <w:r>
        <w:rPr>
          <w:b/>
          <w:bCs/>
        </w:rPr>
        <w:t>Cena</w:t>
      </w:r>
      <w:r>
        <w:t>“) vychází z cen</w:t>
      </w:r>
      <w:r>
        <w:t>ové nabídky Dodavatele uvedené v Nabídce a tvoří Přílohu č. 1 Smlouvy. Nabídková cena byla Dodavatelem zpracována v souladu se zadávací dokumentací Zakázky a Cena je stanovena jako cena nejvýše přípustná a nesmí být překročena po celou dobu trvání Smlouvy,</w:t>
      </w:r>
      <w:r>
        <w:t xml:space="preserve"> vyjma změny sazby DPH či jiných daňových předpisů majících vliv na cenu předmětu plnění. Z jakýchkoliv jiných důvodů nesmí být Cena překročena. Dodavatel nemá právo jednostranně zvýšit sjednanou Cenu.</w:t>
      </w:r>
    </w:p>
    <w:p w:rsidR="00352A95" w:rsidRDefault="006974A5">
      <w:pPr>
        <w:pStyle w:val="Zkladntext1"/>
        <w:numPr>
          <w:ilvl w:val="1"/>
          <w:numId w:val="4"/>
        </w:numPr>
        <w:shd w:val="clear" w:color="auto" w:fill="auto"/>
        <w:tabs>
          <w:tab w:val="left" w:pos="565"/>
        </w:tabs>
        <w:spacing w:after="120" w:line="254" w:lineRule="auto"/>
        <w:ind w:left="560" w:hanging="560"/>
        <w:jc w:val="both"/>
      </w:pPr>
      <w:r>
        <w:t xml:space="preserve">Dodavatel je oprávněn vystavit fakturu na úhradu Ceny </w:t>
      </w:r>
      <w:r>
        <w:t>za zajištění a dodání Licence k Software vždy po dodání příslušné Licence ze strany Microsoft.</w:t>
      </w:r>
    </w:p>
    <w:p w:rsidR="00352A95" w:rsidRDefault="006974A5">
      <w:pPr>
        <w:pStyle w:val="Zkladntext1"/>
        <w:numPr>
          <w:ilvl w:val="1"/>
          <w:numId w:val="4"/>
        </w:numPr>
        <w:shd w:val="clear" w:color="auto" w:fill="auto"/>
        <w:tabs>
          <w:tab w:val="left" w:pos="565"/>
        </w:tabs>
        <w:spacing w:after="120" w:line="264" w:lineRule="auto"/>
        <w:ind w:left="560" w:hanging="560"/>
        <w:jc w:val="both"/>
      </w:pPr>
      <w:r>
        <w:t>Veškeré Ceny budou hrazeny na základě daňových dokladů - faktur vystavených ze strany Dodavatele</w:t>
      </w:r>
    </w:p>
    <w:p w:rsidR="00352A95" w:rsidRDefault="006974A5">
      <w:pPr>
        <w:pStyle w:val="Zkladntext1"/>
        <w:numPr>
          <w:ilvl w:val="1"/>
          <w:numId w:val="4"/>
        </w:numPr>
        <w:shd w:val="clear" w:color="auto" w:fill="auto"/>
        <w:tabs>
          <w:tab w:val="left" w:pos="565"/>
        </w:tabs>
        <w:spacing w:after="120" w:line="259" w:lineRule="auto"/>
        <w:ind w:left="560" w:hanging="560"/>
        <w:jc w:val="both"/>
      </w:pPr>
      <w:r>
        <w:t>Veškeré platby budou probíhat v českých korunách (Kč). Je-li Cen</w:t>
      </w:r>
      <w:r>
        <w:t>a za Plnění stanovena v měně EUR, bude částka přepočítána na Kč dle kurzu České národní banky platného v den vystavení faktury.</w:t>
      </w:r>
    </w:p>
    <w:p w:rsidR="00352A95" w:rsidRDefault="006974A5">
      <w:pPr>
        <w:pStyle w:val="Zkladntext1"/>
        <w:numPr>
          <w:ilvl w:val="1"/>
          <w:numId w:val="4"/>
        </w:numPr>
        <w:shd w:val="clear" w:color="auto" w:fill="auto"/>
        <w:tabs>
          <w:tab w:val="left" w:pos="565"/>
        </w:tabs>
        <w:spacing w:after="120" w:line="259" w:lineRule="auto"/>
        <w:ind w:left="560" w:hanging="560"/>
        <w:jc w:val="both"/>
      </w:pPr>
      <w:r>
        <w:t>Není-li uvedeno výslovně jinak, jsou všechny Ceny uvedeny bez daně z přidané hodnoty (dále jen „DPH“). DPH bude připočtena v zák</w:t>
      </w:r>
      <w:r>
        <w:t>onné výši.</w:t>
      </w:r>
    </w:p>
    <w:p w:rsidR="00352A95" w:rsidRDefault="006974A5">
      <w:pPr>
        <w:pStyle w:val="Zkladntext1"/>
        <w:numPr>
          <w:ilvl w:val="1"/>
          <w:numId w:val="4"/>
        </w:numPr>
        <w:shd w:val="clear" w:color="auto" w:fill="auto"/>
        <w:tabs>
          <w:tab w:val="left" w:pos="565"/>
        </w:tabs>
        <w:spacing w:after="120" w:line="240" w:lineRule="auto"/>
      </w:pPr>
      <w:r>
        <w:t>Lhůta splatnosti faktur je sjednána na 30 kalendářních dnů ode dne jejich vystavení.</w:t>
      </w:r>
    </w:p>
    <w:p w:rsidR="00C81BFA" w:rsidRDefault="00C81BFA" w:rsidP="00C81BFA">
      <w:pPr>
        <w:pStyle w:val="Zkladntext1"/>
        <w:shd w:val="clear" w:color="auto" w:fill="auto"/>
        <w:tabs>
          <w:tab w:val="left" w:pos="565"/>
        </w:tabs>
        <w:spacing w:after="120" w:line="240" w:lineRule="auto"/>
      </w:pPr>
    </w:p>
    <w:p w:rsidR="00C81BFA" w:rsidRDefault="00C81BFA" w:rsidP="00C81BFA">
      <w:pPr>
        <w:pStyle w:val="Zkladntext1"/>
        <w:shd w:val="clear" w:color="auto" w:fill="auto"/>
        <w:tabs>
          <w:tab w:val="left" w:pos="565"/>
        </w:tabs>
        <w:spacing w:after="120" w:line="240" w:lineRule="auto"/>
      </w:pPr>
    </w:p>
    <w:p w:rsidR="00C81BFA" w:rsidRDefault="00C81BFA" w:rsidP="00C81BFA">
      <w:pPr>
        <w:pStyle w:val="Zkladntext1"/>
        <w:shd w:val="clear" w:color="auto" w:fill="auto"/>
        <w:tabs>
          <w:tab w:val="left" w:pos="565"/>
        </w:tabs>
        <w:spacing w:after="120" w:line="240" w:lineRule="auto"/>
      </w:pPr>
    </w:p>
    <w:p w:rsidR="00352A95" w:rsidRDefault="006974A5">
      <w:pPr>
        <w:jc w:val="center"/>
        <w:rPr>
          <w:sz w:val="2"/>
          <w:szCs w:val="2"/>
        </w:rPr>
      </w:pPr>
      <w:r>
        <w:rPr>
          <w:noProof/>
          <w:lang w:bidi="ar-SA"/>
        </w:rPr>
        <w:lastRenderedPageBreak/>
        <w:drawing>
          <wp:inline distT="0" distB="0" distL="0" distR="0">
            <wp:extent cx="6577330" cy="63373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pic:blipFill>
                  <pic:spPr>
                    <a:xfrm>
                      <a:off x="0" y="0"/>
                      <a:ext cx="6577330" cy="633730"/>
                    </a:xfrm>
                    <a:prstGeom prst="rect">
                      <a:avLst/>
                    </a:prstGeom>
                  </pic:spPr>
                </pic:pic>
              </a:graphicData>
            </a:graphic>
          </wp:inline>
        </w:drawing>
      </w:r>
    </w:p>
    <w:p w:rsidR="00352A95" w:rsidRDefault="00352A95">
      <w:pPr>
        <w:spacing w:after="59" w:line="1" w:lineRule="exact"/>
      </w:pPr>
    </w:p>
    <w:p w:rsidR="00352A95" w:rsidRDefault="006974A5">
      <w:pPr>
        <w:pStyle w:val="Zkladntext1"/>
        <w:numPr>
          <w:ilvl w:val="1"/>
          <w:numId w:val="4"/>
        </w:numPr>
        <w:shd w:val="clear" w:color="auto" w:fill="auto"/>
        <w:tabs>
          <w:tab w:val="left" w:pos="571"/>
        </w:tabs>
        <w:spacing w:line="264" w:lineRule="auto"/>
        <w:ind w:left="580" w:hanging="580"/>
        <w:jc w:val="both"/>
      </w:pPr>
      <w:r>
        <w:t xml:space="preserve">Ujednání o náležitosti faktury - daňového dokladu: Daňový doklad musí obsahovat všechny náležitosti řádného účetního a daňového dokladu dle příslušných </w:t>
      </w:r>
      <w:r>
        <w:t>právních předpisů, zejména zákona č. 235/2004 Sb., o dani z přidané hodnoty, ve znění pozdějších předpisů, dále musí splňovat Smlouvou stanovené náležitosti, jinak je nabyvatel (NPÚ) oprávněn jej do data splatnosti vrátit s tím, že druhá Smluvní strana (po</w:t>
      </w:r>
      <w:r>
        <w:t>skytovatel) je poté povinna vystavit nový s novým termínem splatnosti. V takovém případě není nabyvatel (NPÚ) v prodlení s úhradou.“</w:t>
      </w:r>
    </w:p>
    <w:p w:rsidR="00352A95" w:rsidRDefault="006974A5">
      <w:pPr>
        <w:pStyle w:val="Zkladntext1"/>
        <w:numPr>
          <w:ilvl w:val="1"/>
          <w:numId w:val="4"/>
        </w:numPr>
        <w:shd w:val="clear" w:color="auto" w:fill="auto"/>
        <w:tabs>
          <w:tab w:val="left" w:pos="571"/>
        </w:tabs>
        <w:spacing w:line="264" w:lineRule="auto"/>
        <w:ind w:left="580" w:hanging="580"/>
        <w:jc w:val="both"/>
      </w:pPr>
      <w:r>
        <w:t>Ujednání o nespolehlivém plátci dle zákona o DPH: Dodavatel (poskytovatel) prohlašuje, že ke dni podpisu Smlouvy není nespo</w:t>
      </w:r>
      <w:r>
        <w:t>lehlivým plátcem DPH dle § 106 zákona č. 235/2004 Sb., o dani z přidané hodnoty, v platném znění, a není vedena v registru nespolehlivých plátců DPH. Dodavatel (poskytovatel) se dále zavazuje uvádět pro účely bezhotovostního převodu pouze účet či účty, kte</w:t>
      </w:r>
      <w:r>
        <w:t>ré jsou správcem daně zveřejněny způsobem umožňujícím dálkový přístup dle zákona č. 235/2004 Sb., o dani z přidané hodnoty, v platném znění. V případě, že se Dodavatel (poskytovatel) stane nespolehlivým plátcem DPH, je povinen tuto skutečnost oznámit NPÚ n</w:t>
      </w:r>
      <w:r>
        <w:t>ejpozději do 5 pracovních dnů ode dne, kdy tato skutečnost nastala, přičemž oznámením se rozumí den, kdy NPÚ předmětnou informaci prokazatelně obdržel. V případě porušení některé z těchto povinnosti je Dodavatel (poskytovatel) povinna uhradit NPÚ smluvní p</w:t>
      </w:r>
      <w:r>
        <w:t>okutu ve výši 10.000,- Kč, a to za každý jednotlivý případ porušení povinnosti. Uhrazení smluvní pokuty se nikterak nedotýká nároku na náhradu škody způsobené porušením této povinnosti. Dodavatel (poskytovatel apod.) dále souhlasí s tím, aby NPÚ provedl za</w:t>
      </w:r>
      <w:r>
        <w:t>jišťovací úhradu DPH přímo na účet příslušného finančního úřadu, jestliže Dodavatel (poskytovatel) bude ke dni uskutečnění zdanitelného plnění vedena v registru nespolehlivých plátců DPH.</w:t>
      </w:r>
    </w:p>
    <w:p w:rsidR="00352A95" w:rsidRDefault="006974A5">
      <w:pPr>
        <w:pStyle w:val="Zkladntext1"/>
        <w:numPr>
          <w:ilvl w:val="1"/>
          <w:numId w:val="4"/>
        </w:numPr>
        <w:shd w:val="clear" w:color="auto" w:fill="auto"/>
        <w:tabs>
          <w:tab w:val="left" w:pos="571"/>
        </w:tabs>
        <w:spacing w:line="264" w:lineRule="auto"/>
        <w:ind w:left="580" w:hanging="580"/>
        <w:jc w:val="both"/>
      </w:pPr>
      <w:r>
        <w:t>Faktura musí obsahovat náležitosti daňového dokladu dle právních pře</w:t>
      </w:r>
      <w:r>
        <w:t xml:space="preserve">dpisů. Pokud nebude faktura obsahovat stanovené náležitosti nebo v ní nebudou správně uvedené požadované údaje, je Smluvní partner oprávněn vrátit ji Dodavateli ve lhůtě 5 dnů od jejího doručení s uvedením chybějících náležitostí nebo nesprávných údajů. V </w:t>
      </w:r>
      <w:r>
        <w:t>takovém případě se přeruší běh lhůty splatnosti a nová lhůta splatnosti počne běžet doručením opravené faktury Smluvnímu partnerovi.</w:t>
      </w:r>
    </w:p>
    <w:p w:rsidR="00352A95" w:rsidRDefault="006974A5">
      <w:pPr>
        <w:pStyle w:val="Zkladntext1"/>
        <w:numPr>
          <w:ilvl w:val="1"/>
          <w:numId w:val="4"/>
        </w:numPr>
        <w:shd w:val="clear" w:color="auto" w:fill="auto"/>
        <w:tabs>
          <w:tab w:val="left" w:pos="571"/>
        </w:tabs>
        <w:spacing w:after="640" w:line="259" w:lineRule="auto"/>
        <w:ind w:left="580" w:hanging="580"/>
        <w:jc w:val="both"/>
      </w:pPr>
      <w:r>
        <w:t>Platby budou hrazeny na bankovní účet uvedený na příslušné faktuře - daňovém dokladu. Platba se považuje za uhrazenou okamž</w:t>
      </w:r>
      <w:r>
        <w:t>ikem připsání finanční částky na účet příjemce.</w:t>
      </w:r>
    </w:p>
    <w:p w:rsidR="00352A95" w:rsidRDefault="006974A5">
      <w:pPr>
        <w:pStyle w:val="Nadpis20"/>
        <w:keepNext/>
        <w:keepLines/>
        <w:numPr>
          <w:ilvl w:val="0"/>
          <w:numId w:val="4"/>
        </w:numPr>
        <w:shd w:val="clear" w:color="auto" w:fill="auto"/>
        <w:tabs>
          <w:tab w:val="left" w:pos="360"/>
        </w:tabs>
        <w:jc w:val="both"/>
      </w:pPr>
      <w:bookmarkStart w:id="8" w:name="bookmark8"/>
      <w:bookmarkStart w:id="9" w:name="bookmark9"/>
      <w:r>
        <w:t>Licenční, servisní a reklamační podmínky, řešení vad a záruky</w:t>
      </w:r>
      <w:bookmarkEnd w:id="8"/>
      <w:bookmarkEnd w:id="9"/>
    </w:p>
    <w:p w:rsidR="00352A95" w:rsidRDefault="006974A5">
      <w:pPr>
        <w:pStyle w:val="Zkladntext1"/>
        <w:numPr>
          <w:ilvl w:val="1"/>
          <w:numId w:val="4"/>
        </w:numPr>
        <w:shd w:val="clear" w:color="auto" w:fill="auto"/>
        <w:tabs>
          <w:tab w:val="left" w:pos="571"/>
        </w:tabs>
        <w:spacing w:line="257" w:lineRule="auto"/>
        <w:ind w:left="580" w:hanging="580"/>
        <w:jc w:val="both"/>
      </w:pPr>
      <w:r>
        <w:t xml:space="preserve">Veškeré licenční, servisní, reklamační, záruční a jiné podmínky ve vztahu k Software se řídí podmínkami uvedenými ve Smlouvách Microsoft, zejména </w:t>
      </w:r>
      <w:r>
        <w:t>s ohledem na tzv. omezenou záruku (Limited Waranty) dle Smluv Microsoft.</w:t>
      </w:r>
    </w:p>
    <w:p w:rsidR="00352A95" w:rsidRDefault="006974A5">
      <w:pPr>
        <w:pStyle w:val="Zkladntext1"/>
        <w:numPr>
          <w:ilvl w:val="1"/>
          <w:numId w:val="4"/>
        </w:numPr>
        <w:shd w:val="clear" w:color="auto" w:fill="auto"/>
        <w:tabs>
          <w:tab w:val="left" w:pos="571"/>
        </w:tabs>
        <w:ind w:left="580" w:hanging="580"/>
        <w:jc w:val="both"/>
      </w:pPr>
      <w:r>
        <w:t>Smluvní strany jsou si vědomy, že Software je produkt společnosti Microsoft, přičemž Licence k užití Software je Smluvnímu partnerovi poskytována přímo společností Microsoft v souladu</w:t>
      </w:r>
      <w:r>
        <w:t xml:space="preserve"> se Smlouvami Microsoft a rozsah Licence není předmětem jakékoliv garance či záruky ze strany Dodavatele.</w:t>
      </w:r>
    </w:p>
    <w:p w:rsidR="00352A95" w:rsidRDefault="006974A5">
      <w:pPr>
        <w:pStyle w:val="Zkladntext1"/>
        <w:numPr>
          <w:ilvl w:val="1"/>
          <w:numId w:val="4"/>
        </w:numPr>
        <w:shd w:val="clear" w:color="auto" w:fill="auto"/>
        <w:tabs>
          <w:tab w:val="left" w:pos="571"/>
        </w:tabs>
        <w:spacing w:line="254" w:lineRule="auto"/>
        <w:ind w:left="580" w:hanging="580"/>
        <w:jc w:val="both"/>
      </w:pPr>
      <w:r>
        <w:t xml:space="preserve">Licenci k Software získává Smluvní partner okamžikem připsání Licence do užívání Smluvního partnera- na portálu Microsoft Volume Licensing Service </w:t>
      </w:r>
      <w:r>
        <w:t>Center (VLSC).</w:t>
      </w:r>
    </w:p>
    <w:p w:rsidR="00352A95" w:rsidRDefault="006974A5">
      <w:pPr>
        <w:pStyle w:val="Zkladntext1"/>
        <w:numPr>
          <w:ilvl w:val="1"/>
          <w:numId w:val="4"/>
        </w:numPr>
        <w:shd w:val="clear" w:color="auto" w:fill="auto"/>
        <w:tabs>
          <w:tab w:val="left" w:pos="571"/>
        </w:tabs>
        <w:ind w:left="580" w:hanging="580"/>
        <w:jc w:val="both"/>
      </w:pPr>
      <w:r>
        <w:t>Smluvní partner je povinen užívat Software v souladu s licenčními podmínkami (užívacími právy) Microsoft vztahujícími se k danému Softwaru. Smluvní partner se zavazuje uhradit Dodavateli veškerou újmu, a to i nemajetkovou, vzniklou Dodavatel</w:t>
      </w:r>
      <w:r>
        <w:t>i v důsledku porušení podmínek Licence ze strany Smluvního partnera, a to v plné výši. Ustanovení odst.</w:t>
      </w:r>
      <w:hyperlink w:anchor="bookmark12" w:tooltip="Current Document">
        <w:r>
          <w:t xml:space="preserve"> 6.1 </w:t>
        </w:r>
      </w:hyperlink>
      <w:r>
        <w:t>Smlouvy</w:t>
      </w:r>
    </w:p>
    <w:p w:rsidR="00C81BFA" w:rsidRDefault="00C81BFA" w:rsidP="00C81BFA">
      <w:pPr>
        <w:pStyle w:val="Zkladntext1"/>
        <w:shd w:val="clear" w:color="auto" w:fill="auto"/>
        <w:tabs>
          <w:tab w:val="left" w:pos="571"/>
        </w:tabs>
        <w:jc w:val="both"/>
      </w:pPr>
    </w:p>
    <w:p w:rsidR="00C81BFA" w:rsidRDefault="00C81BFA" w:rsidP="00C81BFA">
      <w:pPr>
        <w:pStyle w:val="Zkladntext1"/>
        <w:shd w:val="clear" w:color="auto" w:fill="auto"/>
        <w:tabs>
          <w:tab w:val="left" w:pos="571"/>
        </w:tabs>
        <w:jc w:val="both"/>
      </w:pPr>
    </w:p>
    <w:p w:rsidR="00C81BFA" w:rsidRDefault="00C81BFA" w:rsidP="00C81BFA">
      <w:pPr>
        <w:pStyle w:val="Zkladntext1"/>
        <w:shd w:val="clear" w:color="auto" w:fill="auto"/>
        <w:tabs>
          <w:tab w:val="left" w:pos="571"/>
        </w:tabs>
        <w:jc w:val="both"/>
      </w:pPr>
    </w:p>
    <w:p w:rsidR="00352A95" w:rsidRDefault="006974A5">
      <w:pPr>
        <w:jc w:val="center"/>
        <w:rPr>
          <w:sz w:val="2"/>
          <w:szCs w:val="2"/>
        </w:rPr>
      </w:pPr>
      <w:r>
        <w:rPr>
          <w:noProof/>
          <w:lang w:bidi="ar-SA"/>
        </w:rPr>
        <w:lastRenderedPageBreak/>
        <w:drawing>
          <wp:inline distT="0" distB="0" distL="0" distR="0">
            <wp:extent cx="6577330" cy="63373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pic:blipFill>
                  <pic:spPr>
                    <a:xfrm>
                      <a:off x="0" y="0"/>
                      <a:ext cx="6577330" cy="633730"/>
                    </a:xfrm>
                    <a:prstGeom prst="rect">
                      <a:avLst/>
                    </a:prstGeom>
                  </pic:spPr>
                </pic:pic>
              </a:graphicData>
            </a:graphic>
          </wp:inline>
        </w:drawing>
      </w:r>
    </w:p>
    <w:p w:rsidR="00352A95" w:rsidRDefault="00352A95">
      <w:pPr>
        <w:spacing w:after="59" w:line="1" w:lineRule="exact"/>
      </w:pPr>
    </w:p>
    <w:p w:rsidR="00352A95" w:rsidRDefault="006974A5">
      <w:pPr>
        <w:pStyle w:val="Zkladntext1"/>
        <w:shd w:val="clear" w:color="auto" w:fill="auto"/>
        <w:spacing w:after="220" w:line="269" w:lineRule="auto"/>
        <w:ind w:left="580"/>
        <w:jc w:val="both"/>
      </w:pPr>
      <w:r>
        <w:t xml:space="preserve">se pro tento případ nepoužije. Porušení licenčních podmínek Microsoft ze strany </w:t>
      </w:r>
      <w:r>
        <w:t>Smluvního partnera je považováno za podstatné porušení smluvních povinností Smluvního partnera.</w:t>
      </w:r>
    </w:p>
    <w:p w:rsidR="00352A95" w:rsidRDefault="006974A5">
      <w:pPr>
        <w:pStyle w:val="Nadpis20"/>
        <w:keepNext/>
        <w:keepLines/>
        <w:numPr>
          <w:ilvl w:val="0"/>
          <w:numId w:val="4"/>
        </w:numPr>
        <w:shd w:val="clear" w:color="auto" w:fill="auto"/>
        <w:tabs>
          <w:tab w:val="left" w:pos="360"/>
        </w:tabs>
        <w:jc w:val="both"/>
      </w:pPr>
      <w:bookmarkStart w:id="10" w:name="bookmark10"/>
      <w:bookmarkStart w:id="11" w:name="bookmark11"/>
      <w:r>
        <w:t>Sankční ujednání</w:t>
      </w:r>
      <w:bookmarkEnd w:id="10"/>
      <w:bookmarkEnd w:id="11"/>
    </w:p>
    <w:p w:rsidR="00352A95" w:rsidRDefault="006974A5">
      <w:pPr>
        <w:pStyle w:val="Zkladntext1"/>
        <w:numPr>
          <w:ilvl w:val="1"/>
          <w:numId w:val="4"/>
        </w:numPr>
        <w:shd w:val="clear" w:color="auto" w:fill="auto"/>
        <w:tabs>
          <w:tab w:val="left" w:pos="566"/>
        </w:tabs>
        <w:spacing w:line="259" w:lineRule="auto"/>
        <w:ind w:left="580" w:hanging="580"/>
        <w:jc w:val="both"/>
      </w:pPr>
      <w:bookmarkStart w:id="12" w:name="bookmark12"/>
      <w:r>
        <w:t>V případě, že se Dodavatel (poskytovatel) dostane do prodlení s plněním povinnosti poskytnout Plnění řádně a včas, zavazuje se k úhradě smluvní</w:t>
      </w:r>
      <w:r>
        <w:t xml:space="preserve"> pokuty ve výši 1.000,- Kč za každý, byť započatý den prodlení.</w:t>
      </w:r>
      <w:bookmarkEnd w:id="12"/>
    </w:p>
    <w:p w:rsidR="00352A95" w:rsidRDefault="006974A5">
      <w:pPr>
        <w:pStyle w:val="Zkladntext1"/>
        <w:numPr>
          <w:ilvl w:val="1"/>
          <w:numId w:val="4"/>
        </w:numPr>
        <w:shd w:val="clear" w:color="auto" w:fill="auto"/>
        <w:tabs>
          <w:tab w:val="left" w:pos="566"/>
        </w:tabs>
        <w:spacing w:line="259" w:lineRule="auto"/>
        <w:ind w:left="580" w:hanging="580"/>
        <w:jc w:val="both"/>
      </w:pPr>
      <w:r>
        <w:t>V případě prodlení nabyvatele (NPÚ) s úhradou platby podle této smlouvy je povinen k úhradě úroků z prodlení v zákonné výši.</w:t>
      </w:r>
    </w:p>
    <w:p w:rsidR="00352A95" w:rsidRDefault="006974A5">
      <w:pPr>
        <w:pStyle w:val="Zkladntext1"/>
        <w:numPr>
          <w:ilvl w:val="1"/>
          <w:numId w:val="4"/>
        </w:numPr>
        <w:shd w:val="clear" w:color="auto" w:fill="auto"/>
        <w:tabs>
          <w:tab w:val="left" w:pos="566"/>
        </w:tabs>
        <w:spacing w:line="264" w:lineRule="auto"/>
        <w:ind w:left="580" w:hanging="580"/>
        <w:jc w:val="both"/>
      </w:pPr>
      <w:r>
        <w:t xml:space="preserve">Smluvní strany výslovně omezují právo na náhradu újmy, která může </w:t>
      </w:r>
      <w:r>
        <w:t>při plnění této Smlouvy jedné Smluvní straně vzniknout, a to na celkovou částku ve výši 100.000,- Kč. Práva na náhradu újmy přesahující částku dle předchozí věty a práva na náhradu ušlého zisku se každá Smluvní strana vzdává. Poškozená strana musí škodu ne</w:t>
      </w:r>
      <w:r>
        <w:t>pochybně a jednoznačně prokázat a vyčíslit. Nepřímé a následné škody se nenahrazují. Ustanovení § 2898 občanského zákoníku však tímto není dotčeno.</w:t>
      </w:r>
    </w:p>
    <w:p w:rsidR="00352A95" w:rsidRDefault="006974A5">
      <w:pPr>
        <w:pStyle w:val="Zkladntext1"/>
        <w:numPr>
          <w:ilvl w:val="1"/>
          <w:numId w:val="4"/>
        </w:numPr>
        <w:shd w:val="clear" w:color="auto" w:fill="auto"/>
        <w:tabs>
          <w:tab w:val="left" w:pos="566"/>
        </w:tabs>
        <w:spacing w:line="259" w:lineRule="auto"/>
        <w:ind w:left="580" w:hanging="580"/>
        <w:jc w:val="both"/>
      </w:pPr>
      <w:r>
        <w:t xml:space="preserve">Žádná ze Smluvních stran nemá povinnost nahradit újmu způsobenou porušením svých povinností vyplývajících z </w:t>
      </w:r>
      <w:r>
        <w:t>této Smlouvy, bránila-li jí v jejich splnění některá z překážek vylučujících povinnost k náhradě škody ve smyslu § 2913 odst. 2 občanského zákoníku.</w:t>
      </w:r>
    </w:p>
    <w:p w:rsidR="00352A95" w:rsidRDefault="006974A5">
      <w:pPr>
        <w:pStyle w:val="Zkladntext1"/>
        <w:numPr>
          <w:ilvl w:val="1"/>
          <w:numId w:val="4"/>
        </w:numPr>
        <w:shd w:val="clear" w:color="auto" w:fill="auto"/>
        <w:tabs>
          <w:tab w:val="left" w:pos="566"/>
        </w:tabs>
        <w:spacing w:line="259" w:lineRule="auto"/>
        <w:ind w:left="580" w:hanging="580"/>
        <w:jc w:val="both"/>
      </w:pPr>
      <w:r>
        <w:t>Sankce i náhrada způsobené újmy jsou splatné do 14 kalendářních dnů ode dne doručení písemné výzvy k zaplac</w:t>
      </w:r>
      <w:r>
        <w:t>ení společně s příslušným daňovým dokladem - fakturou Smluvní straně, která je povinná příslušnou sankci nebo náhradu újmy zaplatit.</w:t>
      </w:r>
    </w:p>
    <w:p w:rsidR="00352A95" w:rsidRDefault="006974A5">
      <w:pPr>
        <w:pStyle w:val="Zkladntext1"/>
        <w:numPr>
          <w:ilvl w:val="1"/>
          <w:numId w:val="4"/>
        </w:numPr>
        <w:shd w:val="clear" w:color="auto" w:fill="auto"/>
        <w:tabs>
          <w:tab w:val="left" w:pos="566"/>
        </w:tabs>
        <w:spacing w:after="220" w:line="259" w:lineRule="auto"/>
        <w:ind w:left="580" w:hanging="580"/>
        <w:jc w:val="both"/>
      </w:pPr>
      <w:r>
        <w:t>Není-li dále stanoveno jinak, zaplacení jakékoliv sjednané smluvní pokuty nezbavuje povinnou Smluvní stranu povinnosti spln</w:t>
      </w:r>
      <w:r>
        <w:t>it své závazky a rovněž ji nezbavuje povinnosti k náhradě újmy vzniklé v souvislosti s porušením jejího závazku v plné výši.</w:t>
      </w:r>
    </w:p>
    <w:p w:rsidR="00352A95" w:rsidRDefault="006974A5">
      <w:pPr>
        <w:pStyle w:val="Nadpis20"/>
        <w:keepNext/>
        <w:keepLines/>
        <w:numPr>
          <w:ilvl w:val="0"/>
          <w:numId w:val="4"/>
        </w:numPr>
        <w:shd w:val="clear" w:color="auto" w:fill="auto"/>
        <w:tabs>
          <w:tab w:val="left" w:pos="360"/>
        </w:tabs>
        <w:jc w:val="both"/>
      </w:pPr>
      <w:bookmarkStart w:id="13" w:name="bookmark13"/>
      <w:bookmarkStart w:id="14" w:name="bookmark14"/>
      <w:r>
        <w:t>Rozhodné právo a řešení sporů</w:t>
      </w:r>
      <w:bookmarkEnd w:id="13"/>
      <w:bookmarkEnd w:id="14"/>
    </w:p>
    <w:p w:rsidR="00352A95" w:rsidRDefault="006974A5">
      <w:pPr>
        <w:pStyle w:val="Zkladntext1"/>
        <w:numPr>
          <w:ilvl w:val="1"/>
          <w:numId w:val="4"/>
        </w:numPr>
        <w:shd w:val="clear" w:color="auto" w:fill="auto"/>
        <w:tabs>
          <w:tab w:val="left" w:pos="566"/>
        </w:tabs>
        <w:spacing w:line="259" w:lineRule="auto"/>
        <w:ind w:left="580" w:hanging="580"/>
        <w:jc w:val="both"/>
      </w:pPr>
      <w:r>
        <w:t>Práva a povinnosti Smluvních stran vyplývající z této Smlouvy se řídí občanským zákoníkem a ostatními</w:t>
      </w:r>
      <w:r>
        <w:t xml:space="preserve"> příslušnými právními předpisy českého právního řádu.</w:t>
      </w:r>
    </w:p>
    <w:p w:rsidR="00352A95" w:rsidRDefault="006974A5">
      <w:pPr>
        <w:pStyle w:val="Zkladntext1"/>
        <w:numPr>
          <w:ilvl w:val="1"/>
          <w:numId w:val="4"/>
        </w:numPr>
        <w:shd w:val="clear" w:color="auto" w:fill="auto"/>
        <w:tabs>
          <w:tab w:val="left" w:pos="566"/>
        </w:tabs>
        <w:spacing w:line="259" w:lineRule="auto"/>
        <w:ind w:left="580" w:hanging="580"/>
        <w:jc w:val="both"/>
      </w:pPr>
      <w:r>
        <w:t>Smluvní strany se zavazují vyvinout maximální úsilí k odstranění vzájemných sporů vzniklých na základě Smlouvy nebo v souvislosti s ní, včetně sporů o její výklad či platnost a usilovat se o smírné vyře</w:t>
      </w:r>
      <w:r>
        <w:t>šení těchto sporů.</w:t>
      </w:r>
    </w:p>
    <w:p w:rsidR="00352A95" w:rsidRDefault="006974A5">
      <w:pPr>
        <w:pStyle w:val="Zkladntext1"/>
        <w:numPr>
          <w:ilvl w:val="1"/>
          <w:numId w:val="4"/>
        </w:numPr>
        <w:shd w:val="clear" w:color="auto" w:fill="auto"/>
        <w:tabs>
          <w:tab w:val="left" w:pos="566"/>
        </w:tabs>
        <w:spacing w:after="220"/>
        <w:ind w:left="580" w:hanging="580"/>
        <w:jc w:val="both"/>
      </w:pPr>
      <w:r>
        <w:t>Veškeré spory, které se Smluvním stranám nepodaří vyřešit smírnou cestou, budou řešeny věcně příslušným soudem České republiky. Nestanoví-li zákon výlučnou místní příslušnost soudu, dohodly se Smluvní strany, že pro všechny spory vyplýva</w:t>
      </w:r>
      <w:r>
        <w:t>jící z této Smlouvy bude místně příslušným obecný soud Dodavatele.</w:t>
      </w:r>
    </w:p>
    <w:p w:rsidR="00352A95" w:rsidRDefault="006974A5">
      <w:pPr>
        <w:pStyle w:val="Nadpis20"/>
        <w:keepNext/>
        <w:keepLines/>
        <w:numPr>
          <w:ilvl w:val="0"/>
          <w:numId w:val="4"/>
        </w:numPr>
        <w:shd w:val="clear" w:color="auto" w:fill="auto"/>
        <w:tabs>
          <w:tab w:val="left" w:pos="360"/>
        </w:tabs>
        <w:jc w:val="both"/>
      </w:pPr>
      <w:bookmarkStart w:id="15" w:name="bookmark15"/>
      <w:bookmarkStart w:id="16" w:name="bookmark16"/>
      <w:r>
        <w:t>Ujednání k zamezení korupčního jednání</w:t>
      </w:r>
      <w:bookmarkEnd w:id="15"/>
      <w:bookmarkEnd w:id="16"/>
    </w:p>
    <w:p w:rsidR="00352A95" w:rsidRDefault="006974A5">
      <w:pPr>
        <w:pStyle w:val="Zkladntext1"/>
        <w:numPr>
          <w:ilvl w:val="1"/>
          <w:numId w:val="4"/>
        </w:numPr>
        <w:shd w:val="clear" w:color="auto" w:fill="auto"/>
        <w:tabs>
          <w:tab w:val="left" w:pos="566"/>
        </w:tabs>
        <w:spacing w:line="264" w:lineRule="auto"/>
        <w:ind w:left="580" w:hanging="580"/>
        <w:jc w:val="both"/>
      </w:pPr>
      <w:bookmarkStart w:id="17" w:name="bookmark17"/>
      <w:r>
        <w:t>Smluvní partner prohlašuje, že plnění poskytované mu dle této Smlouvy ze strany Dodavatele nepoužije pro účely, které nejsou dovoleny platnými právním</w:t>
      </w:r>
      <w:r>
        <w:t>i předpisy, zejména k jakémukoliv korupčnímu či podobnému jednání, které by mělo, v rozporu s platnými právními předpisy, jakož i Foreign Corrupt Practices Act či UK Bribery Act (jejichž znění Dodavatel Smluvnímu partnerovi na vyžádání poskytne) či běžně u</w:t>
      </w:r>
      <w:r>
        <w:t>znávanými zásadami etického chování, vést k získání jakékoliv neoprávněné výhody pro Dodavatele či jinou osobu. .</w:t>
      </w:r>
      <w:bookmarkEnd w:id="17"/>
    </w:p>
    <w:p w:rsidR="00352A95" w:rsidRDefault="006974A5">
      <w:pPr>
        <w:pStyle w:val="Zkladntext1"/>
        <w:numPr>
          <w:ilvl w:val="1"/>
          <w:numId w:val="4"/>
        </w:numPr>
        <w:shd w:val="clear" w:color="auto" w:fill="auto"/>
        <w:tabs>
          <w:tab w:val="left" w:pos="566"/>
        </w:tabs>
        <w:spacing w:line="254" w:lineRule="auto"/>
        <w:ind w:left="580" w:hanging="580"/>
        <w:jc w:val="both"/>
      </w:pPr>
      <w:r>
        <w:t xml:space="preserve">Získá-li Smluvní partner v souvislosti s plněním této Smlouvy jakékoliv důvodné podezření, že dochází, či může prokazatelně dojít k porušení </w:t>
      </w:r>
      <w:r>
        <w:t>výše uvedených ustanovení, zavazuje se o této</w:t>
      </w:r>
    </w:p>
    <w:p w:rsidR="00C81BFA" w:rsidRDefault="00C81BFA" w:rsidP="00C81BFA">
      <w:pPr>
        <w:pStyle w:val="Zkladntext1"/>
        <w:shd w:val="clear" w:color="auto" w:fill="auto"/>
        <w:tabs>
          <w:tab w:val="left" w:pos="566"/>
        </w:tabs>
        <w:spacing w:line="254" w:lineRule="auto"/>
        <w:jc w:val="both"/>
      </w:pPr>
    </w:p>
    <w:p w:rsidR="00C81BFA" w:rsidRDefault="00C81BFA" w:rsidP="00C81BFA">
      <w:pPr>
        <w:pStyle w:val="Zkladntext1"/>
        <w:shd w:val="clear" w:color="auto" w:fill="auto"/>
        <w:tabs>
          <w:tab w:val="left" w:pos="566"/>
        </w:tabs>
        <w:spacing w:line="254" w:lineRule="auto"/>
        <w:jc w:val="both"/>
      </w:pPr>
    </w:p>
    <w:p w:rsidR="00C81BFA" w:rsidRDefault="00C81BFA" w:rsidP="00C81BFA">
      <w:pPr>
        <w:pStyle w:val="Zkladntext1"/>
        <w:shd w:val="clear" w:color="auto" w:fill="auto"/>
        <w:tabs>
          <w:tab w:val="left" w:pos="566"/>
        </w:tabs>
        <w:spacing w:line="254" w:lineRule="auto"/>
        <w:jc w:val="both"/>
      </w:pPr>
    </w:p>
    <w:p w:rsidR="00352A95" w:rsidRDefault="006974A5">
      <w:pPr>
        <w:jc w:val="center"/>
        <w:rPr>
          <w:sz w:val="2"/>
          <w:szCs w:val="2"/>
        </w:rPr>
      </w:pPr>
      <w:r>
        <w:rPr>
          <w:noProof/>
          <w:lang w:bidi="ar-SA"/>
        </w:rPr>
        <w:lastRenderedPageBreak/>
        <w:drawing>
          <wp:inline distT="0" distB="0" distL="0" distR="0">
            <wp:extent cx="6577330" cy="63373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pic:blipFill>
                  <pic:spPr>
                    <a:xfrm>
                      <a:off x="0" y="0"/>
                      <a:ext cx="6577330" cy="633730"/>
                    </a:xfrm>
                    <a:prstGeom prst="rect">
                      <a:avLst/>
                    </a:prstGeom>
                  </pic:spPr>
                </pic:pic>
              </a:graphicData>
            </a:graphic>
          </wp:inline>
        </w:drawing>
      </w:r>
    </w:p>
    <w:p w:rsidR="00352A95" w:rsidRDefault="00352A95">
      <w:pPr>
        <w:spacing w:after="59" w:line="1" w:lineRule="exact"/>
      </w:pPr>
    </w:p>
    <w:p w:rsidR="00352A95" w:rsidRDefault="006974A5">
      <w:pPr>
        <w:pStyle w:val="Zkladntext1"/>
        <w:shd w:val="clear" w:color="auto" w:fill="auto"/>
        <w:spacing w:line="266" w:lineRule="auto"/>
        <w:ind w:left="580"/>
        <w:jc w:val="both"/>
      </w:pPr>
      <w:r>
        <w:t>skutečnosti bez zbytečného odkladu informovat Dodavatele, a následně (až do vyjádření Dodavatele) činit při plnění této Smlouvy jen úkony, které nesnesou odkladu (tj. úkony jejichž neplnění by mohlo Dodavate</w:t>
      </w:r>
      <w:r>
        <w:t>li způsobit újmu) a neporušují pravidla specifikovaná v odst.</w:t>
      </w:r>
      <w:hyperlink w:anchor="bookmark17" w:tooltip="Current Document">
        <w:r>
          <w:t xml:space="preserve"> 8.1</w:t>
        </w:r>
      </w:hyperlink>
      <w:r>
        <w:t xml:space="preserve"> tohoto článku Smlouvy. Získá-li Dodavatel v souvislosti s plněním této Smlouvy důvodné podezření, že dochází, či může prokazatelně dojí</w:t>
      </w:r>
      <w:r>
        <w:t>t k porušení výše uvedených ustanovení, zavazuje se Smluvní partner, že na výzvu Dodavatele předloží Dodavateli podklady, které podezření vyvracejí a/nebo umožní prověření důvodnosti takového podezření ze strany Dodavatele.</w:t>
      </w:r>
    </w:p>
    <w:p w:rsidR="00352A95" w:rsidRDefault="006974A5">
      <w:pPr>
        <w:pStyle w:val="Zkladntext1"/>
        <w:numPr>
          <w:ilvl w:val="1"/>
          <w:numId w:val="4"/>
        </w:numPr>
        <w:shd w:val="clear" w:color="auto" w:fill="auto"/>
        <w:tabs>
          <w:tab w:val="left" w:pos="566"/>
        </w:tabs>
        <w:spacing w:after="220"/>
        <w:ind w:left="580" w:hanging="580"/>
        <w:jc w:val="both"/>
      </w:pPr>
      <w:r>
        <w:t>Smluvní strany se výslovně dohod</w:t>
      </w:r>
      <w:r>
        <w:t>ly, že poruší-li Smluvní partner kteroukoliv povinnost dle tohoto článku Smlouvy anebo ukáže-li se jakékoliv jeho prohlášení dle tohoto článku Smlouvy nepravdivým, je Dodavatel oprávněn odstoupit od této Smlouvy, a to k okamžiku doručení písemného oznámení</w:t>
      </w:r>
      <w:r>
        <w:t xml:space="preserve"> o odstoupení Smluvnímu partnerovi.</w:t>
      </w:r>
    </w:p>
    <w:p w:rsidR="00352A95" w:rsidRDefault="006974A5">
      <w:pPr>
        <w:pStyle w:val="Nadpis20"/>
        <w:keepNext/>
        <w:keepLines/>
        <w:numPr>
          <w:ilvl w:val="0"/>
          <w:numId w:val="4"/>
        </w:numPr>
        <w:shd w:val="clear" w:color="auto" w:fill="auto"/>
        <w:tabs>
          <w:tab w:val="left" w:pos="360"/>
        </w:tabs>
      </w:pPr>
      <w:bookmarkStart w:id="18" w:name="bookmark18"/>
      <w:bookmarkStart w:id="19" w:name="bookmark19"/>
      <w:r>
        <w:t>Trvání a ukončení Smlouvy</w:t>
      </w:r>
      <w:bookmarkEnd w:id="18"/>
      <w:bookmarkEnd w:id="19"/>
    </w:p>
    <w:p w:rsidR="00352A95" w:rsidRDefault="006974A5">
      <w:pPr>
        <w:pStyle w:val="Zkladntext1"/>
        <w:numPr>
          <w:ilvl w:val="1"/>
          <w:numId w:val="4"/>
        </w:numPr>
        <w:shd w:val="clear" w:color="auto" w:fill="auto"/>
        <w:tabs>
          <w:tab w:val="left" w:pos="566"/>
        </w:tabs>
        <w:ind w:left="580" w:hanging="580"/>
        <w:jc w:val="both"/>
      </w:pPr>
      <w:r>
        <w:t>Pro účely uveřejnění Smlouvy v Registru smluv Smluvní strany výslovně prohlašují, že skutečnosti uvedené v této Smlouvě nepovažují za důvěrné informace ani za obchodní tajemství ve smyslu ust. §</w:t>
      </w:r>
      <w:r>
        <w:t xml:space="preserve"> 504 z.č.89/2012 Sb. občanského zákoníku a udělují svolení k jejich uveřejnění v Registru smluv.</w:t>
      </w:r>
    </w:p>
    <w:p w:rsidR="00352A95" w:rsidRDefault="006974A5">
      <w:pPr>
        <w:pStyle w:val="Zkladntext1"/>
        <w:numPr>
          <w:ilvl w:val="1"/>
          <w:numId w:val="4"/>
        </w:numPr>
        <w:shd w:val="clear" w:color="auto" w:fill="auto"/>
        <w:tabs>
          <w:tab w:val="left" w:pos="566"/>
        </w:tabs>
        <w:ind w:left="580" w:hanging="580"/>
        <w:jc w:val="both"/>
      </w:pPr>
      <w:r>
        <w:t xml:space="preserve">Dodavatel výslovně souhlasí se zveřejněním všech náležitostí tohoto smluvního vztahu, výsledků zadávacího řízení vč. údajů o hodnotách parametrů (své) vybrané </w:t>
      </w:r>
      <w:r>
        <w:t>nabídky, jakož i se zveřejněním celého znění této Smlouvy včetně jejích příloh, všech jejích změn a dodatků, a to v rozsahu vyžadovaném právními předpisy.</w:t>
      </w:r>
    </w:p>
    <w:p w:rsidR="00352A95" w:rsidRDefault="006974A5">
      <w:pPr>
        <w:pStyle w:val="Zkladntext1"/>
        <w:numPr>
          <w:ilvl w:val="1"/>
          <w:numId w:val="4"/>
        </w:numPr>
        <w:shd w:val="clear" w:color="auto" w:fill="auto"/>
        <w:tabs>
          <w:tab w:val="left" w:pos="566"/>
        </w:tabs>
        <w:spacing w:line="264" w:lineRule="auto"/>
        <w:ind w:left="580" w:hanging="580"/>
        <w:jc w:val="both"/>
      </w:pPr>
      <w:r>
        <w:t xml:space="preserve">Dodavatel je dále oprávněn tuto Smlouvu vypovědět, a to i jen částečně, v případě, že nebude nadále </w:t>
      </w:r>
      <w:r>
        <w:t>oprávněn Plnění dle této Smlouvy poskytovat, a to i v důsledku ukončení vztahu se třetí stranou (zejm. s Microsoft), který je podmínkou pro existenci oprávnění Dodavatele k poskytování Plnění. Dodavatel je rovněž oprávněn tuto Smlouvu vypovědět, a to i jen</w:t>
      </w:r>
      <w:r>
        <w:t xml:space="preserve"> částečně, v případě, že k tomu bude vyzván ze strany společnosti Microsoft. V případě výpovědi Smlouvy dle tohoto odstavce Smlouvy bude Smlouva ukončena dnem doručení písemné výpovědi Smluvnímu partnerovi, případně dnem pozdějším, bude-li takový den v pís</w:t>
      </w:r>
      <w:r>
        <w:t>emné výpovědi uveden. V takovém případě je povinen vrátit Dodavateli uhrazenou Cenu.</w:t>
      </w:r>
    </w:p>
    <w:p w:rsidR="00352A95" w:rsidRDefault="006974A5">
      <w:pPr>
        <w:pStyle w:val="Zkladntext1"/>
        <w:numPr>
          <w:ilvl w:val="1"/>
          <w:numId w:val="4"/>
        </w:numPr>
        <w:shd w:val="clear" w:color="auto" w:fill="auto"/>
        <w:tabs>
          <w:tab w:val="left" w:pos="566"/>
        </w:tabs>
        <w:spacing w:line="259" w:lineRule="auto"/>
        <w:ind w:left="580" w:hanging="580"/>
        <w:jc w:val="both"/>
      </w:pPr>
      <w:r>
        <w:t>Odstoupení od této Smlouvy oznámí odstupující Smluvní strana druhé Smluvní straně písemně. Účinky odstoupení od Smlouvy nastávají doručením písemného oznámení o odstoupení</w:t>
      </w:r>
      <w:r>
        <w:t xml:space="preserve"> druhé Smluvní straně.</w:t>
      </w:r>
    </w:p>
    <w:p w:rsidR="00352A95" w:rsidRDefault="006974A5">
      <w:pPr>
        <w:pStyle w:val="Zkladntext1"/>
        <w:numPr>
          <w:ilvl w:val="1"/>
          <w:numId w:val="4"/>
        </w:numPr>
        <w:shd w:val="clear" w:color="auto" w:fill="auto"/>
        <w:tabs>
          <w:tab w:val="left" w:pos="566"/>
        </w:tabs>
        <w:spacing w:line="259" w:lineRule="auto"/>
        <w:ind w:left="580" w:hanging="580"/>
        <w:jc w:val="both"/>
      </w:pPr>
      <w:r>
        <w:t>Odstoupením od této Smlouvy nejsou dotčena ustanovení týkající se odpovědnosti za újmu, úroků z prodlení, řešení sporů ani další ustanovení, z jejichž povahy vyplývá, že mají trvat i po zániku účinnosti této Smlouvy.</w:t>
      </w:r>
    </w:p>
    <w:p w:rsidR="00352A95" w:rsidRDefault="006974A5">
      <w:pPr>
        <w:pStyle w:val="Zkladntext1"/>
        <w:numPr>
          <w:ilvl w:val="1"/>
          <w:numId w:val="4"/>
        </w:numPr>
        <w:shd w:val="clear" w:color="auto" w:fill="auto"/>
        <w:tabs>
          <w:tab w:val="left" w:pos="566"/>
        </w:tabs>
        <w:spacing w:after="640" w:line="254" w:lineRule="auto"/>
        <w:ind w:left="580" w:hanging="580"/>
        <w:jc w:val="both"/>
      </w:pPr>
      <w:r>
        <w:t>Účinnost Smlouvy</w:t>
      </w:r>
      <w:r>
        <w:t xml:space="preserve"> rovněž zaniká s ukončením relevantní Smlouvy Microsoft, a to způsobem a v rozsahu, jak je specifikováno v příslušné Smlouvě Microsoft.</w:t>
      </w:r>
    </w:p>
    <w:p w:rsidR="00352A95" w:rsidRDefault="006974A5">
      <w:pPr>
        <w:pStyle w:val="Nadpis20"/>
        <w:keepNext/>
        <w:keepLines/>
        <w:numPr>
          <w:ilvl w:val="0"/>
          <w:numId w:val="4"/>
        </w:numPr>
        <w:shd w:val="clear" w:color="auto" w:fill="auto"/>
        <w:tabs>
          <w:tab w:val="left" w:pos="418"/>
        </w:tabs>
        <w:jc w:val="both"/>
      </w:pPr>
      <w:bookmarkStart w:id="20" w:name="bookmark20"/>
      <w:bookmarkStart w:id="21" w:name="bookmark21"/>
      <w:r>
        <w:t>Další práva a povinnosti Smluvních stran</w:t>
      </w:r>
      <w:bookmarkEnd w:id="20"/>
      <w:bookmarkEnd w:id="21"/>
    </w:p>
    <w:p w:rsidR="00352A95" w:rsidRDefault="006974A5">
      <w:pPr>
        <w:pStyle w:val="Zkladntext1"/>
        <w:numPr>
          <w:ilvl w:val="1"/>
          <w:numId w:val="4"/>
        </w:numPr>
        <w:shd w:val="clear" w:color="auto" w:fill="auto"/>
        <w:tabs>
          <w:tab w:val="left" w:pos="566"/>
        </w:tabs>
        <w:ind w:left="580" w:hanging="580"/>
        <w:jc w:val="both"/>
      </w:pPr>
      <w:r>
        <w:t>V případě rozporu ustanovení následujících dokumentů se použije pro výklad Smlo</w:t>
      </w:r>
      <w:r>
        <w:t>uvy úprava obsažená v dokumentech v tomto pořadí přednosti: 1. Zadávací dokumentace včetně všech dodatečných informací k Zakázce, 2. Nabídka, 3. Smlouva. Stejné pořadí dokumentů počínaje č. 1 se použije pro určení obsahu práv a povinností Smluvních stran n</w:t>
      </w:r>
      <w:r>
        <w:t>eupravených touto Smlouvou.</w:t>
      </w: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C81BFA" w:rsidRDefault="00C81BFA" w:rsidP="00C81BFA">
      <w:pPr>
        <w:pStyle w:val="Zkladntext1"/>
        <w:shd w:val="clear" w:color="auto" w:fill="auto"/>
        <w:tabs>
          <w:tab w:val="left" w:pos="566"/>
        </w:tabs>
        <w:jc w:val="both"/>
      </w:pPr>
    </w:p>
    <w:p w:rsidR="00352A95" w:rsidRDefault="006974A5">
      <w:pPr>
        <w:jc w:val="center"/>
        <w:rPr>
          <w:sz w:val="2"/>
          <w:szCs w:val="2"/>
        </w:rPr>
      </w:pPr>
      <w:r>
        <w:rPr>
          <w:noProof/>
          <w:lang w:bidi="ar-SA"/>
        </w:rPr>
        <w:lastRenderedPageBreak/>
        <w:drawing>
          <wp:inline distT="0" distB="0" distL="0" distR="0">
            <wp:extent cx="6577330" cy="63373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pic:blipFill>
                  <pic:spPr>
                    <a:xfrm>
                      <a:off x="0" y="0"/>
                      <a:ext cx="6577330" cy="633730"/>
                    </a:xfrm>
                    <a:prstGeom prst="rect">
                      <a:avLst/>
                    </a:prstGeom>
                  </pic:spPr>
                </pic:pic>
              </a:graphicData>
            </a:graphic>
          </wp:inline>
        </w:drawing>
      </w:r>
    </w:p>
    <w:p w:rsidR="00352A95" w:rsidRDefault="00352A95">
      <w:pPr>
        <w:spacing w:after="59" w:line="1" w:lineRule="exact"/>
      </w:pPr>
    </w:p>
    <w:p w:rsidR="00352A95" w:rsidRDefault="006974A5">
      <w:pPr>
        <w:pStyle w:val="Zkladntext1"/>
        <w:numPr>
          <w:ilvl w:val="1"/>
          <w:numId w:val="4"/>
        </w:numPr>
        <w:shd w:val="clear" w:color="auto" w:fill="auto"/>
        <w:tabs>
          <w:tab w:val="left" w:pos="566"/>
        </w:tabs>
        <w:ind w:left="580" w:hanging="580"/>
        <w:jc w:val="both"/>
      </w:pPr>
      <w:r>
        <w:t>Veškerá práva a povinnosti stanovená ve všech odstavcích tohoto článku Smlouvy mají v případě rozporu s ostatními ustanoveními této Smlouvy, nebo s ustanoveními kterékoliv z jejích příloh, přednost. Přednost zadávací dokument</w:t>
      </w:r>
      <w:r>
        <w:t>ace včetně veškerých dodatečných informací k Zakázce před ustanoveními tohoto článku zůstává nedotčena.</w:t>
      </w:r>
    </w:p>
    <w:p w:rsidR="00352A95" w:rsidRDefault="006974A5">
      <w:pPr>
        <w:pStyle w:val="Zkladntext1"/>
        <w:numPr>
          <w:ilvl w:val="1"/>
          <w:numId w:val="4"/>
        </w:numPr>
        <w:shd w:val="clear" w:color="auto" w:fill="auto"/>
        <w:tabs>
          <w:tab w:val="left" w:pos="566"/>
        </w:tabs>
        <w:ind w:left="580" w:hanging="580"/>
        <w:jc w:val="both"/>
      </w:pPr>
      <w:r>
        <w:t>Dodavatel se zavazuje po celou dobu plnění veřejné zakázky dodržování veškerých právních předpis ČR s důrazem na legální zaměstnávání, spravedlivé odměň</w:t>
      </w:r>
      <w:r>
        <w:t>ování a dodržování bezpečnosti a ochrany zdraví při práci, přičemž uvedené je dodavatel povinen zajistit u svých poddodavatelů. Vůči poddodavatelům je dodavatel povinen zajistit srovnatelnou úroveň zadavatelem určených smluvních podmínek s podmínkami smlou</w:t>
      </w:r>
      <w:r>
        <w:t>vy na veřejnou zakázku a řádné a včasné uhrazení svých finančních závazků.</w:t>
      </w:r>
    </w:p>
    <w:p w:rsidR="00352A95" w:rsidRDefault="006974A5">
      <w:pPr>
        <w:pStyle w:val="Zkladntext1"/>
        <w:numPr>
          <w:ilvl w:val="1"/>
          <w:numId w:val="4"/>
        </w:numPr>
        <w:shd w:val="clear" w:color="auto" w:fill="auto"/>
        <w:tabs>
          <w:tab w:val="left" w:pos="566"/>
        </w:tabs>
        <w:spacing w:line="254" w:lineRule="auto"/>
        <w:ind w:left="580" w:hanging="580"/>
        <w:jc w:val="both"/>
      </w:pPr>
      <w:r>
        <w:t>Dodavatel (poskytovatel) se zavazuje po celou dobu plnění smlouvy zajistit společensky odpovědné plnění, které předložil ve své nabídce k Zakázce.</w:t>
      </w:r>
    </w:p>
    <w:p w:rsidR="00352A95" w:rsidRDefault="006974A5">
      <w:pPr>
        <w:pStyle w:val="Zkladntext1"/>
        <w:numPr>
          <w:ilvl w:val="1"/>
          <w:numId w:val="4"/>
        </w:numPr>
        <w:shd w:val="clear" w:color="auto" w:fill="auto"/>
        <w:tabs>
          <w:tab w:val="left" w:pos="566"/>
        </w:tabs>
        <w:spacing w:line="264" w:lineRule="auto"/>
        <w:ind w:left="580" w:hanging="580"/>
        <w:jc w:val="both"/>
      </w:pPr>
      <w:r>
        <w:t xml:space="preserve">Ujednání o spolupůsobení při </w:t>
      </w:r>
      <w:r>
        <w:t>výkonu finanční kontroly: Dodavatel (poskytovatel) je podle ustanovení § 2 písm. e) zákona č. 320/2001 Sb., o finanční kontrole ve veřejné správě a o změně některých zákonů (zákon o finanční kontrole), ve znění pozdějších předpisů, osobou povinnou spolupůs</w:t>
      </w:r>
      <w:r>
        <w:t>obit při výkonu finanční kontroly prováděné v souvislosti s úhradou zboží nebo služeb z veřejných výdajů.</w:t>
      </w:r>
    </w:p>
    <w:p w:rsidR="00352A95" w:rsidRDefault="006974A5">
      <w:pPr>
        <w:pStyle w:val="Zkladntext1"/>
        <w:numPr>
          <w:ilvl w:val="1"/>
          <w:numId w:val="4"/>
        </w:numPr>
        <w:shd w:val="clear" w:color="auto" w:fill="auto"/>
        <w:tabs>
          <w:tab w:val="left" w:pos="566"/>
        </w:tabs>
        <w:spacing w:line="259" w:lineRule="auto"/>
        <w:ind w:left="580" w:hanging="580"/>
        <w:jc w:val="both"/>
      </w:pPr>
      <w:r>
        <w:t>Ujednání o povinnosti mlčenlivosti: Dodavatel (poskytovatel) se zavazuje během plnění smlouvy i po ukončení smlouvy, zachovávat mlčenlivost o všech sk</w:t>
      </w:r>
      <w:r>
        <w:t>utečnostech, o kterých se dozví od NPÚ v souvislosti s plněním Smlouvy.</w:t>
      </w:r>
    </w:p>
    <w:p w:rsidR="00352A95" w:rsidRDefault="006974A5">
      <w:pPr>
        <w:pStyle w:val="Zkladntext1"/>
        <w:numPr>
          <w:ilvl w:val="1"/>
          <w:numId w:val="4"/>
        </w:numPr>
        <w:shd w:val="clear" w:color="auto" w:fill="auto"/>
        <w:tabs>
          <w:tab w:val="left" w:pos="566"/>
        </w:tabs>
        <w:ind w:left="580" w:hanging="580"/>
        <w:jc w:val="both"/>
      </w:pPr>
      <w:r>
        <w:t>Ujednání o sankci za porušení povinnosti mlčenlivosti: Za porušení povinnosti mlčenlivosti specifikované v této smlouvě je Dodavatel (poskytovatel) povinna uhradit nabyvateli (NPÚ) sml</w:t>
      </w:r>
      <w:r>
        <w:t>uvní pokutu ve výši 5.000 Kč, a to za každý jednotlivý případ porušení povinnosti. Uhrazení smluvní pokuty se nikterak nedotýká nároku na náhradu škody způsobené porušením této povinnosti.</w:t>
      </w:r>
    </w:p>
    <w:p w:rsidR="00352A95" w:rsidRDefault="006974A5">
      <w:pPr>
        <w:pStyle w:val="Zkladntext1"/>
        <w:numPr>
          <w:ilvl w:val="1"/>
          <w:numId w:val="4"/>
        </w:numPr>
        <w:shd w:val="clear" w:color="auto" w:fill="auto"/>
        <w:tabs>
          <w:tab w:val="left" w:pos="566"/>
        </w:tabs>
        <w:spacing w:line="264" w:lineRule="auto"/>
        <w:ind w:left="580" w:hanging="580"/>
        <w:jc w:val="both"/>
      </w:pPr>
      <w:r>
        <w:t xml:space="preserve">Ujednání o právu zadavatele zveřejnit Smlouvu v souladu s platnými </w:t>
      </w:r>
      <w:r>
        <w:t xml:space="preserve">právními předpisy: NPÚ si vyhrazuje právo zveřejnit obsah této Smlouvy včetně případných dodatků k této smlouvě. Dodavatel (poskytovatel) dále souhlasí se zveřejněním své identifikace a dalších údajů uvedených ve smlouvě včetně ceny. Smluvní strany shodně </w:t>
      </w:r>
      <w:r>
        <w:t>dále konstatují, že tato Smlouva včetně všech příloh podléhá uveřejnění dle zákona č. 340/2015 Sb., o zvláštních podmínkách účinnosti některých smluv, uveřejňování těchto smluv a o registru smluv (zákon o registru smluv). Smluvní strany se dohodly, že tuto</w:t>
      </w:r>
      <w:r>
        <w:t xml:space="preserve"> Smlouvu uveřejní v registru smluv NPÚ.</w:t>
      </w:r>
    </w:p>
    <w:p w:rsidR="00352A95" w:rsidRDefault="006974A5">
      <w:pPr>
        <w:pStyle w:val="Zkladntext1"/>
        <w:numPr>
          <w:ilvl w:val="1"/>
          <w:numId w:val="4"/>
        </w:numPr>
        <w:shd w:val="clear" w:color="auto" w:fill="auto"/>
        <w:tabs>
          <w:tab w:val="left" w:pos="566"/>
        </w:tabs>
        <w:spacing w:line="254" w:lineRule="auto"/>
        <w:ind w:left="580" w:hanging="580"/>
        <w:jc w:val="both"/>
      </w:pPr>
      <w:r>
        <w:t>Tato Smlouva nabývá platnosti dnem jejího podpisu oběma Smluvními stranami a účinnosti dnem uveřejnění v registru smluv.</w:t>
      </w:r>
    </w:p>
    <w:p w:rsidR="00352A95" w:rsidRDefault="006974A5">
      <w:pPr>
        <w:pStyle w:val="Zkladntext1"/>
        <w:numPr>
          <w:ilvl w:val="1"/>
          <w:numId w:val="4"/>
        </w:numPr>
        <w:shd w:val="clear" w:color="auto" w:fill="auto"/>
        <w:tabs>
          <w:tab w:val="left" w:pos="644"/>
        </w:tabs>
        <w:spacing w:line="254" w:lineRule="auto"/>
        <w:ind w:left="580" w:hanging="580"/>
        <w:jc w:val="both"/>
      </w:pPr>
      <w:r>
        <w:t>Ujednání o odstoupení, výpovědi: Smluvní strany jsou oprávněny od Smlouvy odstoupit z důvodů uv</w:t>
      </w:r>
      <w:r>
        <w:t>edených v zákoně a z důvodu podstatného porušení Smlouvy.</w:t>
      </w:r>
    </w:p>
    <w:p w:rsidR="00352A95" w:rsidRDefault="006974A5">
      <w:pPr>
        <w:pStyle w:val="Zkladntext1"/>
        <w:numPr>
          <w:ilvl w:val="1"/>
          <w:numId w:val="4"/>
        </w:numPr>
        <w:shd w:val="clear" w:color="auto" w:fill="auto"/>
        <w:tabs>
          <w:tab w:val="left" w:pos="644"/>
        </w:tabs>
        <w:spacing w:line="259" w:lineRule="auto"/>
        <w:ind w:left="580" w:hanging="580"/>
        <w:jc w:val="both"/>
      </w:pPr>
      <w:r>
        <w:t>Poskytovatel není oprávněn postoupit práva, povinnosti a závazky Smlouvy třetí osobě nebo jiným osobám bez předchozího písemného souhlasu nabyvatele (NPÚ).</w:t>
      </w:r>
    </w:p>
    <w:p w:rsidR="00352A95" w:rsidRDefault="006974A5">
      <w:pPr>
        <w:pStyle w:val="Zkladntext1"/>
        <w:numPr>
          <w:ilvl w:val="1"/>
          <w:numId w:val="4"/>
        </w:numPr>
        <w:shd w:val="clear" w:color="auto" w:fill="auto"/>
        <w:tabs>
          <w:tab w:val="left" w:pos="644"/>
        </w:tabs>
        <w:spacing w:after="640" w:line="259" w:lineRule="auto"/>
        <w:ind w:left="580" w:hanging="580"/>
        <w:jc w:val="both"/>
      </w:pPr>
      <w:r>
        <w:t xml:space="preserve">Ujednání o ochraně osobních údajů: Informace k ochraně osobních údajů jsou ze strany NPÚ uveřejněny na webových stránkách </w:t>
      </w:r>
      <w:hyperlink r:id="rId9" w:history="1">
        <w:r>
          <w:t>www.npu.cz</w:t>
        </w:r>
      </w:hyperlink>
      <w:r>
        <w:t xml:space="preserve"> v sekci „Ochrana osobních údajů“.</w:t>
      </w:r>
    </w:p>
    <w:p w:rsidR="00352A95" w:rsidRDefault="006974A5">
      <w:pPr>
        <w:pStyle w:val="Nadpis20"/>
        <w:keepNext/>
        <w:keepLines/>
        <w:numPr>
          <w:ilvl w:val="0"/>
          <w:numId w:val="4"/>
        </w:numPr>
        <w:shd w:val="clear" w:color="auto" w:fill="auto"/>
        <w:tabs>
          <w:tab w:val="left" w:pos="418"/>
        </w:tabs>
        <w:jc w:val="both"/>
      </w:pPr>
      <w:bookmarkStart w:id="22" w:name="bookmark22"/>
      <w:bookmarkStart w:id="23" w:name="bookmark23"/>
      <w:r>
        <w:t>Závěrečná ustanovení</w:t>
      </w:r>
      <w:bookmarkEnd w:id="22"/>
      <w:bookmarkEnd w:id="23"/>
    </w:p>
    <w:p w:rsidR="00352A95" w:rsidRDefault="006974A5">
      <w:pPr>
        <w:pStyle w:val="Zkladntext1"/>
        <w:numPr>
          <w:ilvl w:val="1"/>
          <w:numId w:val="4"/>
        </w:numPr>
        <w:shd w:val="clear" w:color="auto" w:fill="auto"/>
        <w:tabs>
          <w:tab w:val="left" w:pos="566"/>
        </w:tabs>
        <w:spacing w:line="254" w:lineRule="auto"/>
        <w:ind w:left="580" w:hanging="580"/>
        <w:jc w:val="both"/>
      </w:pPr>
      <w:r>
        <w:t>Tato Smlouva představuje úplnou doho</w:t>
      </w:r>
      <w:r>
        <w:t>du Smluvních stran o předmětu této Smlouvy a nahrazuje veškerá předešlá ústní i písemná ujednání Smluvních stran.</w:t>
      </w:r>
    </w:p>
    <w:p w:rsidR="00C81BFA" w:rsidRDefault="00C81BFA" w:rsidP="00C81BFA">
      <w:pPr>
        <w:pStyle w:val="Zkladntext1"/>
        <w:shd w:val="clear" w:color="auto" w:fill="auto"/>
        <w:tabs>
          <w:tab w:val="left" w:pos="566"/>
        </w:tabs>
        <w:spacing w:line="254" w:lineRule="auto"/>
        <w:jc w:val="both"/>
      </w:pPr>
    </w:p>
    <w:p w:rsidR="00C81BFA" w:rsidRDefault="00C81BFA" w:rsidP="00C81BFA">
      <w:pPr>
        <w:pStyle w:val="Zkladntext1"/>
        <w:shd w:val="clear" w:color="auto" w:fill="auto"/>
        <w:tabs>
          <w:tab w:val="left" w:pos="566"/>
        </w:tabs>
        <w:spacing w:line="254" w:lineRule="auto"/>
        <w:jc w:val="both"/>
      </w:pPr>
    </w:p>
    <w:p w:rsidR="00352A95" w:rsidRDefault="006974A5">
      <w:pPr>
        <w:jc w:val="center"/>
        <w:rPr>
          <w:sz w:val="2"/>
          <w:szCs w:val="2"/>
        </w:rPr>
      </w:pPr>
      <w:r>
        <w:rPr>
          <w:noProof/>
          <w:lang w:bidi="ar-SA"/>
        </w:rPr>
        <w:lastRenderedPageBreak/>
        <w:drawing>
          <wp:inline distT="0" distB="0" distL="0" distR="0">
            <wp:extent cx="6577330" cy="63373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pic:blipFill>
                  <pic:spPr>
                    <a:xfrm>
                      <a:off x="0" y="0"/>
                      <a:ext cx="6577330" cy="633730"/>
                    </a:xfrm>
                    <a:prstGeom prst="rect">
                      <a:avLst/>
                    </a:prstGeom>
                  </pic:spPr>
                </pic:pic>
              </a:graphicData>
            </a:graphic>
          </wp:inline>
        </w:drawing>
      </w:r>
    </w:p>
    <w:p w:rsidR="00352A95" w:rsidRDefault="00352A95">
      <w:pPr>
        <w:spacing w:after="59" w:line="1" w:lineRule="exact"/>
      </w:pPr>
    </w:p>
    <w:p w:rsidR="00352A95" w:rsidRDefault="006974A5">
      <w:pPr>
        <w:pStyle w:val="Zkladntext1"/>
        <w:numPr>
          <w:ilvl w:val="1"/>
          <w:numId w:val="4"/>
        </w:numPr>
        <w:shd w:val="clear" w:color="auto" w:fill="auto"/>
        <w:tabs>
          <w:tab w:val="left" w:pos="560"/>
        </w:tabs>
        <w:spacing w:after="120" w:line="259" w:lineRule="auto"/>
        <w:ind w:left="580" w:hanging="580"/>
        <w:jc w:val="both"/>
      </w:pPr>
      <w:r>
        <w:t>Tuto Smlouvu je možné měnit pouze písemnou dohodou Smluvních stran ve formě číslovaných dodatků této Smlouvy, podepsaných za každou Smluvní</w:t>
      </w:r>
      <w:r>
        <w:t xml:space="preserve"> stranu osobou nebo osobami oprávněnými jednat jménem Smluvních stran.</w:t>
      </w:r>
    </w:p>
    <w:p w:rsidR="00352A95" w:rsidRDefault="006974A5">
      <w:pPr>
        <w:pStyle w:val="Zkladntext1"/>
        <w:numPr>
          <w:ilvl w:val="1"/>
          <w:numId w:val="4"/>
        </w:numPr>
        <w:shd w:val="clear" w:color="auto" w:fill="auto"/>
        <w:tabs>
          <w:tab w:val="left" w:pos="560"/>
        </w:tabs>
        <w:spacing w:after="120" w:line="264" w:lineRule="auto"/>
        <w:ind w:left="580" w:hanging="580"/>
        <w:jc w:val="both"/>
      </w:pPr>
      <w:r>
        <w:t xml:space="preserve">Pokud by se kterékoliv ustanovení této Smlouvy ukázalo být neplatným nebo nevynutitelným nebo se jím stalo po uzavření této Smlouvy, pak tato skutečnost nepůsobí neplatnost ani </w:t>
      </w:r>
      <w:r>
        <w:t>nevynutitelnost ostatních ustanovení této Smlouvy, nevyplývá-li z donucujících ustanovení právních předpisů jinak. Smluvní strany se zavazují takové neplatné či nevynutitelné ustanovení nahradit platným a vynutitelným ustanovením, které je svým obsahem nej</w:t>
      </w:r>
      <w:r>
        <w:t>bližší účelu neplatného či nevynutitelného ustanovení.</w:t>
      </w:r>
    </w:p>
    <w:p w:rsidR="00352A95" w:rsidRDefault="006974A5">
      <w:pPr>
        <w:pStyle w:val="Zkladntext1"/>
        <w:numPr>
          <w:ilvl w:val="1"/>
          <w:numId w:val="4"/>
        </w:numPr>
        <w:shd w:val="clear" w:color="auto" w:fill="auto"/>
        <w:tabs>
          <w:tab w:val="left" w:pos="560"/>
        </w:tabs>
        <w:spacing w:after="120" w:line="259" w:lineRule="auto"/>
        <w:ind w:left="580" w:hanging="580"/>
        <w:jc w:val="both"/>
      </w:pPr>
      <w:r>
        <w:t>Smluvní partner výslovně prohlašuje, že se podrobně seznámil se všemi dokumenty týkajícími se Plnění a že žádné z ustanovení tam uvedených nepovažuje za takové, které by nemohl rozumně předpokládat.</w:t>
      </w:r>
    </w:p>
    <w:p w:rsidR="00352A95" w:rsidRDefault="006974A5">
      <w:pPr>
        <w:pStyle w:val="Zkladntext1"/>
        <w:numPr>
          <w:ilvl w:val="1"/>
          <w:numId w:val="4"/>
        </w:numPr>
        <w:shd w:val="clear" w:color="auto" w:fill="auto"/>
        <w:tabs>
          <w:tab w:val="left" w:pos="560"/>
        </w:tabs>
        <w:spacing w:after="120"/>
        <w:ind w:left="580" w:hanging="580"/>
        <w:jc w:val="both"/>
      </w:pPr>
      <w:r>
        <w:t>Sm</w:t>
      </w:r>
      <w:r>
        <w:t>luvní partner na sebe ve smyslu § 1765 odst. 2 občanského zákoníku přebírá nebezpečí změny okolností pro případ, že by se po uzavření této Smlouvy změnily okolnosti do té míry, že se plnění podle této Smlouvy stane pro něj obtížnější. Smlouva je závazná pr</w:t>
      </w:r>
      <w:r>
        <w:t>o právní nástupce Smluvních stran.</w:t>
      </w:r>
    </w:p>
    <w:p w:rsidR="00352A95" w:rsidRDefault="006974A5">
      <w:pPr>
        <w:pStyle w:val="Zkladntext1"/>
        <w:numPr>
          <w:ilvl w:val="1"/>
          <w:numId w:val="4"/>
        </w:numPr>
        <w:shd w:val="clear" w:color="auto" w:fill="auto"/>
        <w:tabs>
          <w:tab w:val="left" w:pos="560"/>
        </w:tabs>
        <w:spacing w:after="120" w:line="240" w:lineRule="auto"/>
      </w:pPr>
      <w:r>
        <w:t>Smluvní strany se dále dohodly, že ustanovení §§ 1798 - 1800 občanského zákoníku se neužijí.</w:t>
      </w:r>
    </w:p>
    <w:p w:rsidR="00352A95" w:rsidRDefault="006974A5">
      <w:pPr>
        <w:pStyle w:val="Zkladntext1"/>
        <w:numPr>
          <w:ilvl w:val="1"/>
          <w:numId w:val="4"/>
        </w:numPr>
        <w:shd w:val="clear" w:color="auto" w:fill="auto"/>
        <w:tabs>
          <w:tab w:val="left" w:pos="560"/>
        </w:tabs>
        <w:spacing w:after="120" w:line="240" w:lineRule="auto"/>
      </w:pPr>
      <w:r>
        <w:t>Nedílnou součást Smlouvy tvoří tyto přílohy:</w:t>
      </w:r>
    </w:p>
    <w:p w:rsidR="00352A95" w:rsidRDefault="006974A5">
      <w:pPr>
        <w:pStyle w:val="Zkladntext1"/>
        <w:shd w:val="clear" w:color="auto" w:fill="auto"/>
        <w:tabs>
          <w:tab w:val="left" w:pos="2530"/>
        </w:tabs>
        <w:spacing w:after="120" w:line="266" w:lineRule="auto"/>
        <w:ind w:firstLine="840"/>
      </w:pPr>
      <w:r>
        <w:t>Příloha č. 1:</w:t>
      </w:r>
      <w:r>
        <w:tab/>
        <w:t>Položkový rozpočet a Specifikace licencí</w:t>
      </w:r>
    </w:p>
    <w:p w:rsidR="00352A95" w:rsidRDefault="006974A5">
      <w:pPr>
        <w:pStyle w:val="Zkladntext1"/>
        <w:numPr>
          <w:ilvl w:val="1"/>
          <w:numId w:val="4"/>
        </w:numPr>
        <w:shd w:val="clear" w:color="auto" w:fill="auto"/>
        <w:tabs>
          <w:tab w:val="left" w:pos="560"/>
        </w:tabs>
        <w:spacing w:after="120" w:line="254" w:lineRule="auto"/>
        <w:ind w:left="580" w:hanging="580"/>
      </w:pPr>
      <w:r>
        <w:t>V případě listinného uzavřen</w:t>
      </w:r>
      <w:r>
        <w:t>í bude Smlouva vypracována ve 3 vyhotoveních s platností originálu, z nichž Dodavatel obdrží 2 výtisky a Smluvní partner obdrží 1 výtisk.</w:t>
      </w:r>
    </w:p>
    <w:p w:rsidR="00352A95" w:rsidRDefault="006974A5">
      <w:pPr>
        <w:pStyle w:val="Zkladntext1"/>
        <w:shd w:val="clear" w:color="auto" w:fill="auto"/>
        <w:spacing w:after="120" w:line="269" w:lineRule="auto"/>
        <w:ind w:left="580"/>
        <w:jc w:val="both"/>
      </w:pPr>
      <w:r>
        <w:t xml:space="preserve">V případě elektronického uzavření je Smlouva vyhotovena v elektronické podobě v 1 vyhotovení v českém jazyce s </w:t>
      </w:r>
      <w:r>
        <w:t>elektronickými podpisy obou Smluvních stran.</w:t>
      </w:r>
    </w:p>
    <w:p w:rsidR="00352A95" w:rsidRDefault="006974A5">
      <w:pPr>
        <w:pStyle w:val="Zkladntext1"/>
        <w:shd w:val="clear" w:color="auto" w:fill="auto"/>
        <w:spacing w:after="120" w:line="266" w:lineRule="auto"/>
        <w:ind w:left="580"/>
        <w:jc w:val="both"/>
      </w:pPr>
      <w:r>
        <w:t>Každá ze Smluvních stran elektronicky obdrží plně podepsaný dokument ve formátu .pdf opatřený elektronickým podpisem založeným na kvalifikovaném certifikátu dle zákona č. 297/2016 Sb., o službách vytvářejících d</w:t>
      </w:r>
      <w:r>
        <w:t xml:space="preserve">ůvěru pro elektronické transakce, ve znění pozdějších předpisů, popř. se musí jednat o autorizovaně konvertovaný dokument ve smyslu zákona č. 300/2008 Sb., o elektronických úkonech a autorizované konverzi dokumentů, takový dokument se považuje za originál </w:t>
      </w:r>
      <w:r>
        <w:t>Smlouvy.</w:t>
      </w:r>
    </w:p>
    <w:p w:rsidR="00352A95" w:rsidRDefault="006974A5">
      <w:pPr>
        <w:pStyle w:val="Zkladntext1"/>
        <w:numPr>
          <w:ilvl w:val="1"/>
          <w:numId w:val="4"/>
        </w:numPr>
        <w:shd w:val="clear" w:color="auto" w:fill="auto"/>
        <w:tabs>
          <w:tab w:val="left" w:pos="560"/>
        </w:tabs>
        <w:spacing w:after="120"/>
        <w:ind w:left="580" w:hanging="580"/>
        <w:jc w:val="both"/>
      </w:pPr>
      <w:r>
        <w:t>Smluvní strany po řádném přečtení této Smlouvy prohlašují, že Smlouva byla uzavřena po vzájemném projednání, na základě jejich pravé, vážně míněné a svobodné vůle, při respektování principu poctivost, spravedlnosti a rovnosti Smluvních stran. Na d</w:t>
      </w:r>
      <w:r>
        <w:t>ůkaz uvedených skutečností připojují své podpisy.</w:t>
      </w:r>
    </w:p>
    <w:p w:rsidR="00C81BFA" w:rsidRDefault="00C81BFA">
      <w:pPr>
        <w:pStyle w:val="Zkladntext1"/>
        <w:numPr>
          <w:ilvl w:val="1"/>
          <w:numId w:val="4"/>
        </w:numPr>
        <w:shd w:val="clear" w:color="auto" w:fill="auto"/>
        <w:tabs>
          <w:tab w:val="left" w:pos="560"/>
        </w:tabs>
        <w:spacing w:after="120"/>
        <w:ind w:left="580" w:hanging="580"/>
        <w:jc w:val="both"/>
      </w:pPr>
      <w:bookmarkStart w:id="24" w:name="_GoBack"/>
      <w:bookmarkEnd w:id="24"/>
    </w:p>
    <w:p w:rsidR="00352A95" w:rsidRDefault="006974A5">
      <w:pPr>
        <w:spacing w:line="1" w:lineRule="exact"/>
      </w:pPr>
      <w:r>
        <w:rPr>
          <w:noProof/>
          <w:lang w:bidi="ar-SA"/>
        </w:rPr>
        <w:drawing>
          <wp:anchor distT="128270" distB="1976755" distL="0" distR="0" simplePos="0" relativeHeight="125829394" behindDoc="0" locked="0" layoutInCell="1" allowOverlap="1">
            <wp:simplePos x="0" y="0"/>
            <wp:positionH relativeFrom="page">
              <wp:posOffset>236220</wp:posOffset>
            </wp:positionH>
            <wp:positionV relativeFrom="paragraph">
              <wp:posOffset>128270</wp:posOffset>
            </wp:positionV>
            <wp:extent cx="121920" cy="121920"/>
            <wp:effectExtent l="0" t="0" r="0" b="0"/>
            <wp:wrapTopAndBottom/>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0"/>
                    <a:stretch/>
                  </pic:blipFill>
                  <pic:spPr>
                    <a:xfrm>
                      <a:off x="0" y="0"/>
                      <a:ext cx="121920" cy="121920"/>
                    </a:xfrm>
                    <a:prstGeom prst="rect">
                      <a:avLst/>
                    </a:prstGeom>
                  </pic:spPr>
                </pic:pic>
              </a:graphicData>
            </a:graphic>
          </wp:anchor>
        </w:drawing>
      </w:r>
      <w:r>
        <w:rPr>
          <w:noProof/>
          <w:lang w:bidi="ar-SA"/>
        </w:rPr>
        <w:drawing>
          <wp:anchor distT="128270" distB="1976755" distL="0" distR="0" simplePos="0" relativeHeight="125829395" behindDoc="0" locked="0" layoutInCell="1" allowOverlap="1">
            <wp:simplePos x="0" y="0"/>
            <wp:positionH relativeFrom="page">
              <wp:posOffset>431165</wp:posOffset>
            </wp:positionH>
            <wp:positionV relativeFrom="paragraph">
              <wp:posOffset>128270</wp:posOffset>
            </wp:positionV>
            <wp:extent cx="121920" cy="121920"/>
            <wp:effectExtent l="0" t="0" r="0" b="0"/>
            <wp:wrapTopAndBottom/>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1"/>
                    <a:stretch/>
                  </pic:blipFill>
                  <pic:spPr>
                    <a:xfrm>
                      <a:off x="0" y="0"/>
                      <a:ext cx="121920" cy="121920"/>
                    </a:xfrm>
                    <a:prstGeom prst="rect">
                      <a:avLst/>
                    </a:prstGeom>
                  </pic:spPr>
                </pic:pic>
              </a:graphicData>
            </a:graphic>
          </wp:anchor>
        </w:drawing>
      </w:r>
      <w:r>
        <w:rPr>
          <w:noProof/>
          <w:lang w:bidi="ar-SA"/>
        </w:rPr>
        <w:drawing>
          <wp:anchor distT="128270" distB="1976755" distL="0" distR="0" simplePos="0" relativeHeight="125829396" behindDoc="0" locked="0" layoutInCell="1" allowOverlap="1">
            <wp:simplePos x="0" y="0"/>
            <wp:positionH relativeFrom="page">
              <wp:posOffset>626110</wp:posOffset>
            </wp:positionH>
            <wp:positionV relativeFrom="paragraph">
              <wp:posOffset>128270</wp:posOffset>
            </wp:positionV>
            <wp:extent cx="121920" cy="121920"/>
            <wp:effectExtent l="0" t="0" r="0" b="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12"/>
                    <a:stretch/>
                  </pic:blipFill>
                  <pic:spPr>
                    <a:xfrm>
                      <a:off x="0" y="0"/>
                      <a:ext cx="121920" cy="121920"/>
                    </a:xfrm>
                    <a:prstGeom prst="rect">
                      <a:avLst/>
                    </a:prstGeom>
                  </pic:spPr>
                </pic:pic>
              </a:graphicData>
            </a:graphic>
          </wp:anchor>
        </w:drawing>
      </w:r>
      <w:r>
        <w:rPr>
          <w:noProof/>
          <w:lang w:bidi="ar-SA"/>
        </w:rPr>
        <w:drawing>
          <wp:anchor distT="128270" distB="1976755" distL="0" distR="0" simplePos="0" relativeHeight="125829397" behindDoc="0" locked="0" layoutInCell="1" allowOverlap="1">
            <wp:simplePos x="0" y="0"/>
            <wp:positionH relativeFrom="page">
              <wp:posOffset>818515</wp:posOffset>
            </wp:positionH>
            <wp:positionV relativeFrom="paragraph">
              <wp:posOffset>128270</wp:posOffset>
            </wp:positionV>
            <wp:extent cx="121920" cy="121920"/>
            <wp:effectExtent l="0" t="0" r="0" b="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13"/>
                    <a:stretch/>
                  </pic:blipFill>
                  <pic:spPr>
                    <a:xfrm>
                      <a:off x="0" y="0"/>
                      <a:ext cx="121920" cy="121920"/>
                    </a:xfrm>
                    <a:prstGeom prst="rect">
                      <a:avLst/>
                    </a:prstGeom>
                  </pic:spPr>
                </pic:pic>
              </a:graphicData>
            </a:graphic>
          </wp:anchor>
        </w:drawing>
      </w:r>
      <w:r>
        <w:rPr>
          <w:noProof/>
          <w:lang w:bidi="ar-SA"/>
        </w:rPr>
        <w:drawing>
          <wp:anchor distT="0" distB="1885315" distL="0" distR="0" simplePos="0" relativeHeight="125829398" behindDoc="0" locked="0" layoutInCell="1" allowOverlap="1">
            <wp:simplePos x="0" y="0"/>
            <wp:positionH relativeFrom="page">
              <wp:posOffset>3552190</wp:posOffset>
            </wp:positionH>
            <wp:positionV relativeFrom="paragraph">
              <wp:posOffset>0</wp:posOffset>
            </wp:positionV>
            <wp:extent cx="3157855" cy="341630"/>
            <wp:effectExtent l="0" t="0" r="0" b="0"/>
            <wp:wrapTopAndBottom/>
            <wp:docPr id="40" name="Shape 40"/>
            <wp:cNvGraphicFramePr/>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14"/>
                    <a:stretch/>
                  </pic:blipFill>
                  <pic:spPr>
                    <a:xfrm>
                      <a:off x="0" y="0"/>
                      <a:ext cx="3157855" cy="341630"/>
                    </a:xfrm>
                    <a:prstGeom prst="rect">
                      <a:avLst/>
                    </a:prstGeom>
                  </pic:spPr>
                </pic:pic>
              </a:graphicData>
            </a:graphic>
          </wp:anchor>
        </w:drawing>
      </w:r>
      <w:r>
        <w:rPr>
          <w:noProof/>
          <w:lang w:bidi="ar-SA"/>
        </w:rPr>
        <mc:AlternateContent>
          <mc:Choice Requires="wps">
            <w:drawing>
              <wp:anchor distT="560705" distB="1501775" distL="0" distR="0" simplePos="0" relativeHeight="125829399" behindDoc="0" locked="0" layoutInCell="1" allowOverlap="1">
                <wp:simplePos x="0" y="0"/>
                <wp:positionH relativeFrom="page">
                  <wp:posOffset>976630</wp:posOffset>
                </wp:positionH>
                <wp:positionV relativeFrom="paragraph">
                  <wp:posOffset>560705</wp:posOffset>
                </wp:positionV>
                <wp:extent cx="2096770" cy="16129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2096770" cy="161290"/>
                        </a:xfrm>
                        <a:prstGeom prst="rect">
                          <a:avLst/>
                        </a:prstGeom>
                        <a:noFill/>
                      </wps:spPr>
                      <wps:txbx>
                        <w:txbxContent>
                          <w:p w:rsidR="00352A95" w:rsidRDefault="006974A5">
                            <w:pPr>
                              <w:pStyle w:val="Zkladntext20"/>
                              <w:shd w:val="clear" w:color="auto" w:fill="auto"/>
                            </w:pPr>
                            <w:r>
                              <w:rPr>
                                <w:b w:val="0"/>
                                <w:bCs w:val="0"/>
                              </w:rPr>
                              <w:t>V Praze, dne dle elektronického podpisu</w:t>
                            </w:r>
                          </w:p>
                        </w:txbxContent>
                      </wps:txbx>
                      <wps:bodyPr wrap="none" lIns="0" tIns="0" rIns="0" bIns="0"/>
                    </wps:wsp>
                  </a:graphicData>
                </a:graphic>
              </wp:anchor>
            </w:drawing>
          </mc:Choice>
          <mc:Fallback>
            <w:pict>
              <v:shape id="_x0000_s1068" type="#_x0000_t202" style="position:absolute;margin-left:76.900000000000006pt;margin-top:44.149999999999999pt;width:165.09999999999999pt;height:12.699999999999999pt;z-index:-125829354;mso-wrap-distance-left:0;mso-wrap-distance-top:44.149999999999999pt;mso-wrap-distance-right:0;mso-wrap-distance-bottom:118.2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V Praze, dne dle elektronického podpisu</w:t>
                      </w:r>
                    </w:p>
                  </w:txbxContent>
                </v:textbox>
                <w10:wrap type="topAndBottom" anchorx="page"/>
              </v:shape>
            </w:pict>
          </mc:Fallback>
        </mc:AlternateContent>
      </w:r>
      <w:r>
        <w:rPr>
          <w:noProof/>
          <w:lang w:bidi="ar-SA"/>
        </w:rPr>
        <mc:AlternateContent>
          <mc:Choice Requires="wps">
            <w:drawing>
              <wp:anchor distT="816610" distB="812800" distL="0" distR="0" simplePos="0" relativeHeight="125829401" behindDoc="0" locked="0" layoutInCell="1" allowOverlap="1">
                <wp:simplePos x="0" y="0"/>
                <wp:positionH relativeFrom="page">
                  <wp:posOffset>976630</wp:posOffset>
                </wp:positionH>
                <wp:positionV relativeFrom="paragraph">
                  <wp:posOffset>816610</wp:posOffset>
                </wp:positionV>
                <wp:extent cx="2709545" cy="59436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2709545" cy="594360"/>
                        </a:xfrm>
                        <a:prstGeom prst="rect">
                          <a:avLst/>
                        </a:prstGeom>
                        <a:noFill/>
                      </wps:spPr>
                      <wps:txbx>
                        <w:txbxContent>
                          <w:p w:rsidR="00352A95" w:rsidRDefault="006974A5">
                            <w:pPr>
                              <w:pStyle w:val="Zkladntext20"/>
                              <w:shd w:val="clear" w:color="auto" w:fill="auto"/>
                              <w:tabs>
                                <w:tab w:val="left" w:pos="1042"/>
                              </w:tabs>
                              <w:spacing w:after="180"/>
                              <w:jc w:val="both"/>
                            </w:pPr>
                            <w:r>
                              <w:rPr>
                                <w:b w:val="0"/>
                                <w:bCs w:val="0"/>
                              </w:rPr>
                              <w:t>Jméno</w:t>
                            </w:r>
                            <w:r>
                              <w:rPr>
                                <w:b w:val="0"/>
                                <w:bCs w:val="0"/>
                              </w:rPr>
                              <w:tab/>
                            </w:r>
                            <w:r>
                              <w:t>Dagmar Elbastawisi</w:t>
                            </w:r>
                          </w:p>
                          <w:p w:rsidR="00352A95" w:rsidRDefault="006974A5">
                            <w:pPr>
                              <w:pStyle w:val="Zkladntext20"/>
                              <w:shd w:val="clear" w:color="auto" w:fill="auto"/>
                              <w:tabs>
                                <w:tab w:val="left" w:pos="1042"/>
                              </w:tabs>
                              <w:spacing w:after="60"/>
                              <w:jc w:val="both"/>
                            </w:pPr>
                            <w:r>
                              <w:rPr>
                                <w:b w:val="0"/>
                                <w:bCs w:val="0"/>
                              </w:rPr>
                              <w:t>Funkce</w:t>
                            </w:r>
                            <w:r>
                              <w:rPr>
                                <w:b w:val="0"/>
                                <w:bCs w:val="0"/>
                              </w:rPr>
                              <w:tab/>
                            </w:r>
                            <w:r>
                              <w:t>Head of LCC &amp; MS Consulting, na</w:t>
                            </w:r>
                          </w:p>
                          <w:p w:rsidR="00352A95" w:rsidRDefault="006974A5">
                            <w:pPr>
                              <w:pStyle w:val="Zkladntext20"/>
                              <w:shd w:val="clear" w:color="auto" w:fill="auto"/>
                              <w:spacing w:after="120"/>
                              <w:ind w:left="1120"/>
                            </w:pPr>
                            <w:r>
                              <w:t>základě pověření</w:t>
                            </w:r>
                          </w:p>
                        </w:txbxContent>
                      </wps:txbx>
                      <wps:bodyPr lIns="0" tIns="0" rIns="0" bIns="0"/>
                    </wps:wsp>
                  </a:graphicData>
                </a:graphic>
              </wp:anchor>
            </w:drawing>
          </mc:Choice>
          <mc:Fallback>
            <w:pict>
              <v:shape id="_x0000_s1070" type="#_x0000_t202" style="position:absolute;margin-left:76.900000000000006pt;margin-top:64.299999999999997pt;width:213.34999999999999pt;height:46.799999999999997pt;z-index:-125829352;mso-wrap-distance-left:0;mso-wrap-distance-top:64.299999999999997pt;mso-wrap-distance-right:0;mso-wrap-distance-bottom:64.pt;mso-position-horizontal-relative:page" filled="f" stroked="f">
                <v:textbox inset="0,0,0,0">
                  <w:txbxContent>
                    <w:p>
                      <w:pPr>
                        <w:pStyle w:val="Style15"/>
                        <w:keepNext w:val="0"/>
                        <w:keepLines w:val="0"/>
                        <w:widowControl w:val="0"/>
                        <w:shd w:val="clear" w:color="auto" w:fill="auto"/>
                        <w:tabs>
                          <w:tab w:pos="1042" w:val="left"/>
                        </w:tabs>
                        <w:bidi w:val="0"/>
                        <w:spacing w:before="0" w:after="180" w:line="240" w:lineRule="auto"/>
                        <w:ind w:left="0" w:right="0" w:firstLine="0"/>
                        <w:jc w:val="both"/>
                      </w:pPr>
                      <w:r>
                        <w:rPr>
                          <w:b w:val="0"/>
                          <w:bCs w:val="0"/>
                          <w:color w:val="000000"/>
                          <w:spacing w:val="0"/>
                          <w:w w:val="100"/>
                          <w:position w:val="0"/>
                          <w:shd w:val="clear" w:color="auto" w:fill="auto"/>
                          <w:lang w:val="cs-CZ" w:eastAsia="cs-CZ" w:bidi="cs-CZ"/>
                        </w:rPr>
                        <w:t>Jméno</w:t>
                        <w:tab/>
                      </w:r>
                      <w:r>
                        <w:rPr>
                          <w:color w:val="000000"/>
                          <w:spacing w:val="0"/>
                          <w:w w:val="100"/>
                          <w:position w:val="0"/>
                          <w:shd w:val="clear" w:color="auto" w:fill="auto"/>
                          <w:lang w:val="cs-CZ" w:eastAsia="cs-CZ" w:bidi="cs-CZ"/>
                        </w:rPr>
                        <w:t>Dagmar Elbastawisi</w:t>
                      </w:r>
                    </w:p>
                    <w:p>
                      <w:pPr>
                        <w:pStyle w:val="Style15"/>
                        <w:keepNext w:val="0"/>
                        <w:keepLines w:val="0"/>
                        <w:widowControl w:val="0"/>
                        <w:shd w:val="clear" w:color="auto" w:fill="auto"/>
                        <w:tabs>
                          <w:tab w:pos="1042" w:val="left"/>
                        </w:tabs>
                        <w:bidi w:val="0"/>
                        <w:spacing w:before="0" w:after="60" w:line="240" w:lineRule="auto"/>
                        <w:ind w:left="0" w:right="0" w:firstLine="0"/>
                        <w:jc w:val="both"/>
                      </w:pPr>
                      <w:r>
                        <w:rPr>
                          <w:b w:val="0"/>
                          <w:bCs w:val="0"/>
                          <w:color w:val="000000"/>
                          <w:spacing w:val="0"/>
                          <w:w w:val="100"/>
                          <w:position w:val="0"/>
                          <w:shd w:val="clear" w:color="auto" w:fill="auto"/>
                          <w:lang w:val="cs-CZ" w:eastAsia="cs-CZ" w:bidi="cs-CZ"/>
                        </w:rPr>
                        <w:t>Funkce</w:t>
                        <w:tab/>
                      </w:r>
                      <w:r>
                        <w:rPr>
                          <w:color w:val="000000"/>
                          <w:spacing w:val="0"/>
                          <w:w w:val="100"/>
                          <w:position w:val="0"/>
                          <w:shd w:val="clear" w:color="auto" w:fill="auto"/>
                          <w:lang w:val="cs-CZ" w:eastAsia="cs-CZ" w:bidi="cs-CZ"/>
                        </w:rPr>
                        <w:t>Head of LCC &amp; MS Consulting, na</w:t>
                      </w:r>
                    </w:p>
                    <w:p>
                      <w:pPr>
                        <w:pStyle w:val="Style15"/>
                        <w:keepNext w:val="0"/>
                        <w:keepLines w:val="0"/>
                        <w:widowControl w:val="0"/>
                        <w:shd w:val="clear" w:color="auto" w:fill="auto"/>
                        <w:bidi w:val="0"/>
                        <w:spacing w:before="0" w:after="120" w:line="240" w:lineRule="auto"/>
                        <w:ind w:left="1120" w:right="0" w:firstLine="0"/>
                        <w:jc w:val="left"/>
                      </w:pPr>
                      <w:r>
                        <w:rPr>
                          <w:color w:val="000000"/>
                          <w:spacing w:val="0"/>
                          <w:w w:val="100"/>
                          <w:position w:val="0"/>
                          <w:shd w:val="clear" w:color="auto" w:fill="auto"/>
                          <w:lang w:val="cs-CZ" w:eastAsia="cs-CZ" w:bidi="cs-CZ"/>
                        </w:rPr>
                        <w:t>základě pověření</w:t>
                      </w:r>
                    </w:p>
                  </w:txbxContent>
                </v:textbox>
                <w10:wrap type="topAndBottom" anchorx="page"/>
              </v:shape>
            </w:pict>
          </mc:Fallback>
        </mc:AlternateContent>
      </w:r>
      <w:r>
        <w:rPr>
          <w:noProof/>
          <w:lang w:bidi="ar-SA"/>
        </w:rPr>
        <mc:AlternateContent>
          <mc:Choice Requires="wps">
            <w:drawing>
              <wp:anchor distT="560705" distB="998855" distL="0" distR="0" simplePos="0" relativeHeight="125829403" behindDoc="0" locked="0" layoutInCell="1" allowOverlap="1">
                <wp:simplePos x="0" y="0"/>
                <wp:positionH relativeFrom="page">
                  <wp:posOffset>4039870</wp:posOffset>
                </wp:positionH>
                <wp:positionV relativeFrom="paragraph">
                  <wp:posOffset>560705</wp:posOffset>
                </wp:positionV>
                <wp:extent cx="2432050" cy="664210"/>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2432050" cy="664210"/>
                        </a:xfrm>
                        <a:prstGeom prst="rect">
                          <a:avLst/>
                        </a:prstGeom>
                        <a:noFill/>
                      </wps:spPr>
                      <wps:txbx>
                        <w:txbxContent>
                          <w:p w:rsidR="00352A95" w:rsidRDefault="006974A5">
                            <w:pPr>
                              <w:pStyle w:val="Zkladntext20"/>
                              <w:shd w:val="clear" w:color="auto" w:fill="auto"/>
                              <w:spacing w:after="180"/>
                            </w:pPr>
                            <w:r>
                              <w:rPr>
                                <w:b w:val="0"/>
                                <w:bCs w:val="0"/>
                              </w:rPr>
                              <w:t>V Praze, dne dle elektronického podpisu</w:t>
                            </w:r>
                          </w:p>
                          <w:p w:rsidR="00352A95" w:rsidRDefault="006974A5">
                            <w:pPr>
                              <w:pStyle w:val="Zkladntext20"/>
                              <w:shd w:val="clear" w:color="auto" w:fill="auto"/>
                              <w:tabs>
                                <w:tab w:val="left" w:pos="1042"/>
                              </w:tabs>
                              <w:spacing w:after="180"/>
                            </w:pPr>
                            <w:r>
                              <w:rPr>
                                <w:b w:val="0"/>
                                <w:bCs w:val="0"/>
                              </w:rPr>
                              <w:t>Jméno</w:t>
                            </w:r>
                            <w:r>
                              <w:rPr>
                                <w:b w:val="0"/>
                                <w:bCs w:val="0"/>
                              </w:rPr>
                              <w:tab/>
                            </w:r>
                            <w:r>
                              <w:t xml:space="preserve">Ing. arch. Naděžda </w:t>
                            </w:r>
                            <w:r>
                              <w:t>Goryczková</w:t>
                            </w:r>
                          </w:p>
                          <w:p w:rsidR="00352A95" w:rsidRDefault="006974A5">
                            <w:pPr>
                              <w:pStyle w:val="Zkladntext20"/>
                              <w:shd w:val="clear" w:color="auto" w:fill="auto"/>
                              <w:tabs>
                                <w:tab w:val="left" w:pos="1042"/>
                              </w:tabs>
                              <w:spacing w:after="180"/>
                            </w:pPr>
                            <w:r>
                              <w:rPr>
                                <w:b w:val="0"/>
                                <w:bCs w:val="0"/>
                              </w:rPr>
                              <w:t>Funkce</w:t>
                            </w:r>
                            <w:r>
                              <w:rPr>
                                <w:b w:val="0"/>
                                <w:bCs w:val="0"/>
                              </w:rPr>
                              <w:tab/>
                            </w:r>
                            <w:r>
                              <w:t>Generální ředitelka</w:t>
                            </w:r>
                          </w:p>
                        </w:txbxContent>
                      </wps:txbx>
                      <wps:bodyPr lIns="0" tIns="0" rIns="0" bIns="0"/>
                    </wps:wsp>
                  </a:graphicData>
                </a:graphic>
              </wp:anchor>
            </w:drawing>
          </mc:Choice>
          <mc:Fallback>
            <w:pict>
              <v:shape id="_x0000_s1072" type="#_x0000_t202" style="position:absolute;margin-left:318.10000000000002pt;margin-top:44.149999999999999pt;width:191.5pt;height:52.299999999999997pt;z-index:-125829350;mso-wrap-distance-left:0;mso-wrap-distance-top:44.149999999999999pt;mso-wrap-distance-right:0;mso-wrap-distance-bottom:78.650000000000006pt;mso-position-horizontal-relative:page" filled="f" stroked="f">
                <v:textbox inset="0,0,0,0">
                  <w:txbxContent>
                    <w:p>
                      <w:pPr>
                        <w:pStyle w:val="Style15"/>
                        <w:keepNext w:val="0"/>
                        <w:keepLines w:val="0"/>
                        <w:widowControl w:val="0"/>
                        <w:shd w:val="clear" w:color="auto" w:fill="auto"/>
                        <w:bidi w:val="0"/>
                        <w:spacing w:before="0" w:after="180" w:line="240" w:lineRule="auto"/>
                        <w:ind w:left="0" w:right="0" w:firstLine="0"/>
                        <w:jc w:val="left"/>
                      </w:pPr>
                      <w:r>
                        <w:rPr>
                          <w:b w:val="0"/>
                          <w:bCs w:val="0"/>
                          <w:color w:val="000000"/>
                          <w:spacing w:val="0"/>
                          <w:w w:val="100"/>
                          <w:position w:val="0"/>
                          <w:shd w:val="clear" w:color="auto" w:fill="auto"/>
                          <w:lang w:val="cs-CZ" w:eastAsia="cs-CZ" w:bidi="cs-CZ"/>
                        </w:rPr>
                        <w:t>V Praze, dne dle elektronického podpisu</w:t>
                      </w:r>
                    </w:p>
                    <w:p>
                      <w:pPr>
                        <w:pStyle w:val="Style15"/>
                        <w:keepNext w:val="0"/>
                        <w:keepLines w:val="0"/>
                        <w:widowControl w:val="0"/>
                        <w:shd w:val="clear" w:color="auto" w:fill="auto"/>
                        <w:tabs>
                          <w:tab w:pos="1042" w:val="left"/>
                        </w:tabs>
                        <w:bidi w:val="0"/>
                        <w:spacing w:before="0" w:after="180" w:line="240" w:lineRule="auto"/>
                        <w:ind w:left="0" w:right="0" w:firstLine="0"/>
                        <w:jc w:val="left"/>
                      </w:pPr>
                      <w:r>
                        <w:rPr>
                          <w:b w:val="0"/>
                          <w:bCs w:val="0"/>
                          <w:color w:val="000000"/>
                          <w:spacing w:val="0"/>
                          <w:w w:val="100"/>
                          <w:position w:val="0"/>
                          <w:shd w:val="clear" w:color="auto" w:fill="auto"/>
                          <w:lang w:val="cs-CZ" w:eastAsia="cs-CZ" w:bidi="cs-CZ"/>
                        </w:rPr>
                        <w:t>Jméno</w:t>
                        <w:tab/>
                      </w:r>
                      <w:r>
                        <w:rPr>
                          <w:color w:val="000000"/>
                          <w:spacing w:val="0"/>
                          <w:w w:val="100"/>
                          <w:position w:val="0"/>
                          <w:shd w:val="clear" w:color="auto" w:fill="auto"/>
                          <w:lang w:val="cs-CZ" w:eastAsia="cs-CZ" w:bidi="cs-CZ"/>
                        </w:rPr>
                        <w:t>Ing. arch. Naděžda Goryczková</w:t>
                      </w:r>
                    </w:p>
                    <w:p>
                      <w:pPr>
                        <w:pStyle w:val="Style15"/>
                        <w:keepNext w:val="0"/>
                        <w:keepLines w:val="0"/>
                        <w:widowControl w:val="0"/>
                        <w:shd w:val="clear" w:color="auto" w:fill="auto"/>
                        <w:tabs>
                          <w:tab w:pos="1042" w:val="left"/>
                        </w:tabs>
                        <w:bidi w:val="0"/>
                        <w:spacing w:before="0" w:after="180" w:line="240" w:lineRule="auto"/>
                        <w:ind w:left="0" w:right="0" w:firstLine="0"/>
                        <w:jc w:val="left"/>
                      </w:pPr>
                      <w:r>
                        <w:rPr>
                          <w:b w:val="0"/>
                          <w:bCs w:val="0"/>
                          <w:color w:val="000000"/>
                          <w:spacing w:val="0"/>
                          <w:w w:val="100"/>
                          <w:position w:val="0"/>
                          <w:shd w:val="clear" w:color="auto" w:fill="auto"/>
                          <w:lang w:val="cs-CZ" w:eastAsia="cs-CZ" w:bidi="cs-CZ"/>
                        </w:rPr>
                        <w:t>Funkce</w:t>
                        <w:tab/>
                      </w:r>
                      <w:r>
                        <w:rPr>
                          <w:color w:val="000000"/>
                          <w:spacing w:val="0"/>
                          <w:w w:val="100"/>
                          <w:position w:val="0"/>
                          <w:shd w:val="clear" w:color="auto" w:fill="auto"/>
                          <w:lang w:val="cs-CZ" w:eastAsia="cs-CZ" w:bidi="cs-CZ"/>
                        </w:rPr>
                        <w:t>Generální ředitelka</w:t>
                      </w:r>
                    </w:p>
                  </w:txbxContent>
                </v:textbox>
                <w10:wrap type="topAndBottom" anchorx="page"/>
              </v:shape>
            </w:pict>
          </mc:Fallback>
        </mc:AlternateContent>
      </w:r>
    </w:p>
    <w:p w:rsidR="00352A95" w:rsidRDefault="006974A5">
      <w:pPr>
        <w:pStyle w:val="Zkladntext20"/>
        <w:shd w:val="clear" w:color="auto" w:fill="auto"/>
        <w:ind w:firstLine="660"/>
        <w:sectPr w:rsidR="00352A95">
          <w:type w:val="continuous"/>
          <w:pgSz w:w="11900" w:h="16840"/>
          <w:pgMar w:top="375" w:right="799" w:bottom="1188" w:left="895" w:header="0" w:footer="3" w:gutter="0"/>
          <w:cols w:space="720"/>
          <w:noEndnote/>
          <w:docGrid w:linePitch="360"/>
        </w:sectPr>
      </w:pPr>
      <w:r>
        <w:rPr>
          <w:noProof/>
          <w:lang w:bidi="ar-SA"/>
        </w:rPr>
        <mc:AlternateContent>
          <mc:Choice Requires="wps">
            <w:drawing>
              <wp:anchor distT="0" distB="0" distL="114300" distR="114300" simplePos="0" relativeHeight="125829405" behindDoc="0" locked="0" layoutInCell="1" allowOverlap="1">
                <wp:simplePos x="0" y="0"/>
                <wp:positionH relativeFrom="page">
                  <wp:posOffset>4040505</wp:posOffset>
                </wp:positionH>
                <wp:positionV relativeFrom="paragraph">
                  <wp:posOffset>12700</wp:posOffset>
                </wp:positionV>
                <wp:extent cx="2054225" cy="161290"/>
                <wp:effectExtent l="0" t="0" r="0" b="0"/>
                <wp:wrapSquare wrapText="left"/>
                <wp:docPr id="48" name="Shape 48"/>
                <wp:cNvGraphicFramePr/>
                <a:graphic xmlns:a="http://schemas.openxmlformats.org/drawingml/2006/main">
                  <a:graphicData uri="http://schemas.microsoft.com/office/word/2010/wordprocessingShape">
                    <wps:wsp>
                      <wps:cNvSpPr txBox="1"/>
                      <wps:spPr>
                        <a:xfrm>
                          <a:off x="0" y="0"/>
                          <a:ext cx="2054225" cy="161290"/>
                        </a:xfrm>
                        <a:prstGeom prst="rect">
                          <a:avLst/>
                        </a:prstGeom>
                        <a:noFill/>
                      </wps:spPr>
                      <wps:txbx>
                        <w:txbxContent>
                          <w:p w:rsidR="00352A95" w:rsidRDefault="006974A5">
                            <w:pPr>
                              <w:pStyle w:val="Zkladntext20"/>
                              <w:shd w:val="clear" w:color="auto" w:fill="auto"/>
                            </w:pPr>
                            <w:r>
                              <w:rPr>
                                <w:b w:val="0"/>
                                <w:bCs w:val="0"/>
                              </w:rPr>
                              <w:t>Za Smluvního partnera (podpis, razítko)</w:t>
                            </w:r>
                          </w:p>
                        </w:txbxContent>
                      </wps:txbx>
                      <wps:bodyPr wrap="none" lIns="0" tIns="0" rIns="0" bIns="0"/>
                    </wps:wsp>
                  </a:graphicData>
                </a:graphic>
              </wp:anchor>
            </w:drawing>
          </mc:Choice>
          <mc:Fallback>
            <w:pict>
              <v:shape id="_x0000_s1074" type="#_x0000_t202" style="position:absolute;margin-left:318.14999999999998pt;margin-top:1.pt;width:161.75pt;height:12.699999999999999pt;z-index:-125829348;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Za Smluvního partnera (podpis, razítko)</w:t>
                      </w:r>
                    </w:p>
                  </w:txbxContent>
                </v:textbox>
                <w10:wrap type="square" side="left" anchorx="page"/>
              </v:shape>
            </w:pict>
          </mc:Fallback>
        </mc:AlternateContent>
      </w:r>
      <w:r>
        <w:rPr>
          <w:b w:val="0"/>
          <w:bCs w:val="0"/>
        </w:rPr>
        <w:t>Za T-Mobile Czech Republic a.s. (podpis, razítko)</w:t>
      </w:r>
    </w:p>
    <w:p w:rsidR="00352A95" w:rsidRDefault="006974A5">
      <w:pPr>
        <w:jc w:val="center"/>
        <w:rPr>
          <w:sz w:val="2"/>
          <w:szCs w:val="2"/>
        </w:rPr>
      </w:pPr>
      <w:r>
        <w:rPr>
          <w:noProof/>
          <w:lang w:bidi="ar-SA"/>
        </w:rPr>
        <w:lastRenderedPageBreak/>
        <w:drawing>
          <wp:inline distT="0" distB="0" distL="0" distR="0">
            <wp:extent cx="6577330" cy="633730"/>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pic:blipFill>
                  <pic:spPr>
                    <a:xfrm>
                      <a:off x="0" y="0"/>
                      <a:ext cx="6577330" cy="633730"/>
                    </a:xfrm>
                    <a:prstGeom prst="rect">
                      <a:avLst/>
                    </a:prstGeom>
                  </pic:spPr>
                </pic:pic>
              </a:graphicData>
            </a:graphic>
          </wp:inline>
        </w:drawing>
      </w:r>
    </w:p>
    <w:p w:rsidR="00352A95" w:rsidRDefault="006974A5">
      <w:pPr>
        <w:pStyle w:val="Titulekobrzku0"/>
        <w:shd w:val="clear" w:color="auto" w:fill="auto"/>
        <w:tabs>
          <w:tab w:val="left" w:pos="2011"/>
        </w:tabs>
        <w:ind w:left="624"/>
      </w:pPr>
      <w:r>
        <w:t>Příloha č. 1:</w:t>
      </w:r>
      <w:r>
        <w:tab/>
        <w:t>Specifikace a Ceny Software</w:t>
      </w:r>
    </w:p>
    <w:p w:rsidR="00352A95" w:rsidRDefault="00352A95">
      <w:pPr>
        <w:spacing w:after="859" w:line="1" w:lineRule="exact"/>
      </w:pPr>
    </w:p>
    <w:p w:rsidR="00352A95" w:rsidRDefault="006974A5">
      <w:pPr>
        <w:pStyle w:val="Titulektabulky0"/>
        <w:shd w:val="clear" w:color="auto" w:fill="auto"/>
        <w:ind w:left="4171"/>
      </w:pPr>
      <w:r>
        <w:rPr>
          <w:rFonts w:ascii="Calibri" w:eastAsia="Calibri" w:hAnsi="Calibri" w:cs="Calibri"/>
          <w:b/>
          <w:bCs/>
        </w:rPr>
        <w:t>Položkový rozpočet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28"/>
        <w:gridCol w:w="6067"/>
      </w:tblGrid>
      <w:tr w:rsidR="00352A95">
        <w:tblPrEx>
          <w:tblCellMar>
            <w:top w:w="0" w:type="dxa"/>
            <w:bottom w:w="0" w:type="dxa"/>
          </w:tblCellMar>
        </w:tblPrEx>
        <w:trPr>
          <w:trHeight w:hRule="exact" w:val="317"/>
          <w:jc w:val="center"/>
        </w:trPr>
        <w:tc>
          <w:tcPr>
            <w:tcW w:w="4128" w:type="dxa"/>
            <w:tcBorders>
              <w:top w:val="single" w:sz="4" w:space="0" w:color="auto"/>
              <w:left w:val="single" w:sz="4" w:space="0" w:color="auto"/>
            </w:tcBorders>
            <w:shd w:val="clear" w:color="auto" w:fill="FFFFFF"/>
            <w:vAlign w:val="bottom"/>
          </w:tcPr>
          <w:p w:rsidR="00352A95" w:rsidRDefault="006974A5">
            <w:pPr>
              <w:pStyle w:val="Jin0"/>
              <w:shd w:val="clear" w:color="auto" w:fill="auto"/>
              <w:spacing w:after="0" w:line="240" w:lineRule="auto"/>
            </w:pPr>
            <w:r>
              <w:rPr>
                <w:rFonts w:ascii="Calibri" w:eastAsia="Calibri" w:hAnsi="Calibri" w:cs="Calibri"/>
                <w:b/>
                <w:bCs/>
              </w:rPr>
              <w:t>Název VZ:</w:t>
            </w:r>
          </w:p>
        </w:tc>
        <w:tc>
          <w:tcPr>
            <w:tcW w:w="6067" w:type="dxa"/>
            <w:tcBorders>
              <w:top w:val="single" w:sz="4" w:space="0" w:color="auto"/>
              <w:left w:val="single" w:sz="4" w:space="0" w:color="auto"/>
              <w:right w:val="single" w:sz="4" w:space="0" w:color="auto"/>
            </w:tcBorders>
            <w:shd w:val="clear" w:color="auto" w:fill="FFFFFF"/>
            <w:vAlign w:val="bottom"/>
          </w:tcPr>
          <w:p w:rsidR="00352A95" w:rsidRDefault="006974A5">
            <w:pPr>
              <w:pStyle w:val="Jin0"/>
              <w:shd w:val="clear" w:color="auto" w:fill="auto"/>
              <w:spacing w:after="0" w:line="240" w:lineRule="auto"/>
              <w:jc w:val="center"/>
              <w:rPr>
                <w:sz w:val="20"/>
                <w:szCs w:val="20"/>
              </w:rPr>
            </w:pPr>
            <w:r>
              <w:rPr>
                <w:rFonts w:ascii="Arial" w:eastAsia="Arial" w:hAnsi="Arial" w:cs="Arial"/>
                <w:b/>
                <w:bCs/>
                <w:sz w:val="20"/>
                <w:szCs w:val="20"/>
              </w:rPr>
              <w:t xml:space="preserve">Dodávka software licencí </w:t>
            </w:r>
            <w:r>
              <w:rPr>
                <w:rFonts w:ascii="Arial" w:eastAsia="Arial" w:hAnsi="Arial" w:cs="Arial"/>
                <w:b/>
                <w:bCs/>
                <w:sz w:val="20"/>
                <w:szCs w:val="20"/>
              </w:rPr>
              <w:t>SelectPlus EDU</w:t>
            </w:r>
          </w:p>
        </w:tc>
      </w:tr>
      <w:tr w:rsidR="00352A95">
        <w:tblPrEx>
          <w:tblCellMar>
            <w:top w:w="0" w:type="dxa"/>
            <w:bottom w:w="0" w:type="dxa"/>
          </w:tblCellMar>
        </w:tblPrEx>
        <w:trPr>
          <w:trHeight w:hRule="exact" w:val="322"/>
          <w:jc w:val="center"/>
        </w:trPr>
        <w:tc>
          <w:tcPr>
            <w:tcW w:w="4128" w:type="dxa"/>
            <w:tcBorders>
              <w:top w:val="single" w:sz="4" w:space="0" w:color="auto"/>
              <w:left w:val="single" w:sz="4" w:space="0" w:color="auto"/>
              <w:bottom w:val="single" w:sz="4" w:space="0" w:color="auto"/>
            </w:tcBorders>
            <w:shd w:val="clear" w:color="auto" w:fill="FFFFFF"/>
            <w:vAlign w:val="bottom"/>
          </w:tcPr>
          <w:p w:rsidR="00352A95" w:rsidRDefault="006974A5">
            <w:pPr>
              <w:pStyle w:val="Jin0"/>
              <w:shd w:val="clear" w:color="auto" w:fill="auto"/>
              <w:spacing w:after="0" w:line="240" w:lineRule="auto"/>
            </w:pPr>
            <w:r>
              <w:rPr>
                <w:rFonts w:ascii="Calibri" w:eastAsia="Calibri" w:hAnsi="Calibri" w:cs="Calibri"/>
                <w:b/>
                <w:bCs/>
              </w:rPr>
              <w:t>Název uchazeče:</w:t>
            </w:r>
          </w:p>
        </w:tc>
        <w:tc>
          <w:tcPr>
            <w:tcW w:w="6067" w:type="dxa"/>
            <w:tcBorders>
              <w:top w:val="single" w:sz="4" w:space="0" w:color="auto"/>
              <w:left w:val="single" w:sz="4" w:space="0" w:color="auto"/>
              <w:bottom w:val="single" w:sz="4" w:space="0" w:color="auto"/>
              <w:right w:val="single" w:sz="4" w:space="0" w:color="auto"/>
            </w:tcBorders>
            <w:shd w:val="clear" w:color="auto" w:fill="FFFFFF"/>
            <w:vAlign w:val="bottom"/>
          </w:tcPr>
          <w:p w:rsidR="00352A95" w:rsidRDefault="006974A5">
            <w:pPr>
              <w:pStyle w:val="Jin0"/>
              <w:shd w:val="clear" w:color="auto" w:fill="auto"/>
              <w:spacing w:after="0" w:line="240" w:lineRule="auto"/>
              <w:jc w:val="center"/>
            </w:pPr>
            <w:r>
              <w:rPr>
                <w:rFonts w:ascii="Calibri" w:eastAsia="Calibri" w:hAnsi="Calibri" w:cs="Calibri"/>
              </w:rPr>
              <w:t xml:space="preserve">T-Mobile </w:t>
            </w:r>
            <w:r>
              <w:rPr>
                <w:rFonts w:ascii="Calibri" w:eastAsia="Calibri" w:hAnsi="Calibri" w:cs="Calibri"/>
                <w:lang w:val="en-US" w:eastAsia="en-US" w:bidi="en-US"/>
              </w:rPr>
              <w:t xml:space="preserve">Czech Republic </w:t>
            </w:r>
            <w:r>
              <w:rPr>
                <w:rFonts w:ascii="Calibri" w:eastAsia="Calibri" w:hAnsi="Calibri" w:cs="Calibri"/>
              </w:rPr>
              <w:t>a.s.</w:t>
            </w:r>
          </w:p>
        </w:tc>
      </w:tr>
    </w:tbl>
    <w:p w:rsidR="00352A95" w:rsidRDefault="00352A95">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33"/>
        <w:gridCol w:w="1358"/>
        <w:gridCol w:w="1301"/>
        <w:gridCol w:w="1680"/>
        <w:gridCol w:w="1733"/>
      </w:tblGrid>
      <w:tr w:rsidR="00352A95">
        <w:tblPrEx>
          <w:tblCellMar>
            <w:top w:w="0" w:type="dxa"/>
            <w:bottom w:w="0" w:type="dxa"/>
          </w:tblCellMar>
        </w:tblPrEx>
        <w:trPr>
          <w:trHeight w:hRule="exact" w:val="830"/>
          <w:jc w:val="center"/>
        </w:trPr>
        <w:tc>
          <w:tcPr>
            <w:tcW w:w="4133" w:type="dxa"/>
            <w:tcBorders>
              <w:top w:val="single" w:sz="4" w:space="0" w:color="auto"/>
              <w:left w:val="single" w:sz="4" w:space="0" w:color="auto"/>
            </w:tcBorders>
            <w:shd w:val="clear" w:color="auto" w:fill="FFFFFF"/>
            <w:vAlign w:val="bottom"/>
          </w:tcPr>
          <w:p w:rsidR="00352A95" w:rsidRDefault="006974A5">
            <w:pPr>
              <w:pStyle w:val="Jin0"/>
              <w:shd w:val="clear" w:color="auto" w:fill="auto"/>
              <w:spacing w:after="0" w:line="240" w:lineRule="auto"/>
            </w:pPr>
            <w:r>
              <w:rPr>
                <w:rFonts w:ascii="Calibri" w:eastAsia="Calibri" w:hAnsi="Calibri" w:cs="Calibri"/>
                <w:b/>
                <w:bCs/>
              </w:rPr>
              <w:t>název položky</w:t>
            </w:r>
          </w:p>
        </w:tc>
        <w:tc>
          <w:tcPr>
            <w:tcW w:w="1358" w:type="dxa"/>
            <w:tcBorders>
              <w:top w:val="single" w:sz="4" w:space="0" w:color="auto"/>
              <w:left w:val="single" w:sz="4" w:space="0" w:color="auto"/>
            </w:tcBorders>
            <w:shd w:val="clear" w:color="auto" w:fill="FFFFFF"/>
            <w:vAlign w:val="bottom"/>
          </w:tcPr>
          <w:p w:rsidR="00352A95" w:rsidRDefault="006974A5">
            <w:pPr>
              <w:pStyle w:val="Jin0"/>
              <w:shd w:val="clear" w:color="auto" w:fill="auto"/>
              <w:spacing w:after="0" w:line="240" w:lineRule="auto"/>
            </w:pPr>
            <w:r w:rsidRPr="00C81BFA">
              <w:rPr>
                <w:rFonts w:ascii="Calibri" w:eastAsia="Calibri" w:hAnsi="Calibri" w:cs="Calibri"/>
                <w:lang w:val="fr-FR" w:eastAsia="en-US" w:bidi="en-US"/>
              </w:rPr>
              <w:t xml:space="preserve">cena za 1 kus </w:t>
            </w:r>
            <w:r>
              <w:rPr>
                <w:rFonts w:ascii="Calibri" w:eastAsia="Calibri" w:hAnsi="Calibri" w:cs="Calibri"/>
              </w:rPr>
              <w:t>bez DPH</w:t>
            </w:r>
          </w:p>
        </w:tc>
        <w:tc>
          <w:tcPr>
            <w:tcW w:w="1301" w:type="dxa"/>
            <w:tcBorders>
              <w:top w:val="single" w:sz="4" w:space="0" w:color="auto"/>
              <w:left w:val="single" w:sz="4" w:space="0" w:color="auto"/>
            </w:tcBorders>
            <w:shd w:val="clear" w:color="auto" w:fill="FFFFFF"/>
            <w:vAlign w:val="bottom"/>
          </w:tcPr>
          <w:p w:rsidR="00352A95" w:rsidRDefault="006974A5">
            <w:pPr>
              <w:pStyle w:val="Jin0"/>
              <w:shd w:val="clear" w:color="auto" w:fill="auto"/>
              <w:spacing w:after="0" w:line="240" w:lineRule="auto"/>
            </w:pPr>
            <w:r>
              <w:rPr>
                <w:rFonts w:ascii="Calibri" w:eastAsia="Calibri" w:hAnsi="Calibri" w:cs="Calibri"/>
              </w:rPr>
              <w:t>cena za 1 kus včetně</w:t>
            </w:r>
          </w:p>
          <w:p w:rsidR="00352A95" w:rsidRDefault="006974A5">
            <w:pPr>
              <w:pStyle w:val="Jin0"/>
              <w:shd w:val="clear" w:color="auto" w:fill="auto"/>
              <w:spacing w:after="0" w:line="240" w:lineRule="auto"/>
            </w:pPr>
            <w:r>
              <w:rPr>
                <w:rFonts w:ascii="Calibri" w:eastAsia="Calibri" w:hAnsi="Calibri" w:cs="Calibri"/>
              </w:rPr>
              <w:t>DPH</w:t>
            </w:r>
          </w:p>
        </w:tc>
        <w:tc>
          <w:tcPr>
            <w:tcW w:w="1680" w:type="dxa"/>
            <w:tcBorders>
              <w:top w:val="single" w:sz="4" w:space="0" w:color="auto"/>
              <w:left w:val="single" w:sz="4" w:space="0" w:color="auto"/>
            </w:tcBorders>
            <w:shd w:val="clear" w:color="auto" w:fill="FFFFFF"/>
            <w:vAlign w:val="bottom"/>
          </w:tcPr>
          <w:p w:rsidR="00352A95" w:rsidRDefault="006974A5">
            <w:pPr>
              <w:pStyle w:val="Jin0"/>
              <w:shd w:val="clear" w:color="auto" w:fill="auto"/>
              <w:spacing w:after="0" w:line="240" w:lineRule="auto"/>
            </w:pPr>
            <w:r>
              <w:rPr>
                <w:rFonts w:ascii="Calibri" w:eastAsia="Calibri" w:hAnsi="Calibri" w:cs="Calibri"/>
              </w:rPr>
              <w:t>cena za 41 kusů</w:t>
            </w:r>
          </w:p>
          <w:p w:rsidR="00352A95" w:rsidRDefault="006974A5">
            <w:pPr>
              <w:pStyle w:val="Jin0"/>
              <w:shd w:val="clear" w:color="auto" w:fill="auto"/>
              <w:spacing w:after="0" w:line="240" w:lineRule="auto"/>
            </w:pPr>
            <w:r>
              <w:rPr>
                <w:rFonts w:ascii="Calibri" w:eastAsia="Calibri" w:hAnsi="Calibri" w:cs="Calibri"/>
              </w:rPr>
              <w:t>bez DPH</w:t>
            </w:r>
          </w:p>
        </w:tc>
        <w:tc>
          <w:tcPr>
            <w:tcW w:w="1733" w:type="dxa"/>
            <w:tcBorders>
              <w:top w:val="single" w:sz="4" w:space="0" w:color="auto"/>
              <w:left w:val="single" w:sz="4" w:space="0" w:color="auto"/>
              <w:right w:val="single" w:sz="4" w:space="0" w:color="auto"/>
            </w:tcBorders>
            <w:shd w:val="clear" w:color="auto" w:fill="FFFFFF"/>
            <w:vAlign w:val="bottom"/>
          </w:tcPr>
          <w:p w:rsidR="00352A95" w:rsidRDefault="006974A5">
            <w:pPr>
              <w:pStyle w:val="Jin0"/>
              <w:shd w:val="clear" w:color="auto" w:fill="auto"/>
              <w:spacing w:after="0" w:line="240" w:lineRule="auto"/>
            </w:pPr>
            <w:r>
              <w:rPr>
                <w:rFonts w:ascii="Calibri" w:eastAsia="Calibri" w:hAnsi="Calibri" w:cs="Calibri"/>
              </w:rPr>
              <w:t>cena za 41 kusů</w:t>
            </w:r>
          </w:p>
          <w:p w:rsidR="00352A95" w:rsidRDefault="006974A5">
            <w:pPr>
              <w:pStyle w:val="Jin0"/>
              <w:shd w:val="clear" w:color="auto" w:fill="auto"/>
              <w:spacing w:after="0" w:line="240" w:lineRule="auto"/>
            </w:pPr>
            <w:r>
              <w:rPr>
                <w:rFonts w:ascii="Calibri" w:eastAsia="Calibri" w:hAnsi="Calibri" w:cs="Calibri"/>
              </w:rPr>
              <w:t>včetně DPH</w:t>
            </w:r>
          </w:p>
        </w:tc>
      </w:tr>
      <w:tr w:rsidR="00352A95">
        <w:tblPrEx>
          <w:tblCellMar>
            <w:top w:w="0" w:type="dxa"/>
            <w:bottom w:w="0" w:type="dxa"/>
          </w:tblCellMar>
        </w:tblPrEx>
        <w:trPr>
          <w:trHeight w:hRule="exact" w:val="826"/>
          <w:jc w:val="center"/>
        </w:trPr>
        <w:tc>
          <w:tcPr>
            <w:tcW w:w="4133" w:type="dxa"/>
            <w:tcBorders>
              <w:top w:val="single" w:sz="4" w:space="0" w:color="auto"/>
              <w:left w:val="single" w:sz="4" w:space="0" w:color="auto"/>
              <w:bottom w:val="single" w:sz="4" w:space="0" w:color="auto"/>
            </w:tcBorders>
            <w:shd w:val="clear" w:color="auto" w:fill="FFFFFF"/>
            <w:vAlign w:val="bottom"/>
          </w:tcPr>
          <w:p w:rsidR="00352A95" w:rsidRDefault="006974A5">
            <w:pPr>
              <w:pStyle w:val="Jin0"/>
              <w:shd w:val="clear" w:color="auto" w:fill="auto"/>
              <w:spacing w:after="0" w:line="233" w:lineRule="auto"/>
            </w:pPr>
            <w:r>
              <w:rPr>
                <w:rFonts w:ascii="Calibri" w:eastAsia="Calibri" w:hAnsi="Calibri" w:cs="Calibri"/>
                <w:b/>
                <w:bCs/>
              </w:rPr>
              <w:t xml:space="preserve">Office Std 2021 Sngl LTSC </w:t>
            </w:r>
            <w:r>
              <w:rPr>
                <w:rFonts w:ascii="Calibri" w:eastAsia="Calibri" w:hAnsi="Calibri" w:cs="Calibri"/>
                <w:b/>
                <w:bCs/>
                <w:lang w:val="en-US" w:eastAsia="en-US" w:bidi="en-US"/>
              </w:rPr>
              <w:t xml:space="preserve">(Part Number </w:t>
            </w:r>
            <w:r>
              <w:rPr>
                <w:rFonts w:ascii="Calibri" w:eastAsia="Calibri" w:hAnsi="Calibri" w:cs="Calibri"/>
                <w:b/>
                <w:bCs/>
              </w:rPr>
              <w:t>021-10695)</w:t>
            </w:r>
          </w:p>
        </w:tc>
        <w:tc>
          <w:tcPr>
            <w:tcW w:w="1358" w:type="dxa"/>
            <w:tcBorders>
              <w:top w:val="single" w:sz="4" w:space="0" w:color="auto"/>
              <w:left w:val="single" w:sz="4" w:space="0" w:color="auto"/>
              <w:bottom w:val="single" w:sz="4" w:space="0" w:color="auto"/>
            </w:tcBorders>
            <w:shd w:val="clear" w:color="auto" w:fill="FFFFFF"/>
            <w:vAlign w:val="bottom"/>
          </w:tcPr>
          <w:p w:rsidR="00352A95" w:rsidRDefault="006974A5">
            <w:pPr>
              <w:pStyle w:val="Jin0"/>
              <w:shd w:val="clear" w:color="auto" w:fill="auto"/>
              <w:spacing w:after="0" w:line="240" w:lineRule="auto"/>
              <w:ind w:firstLine="560"/>
              <w:jc w:val="both"/>
            </w:pPr>
            <w:r>
              <w:rPr>
                <w:rFonts w:ascii="Calibri" w:eastAsia="Calibri" w:hAnsi="Calibri" w:cs="Calibri"/>
              </w:rPr>
              <w:t>1364,75</w:t>
            </w:r>
          </w:p>
        </w:tc>
        <w:tc>
          <w:tcPr>
            <w:tcW w:w="1301" w:type="dxa"/>
            <w:tcBorders>
              <w:top w:val="single" w:sz="4" w:space="0" w:color="auto"/>
              <w:left w:val="single" w:sz="4" w:space="0" w:color="auto"/>
              <w:bottom w:val="single" w:sz="4" w:space="0" w:color="auto"/>
            </w:tcBorders>
            <w:shd w:val="clear" w:color="auto" w:fill="FFFFFF"/>
            <w:vAlign w:val="bottom"/>
          </w:tcPr>
          <w:p w:rsidR="00352A95" w:rsidRDefault="006974A5">
            <w:pPr>
              <w:pStyle w:val="Jin0"/>
              <w:shd w:val="clear" w:color="auto" w:fill="auto"/>
              <w:spacing w:after="0" w:line="240" w:lineRule="auto"/>
              <w:jc w:val="center"/>
            </w:pPr>
            <w:r>
              <w:rPr>
                <w:rFonts w:ascii="Calibri" w:eastAsia="Calibri" w:hAnsi="Calibri" w:cs="Calibri"/>
                <w:b/>
                <w:bCs/>
              </w:rPr>
              <w:t>1 651,35 Kč</w:t>
            </w:r>
          </w:p>
        </w:tc>
        <w:tc>
          <w:tcPr>
            <w:tcW w:w="1680" w:type="dxa"/>
            <w:tcBorders>
              <w:top w:val="single" w:sz="4" w:space="0" w:color="auto"/>
              <w:bottom w:val="single" w:sz="4" w:space="0" w:color="auto"/>
            </w:tcBorders>
            <w:shd w:val="clear" w:color="auto" w:fill="FFFFFF"/>
            <w:vAlign w:val="bottom"/>
          </w:tcPr>
          <w:p w:rsidR="00352A95" w:rsidRDefault="006974A5">
            <w:pPr>
              <w:pStyle w:val="Jin0"/>
              <w:shd w:val="clear" w:color="auto" w:fill="auto"/>
              <w:spacing w:after="0" w:line="240" w:lineRule="auto"/>
              <w:jc w:val="center"/>
            </w:pPr>
            <w:r>
              <w:rPr>
                <w:rFonts w:ascii="Calibri" w:eastAsia="Calibri" w:hAnsi="Calibri" w:cs="Calibri"/>
                <w:b/>
                <w:bCs/>
              </w:rPr>
              <w:t xml:space="preserve">55 954,75 </w:t>
            </w:r>
            <w:r>
              <w:rPr>
                <w:rFonts w:ascii="Calibri" w:eastAsia="Calibri" w:hAnsi="Calibri" w:cs="Calibri"/>
                <w:b/>
                <w:bCs/>
              </w:rPr>
              <w:t>Kč</w:t>
            </w:r>
          </w:p>
        </w:tc>
        <w:tc>
          <w:tcPr>
            <w:tcW w:w="1733" w:type="dxa"/>
            <w:tcBorders>
              <w:top w:val="single" w:sz="4" w:space="0" w:color="auto"/>
              <w:bottom w:val="single" w:sz="4" w:space="0" w:color="auto"/>
              <w:right w:val="single" w:sz="4" w:space="0" w:color="auto"/>
            </w:tcBorders>
            <w:shd w:val="clear" w:color="auto" w:fill="FFFFFF"/>
            <w:vAlign w:val="bottom"/>
          </w:tcPr>
          <w:p w:rsidR="00352A95" w:rsidRDefault="006974A5">
            <w:pPr>
              <w:pStyle w:val="Jin0"/>
              <w:shd w:val="clear" w:color="auto" w:fill="auto"/>
              <w:spacing w:after="0" w:line="240" w:lineRule="auto"/>
              <w:jc w:val="center"/>
            </w:pPr>
            <w:r>
              <w:rPr>
                <w:rFonts w:ascii="Calibri" w:eastAsia="Calibri" w:hAnsi="Calibri" w:cs="Calibri"/>
                <w:b/>
                <w:bCs/>
              </w:rPr>
              <w:t>67 705,25 Kč</w:t>
            </w:r>
          </w:p>
        </w:tc>
      </w:tr>
    </w:tbl>
    <w:p w:rsidR="006974A5" w:rsidRDefault="006974A5"/>
    <w:sectPr w:rsidR="006974A5">
      <w:pgSz w:w="11900" w:h="16840"/>
      <w:pgMar w:top="375" w:right="368" w:bottom="1081" w:left="13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4A5" w:rsidRDefault="006974A5">
      <w:r>
        <w:separator/>
      </w:r>
    </w:p>
  </w:endnote>
  <w:endnote w:type="continuationSeparator" w:id="0">
    <w:p w:rsidR="006974A5" w:rsidRDefault="0069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95" w:rsidRDefault="006974A5">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6515100</wp:posOffset>
              </wp:positionH>
              <wp:positionV relativeFrom="page">
                <wp:posOffset>10006965</wp:posOffset>
              </wp:positionV>
              <wp:extent cx="140335"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140335" cy="113030"/>
                      </a:xfrm>
                      <a:prstGeom prst="rect">
                        <a:avLst/>
                      </a:prstGeom>
                      <a:noFill/>
                    </wps:spPr>
                    <wps:txbx>
                      <w:txbxContent>
                        <w:p w:rsidR="00352A95" w:rsidRDefault="006974A5">
                          <w:pPr>
                            <w:pStyle w:val="Zhlavnebozpat20"/>
                            <w:shd w:val="clear" w:color="auto" w:fill="auto"/>
                          </w:pPr>
                          <w:r>
                            <w:fldChar w:fldCharType="begin"/>
                          </w:r>
                          <w:r>
                            <w:instrText xml:space="preserve"> PAGE \* MERGEFORMAT </w:instrText>
                          </w:r>
                          <w:r>
                            <w:fldChar w:fldCharType="separate"/>
                          </w:r>
                          <w:r w:rsidR="00C81BFA" w:rsidRPr="00C81BFA">
                            <w:rPr>
                              <w:rFonts w:ascii="Arial" w:eastAsia="Arial" w:hAnsi="Arial" w:cs="Arial"/>
                              <w:noProof/>
                            </w:rPr>
                            <w:t>6</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9" type="#_x0000_t202" style="position:absolute;margin-left:513pt;margin-top:787.95pt;width:11.05pt;height:8.9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" filled="f" stroked="f">
              <v:textbox style="mso-fit-shape-to-text:t" inset="0,0,0,0">
                <w:txbxContent>
                  <w:p w:rsidR="00352A95" w:rsidRDefault="006974A5">
                    <w:pPr>
                      <w:pStyle w:val="Zhlavnebozpat20"/>
                      <w:shd w:val="clear" w:color="auto" w:fill="auto"/>
                    </w:pPr>
                    <w:r>
                      <w:fldChar w:fldCharType="begin"/>
                    </w:r>
                    <w:r>
                      <w:instrText xml:space="preserve"> PAGE \* MERGEFORMAT </w:instrText>
                    </w:r>
                    <w:r>
                      <w:fldChar w:fldCharType="separate"/>
                    </w:r>
                    <w:r w:rsidR="00C81BFA" w:rsidRPr="00C81BFA">
                      <w:rPr>
                        <w:rFonts w:ascii="Arial" w:eastAsia="Arial" w:hAnsi="Arial" w:cs="Arial"/>
                        <w:noProof/>
                      </w:rPr>
                      <w:t>6</w:t>
                    </w:r>
                    <w:r>
                      <w:rPr>
                        <w:rFonts w:ascii="Arial" w:eastAsia="Arial" w:hAnsi="Arial" w:cs="Arial"/>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693" behindDoc="1" locked="0" layoutInCell="1" allowOverlap="1">
              <wp:simplePos x="0" y="0"/>
              <wp:positionH relativeFrom="page">
                <wp:posOffset>894715</wp:posOffset>
              </wp:positionH>
              <wp:positionV relativeFrom="page">
                <wp:posOffset>10150475</wp:posOffset>
              </wp:positionV>
              <wp:extent cx="500189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001895" cy="91440"/>
                      </a:xfrm>
                      <a:prstGeom prst="rect">
                        <a:avLst/>
                      </a:prstGeom>
                      <a:noFill/>
                    </wps:spPr>
                    <wps:txbx>
                      <w:txbxContent>
                        <w:p w:rsidR="00352A95" w:rsidRDefault="006974A5">
                          <w:pPr>
                            <w:pStyle w:val="Zhlavnebozpat20"/>
                            <w:shd w:val="clear" w:color="auto" w:fill="auto"/>
                            <w:tabs>
                              <w:tab w:val="right" w:pos="7877"/>
                            </w:tabs>
                            <w:rPr>
                              <w:sz w:val="16"/>
                              <w:szCs w:val="16"/>
                            </w:rPr>
                          </w:pPr>
                          <w:r>
                            <w:rPr>
                              <w:rFonts w:ascii="Arial" w:eastAsia="Arial" w:hAnsi="Arial" w:cs="Arial"/>
                              <w:sz w:val="16"/>
                              <w:szCs w:val="16"/>
                            </w:rPr>
                            <w:t>SMLOUVA O ZAJIŠTĚNÍ SW PRODUKTŮ MICROSOFT</w:t>
                          </w:r>
                          <w:r>
                            <w:rPr>
                              <w:rFonts w:ascii="Arial" w:eastAsia="Arial" w:hAnsi="Arial" w:cs="Arial"/>
                              <w:sz w:val="16"/>
                              <w:szCs w:val="16"/>
                            </w:rPr>
                            <w:tab/>
                            <w:t>LIC.</w:t>
                          </w:r>
                        </w:p>
                      </w:txbxContent>
                    </wps:txbx>
                    <wps:bodyPr lIns="0" tIns="0" rIns="0" bIns="0">
                      <a:spAutoFit/>
                    </wps:bodyPr>
                  </wps:wsp>
                </a:graphicData>
              </a:graphic>
            </wp:anchor>
          </w:drawing>
        </mc:Choice>
        <mc:Fallback>
          <w:pict>
            <v:shape id="_x0000_s1031" type="#_x0000_t202" style="position:absolute;margin-left:70.450000000000003pt;margin-top:799.25pt;width:393.85000000000002pt;height:7.2000000000000002pt;z-index:-18874406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787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SW PRODUKTŮ MICROSOFT</w:t>
                      <w:tab/>
                      <w:t>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4A5" w:rsidRDefault="006974A5"/>
  </w:footnote>
  <w:footnote w:type="continuationSeparator" w:id="0">
    <w:p w:rsidR="006974A5" w:rsidRDefault="006974A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5318"/>
    <w:multiLevelType w:val="multilevel"/>
    <w:tmpl w:val="2032AA1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F65C42"/>
    <w:multiLevelType w:val="multilevel"/>
    <w:tmpl w:val="132488C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277ED"/>
    <w:multiLevelType w:val="multilevel"/>
    <w:tmpl w:val="3FF4DF0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92948"/>
    <w:multiLevelType w:val="multilevel"/>
    <w:tmpl w:val="CE96FCF6"/>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95"/>
    <w:rsid w:val="00352A95"/>
    <w:rsid w:val="006974A5"/>
    <w:rsid w:val="00C81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0023"/>
  <w15:docId w15:val="{50402B0D-D711-4D91-BF01-CF4E7AA7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E20074"/>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262" w:lineRule="auto"/>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00" w:line="262" w:lineRule="auto"/>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pPr>
    <w:rPr>
      <w:rFonts w:ascii="Arial" w:eastAsia="Arial" w:hAnsi="Arial" w:cs="Arial"/>
      <w:b/>
      <w:bCs/>
      <w:sz w:val="18"/>
      <w:szCs w:val="18"/>
    </w:rPr>
  </w:style>
  <w:style w:type="paragraph" w:customStyle="1" w:styleId="Nadpis10">
    <w:name w:val="Nadpis #1"/>
    <w:basedOn w:val="Normln"/>
    <w:link w:val="Nadpis1"/>
    <w:pPr>
      <w:shd w:val="clear" w:color="auto" w:fill="FFFFFF"/>
      <w:spacing w:after="580"/>
      <w:jc w:val="center"/>
      <w:outlineLvl w:val="0"/>
    </w:pPr>
    <w:rPr>
      <w:rFonts w:ascii="Times New Roman" w:eastAsia="Times New Roman" w:hAnsi="Times New Roman" w:cs="Times New Roman"/>
      <w:b/>
      <w:bCs/>
      <w:color w:val="E20074"/>
      <w:sz w:val="28"/>
      <w:szCs w:val="2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00" w:line="266" w:lineRule="auto"/>
      <w:outlineLvl w:val="1"/>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pu.cz" TargetMode="External"/><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3240</Words>
  <Characters>19117</Characters>
  <Application>Microsoft Office Word</Application>
  <DocSecurity>0</DocSecurity>
  <Lines>159</Lines>
  <Paragraphs>44</Paragraphs>
  <ScaleCrop>false</ScaleCrop>
  <Company>HP Inc.</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Pospíšilová Ester</dc:creator>
  <cp:keywords/>
  <cp:lastModifiedBy>Janouchová Miroslava</cp:lastModifiedBy>
  <cp:revision>2</cp:revision>
  <dcterms:created xsi:type="dcterms:W3CDTF">2022-12-20T11:43:00Z</dcterms:created>
  <dcterms:modified xsi:type="dcterms:W3CDTF">2022-12-20T11:46:00Z</dcterms:modified>
</cp:coreProperties>
</file>