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CD38F" w14:textId="77777777" w:rsidR="00BF7C17" w:rsidRDefault="00D5619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smallCaps/>
          <w:color w:val="000000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mallCaps/>
          <w:color w:val="000000"/>
          <w:sz w:val="28"/>
          <w:szCs w:val="28"/>
        </w:rPr>
        <w:t>Kupní smlouva</w:t>
      </w:r>
    </w:p>
    <w:p w14:paraId="7D7CCFB1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I.</w:t>
      </w:r>
    </w:p>
    <w:p w14:paraId="3838A2BA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</w:tabs>
        <w:spacing w:after="120"/>
        <w:ind w:left="284" w:hanging="284"/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Smluvní strany</w:t>
      </w:r>
    </w:p>
    <w:p w14:paraId="6FC782EC" w14:textId="77777777" w:rsidR="00BF7C17" w:rsidRDefault="00D56192">
      <w:pPr>
        <w:tabs>
          <w:tab w:val="left" w:pos="426"/>
        </w:tabs>
        <w:spacing w:before="120"/>
        <w:ind w:left="426" w:hanging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  <w:b/>
        </w:rPr>
        <w:tab/>
        <w:t>Základní škola a mateřská škola, Praha 8, Lyčkovo náměstí 6</w:t>
      </w:r>
    </w:p>
    <w:p w14:paraId="53F69144" w14:textId="77777777" w:rsidR="00BF7C17" w:rsidRDefault="00D56192">
      <w:pPr>
        <w:tabs>
          <w:tab w:val="left" w:pos="993"/>
          <w:tab w:val="left" w:pos="283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sídlem:</w:t>
      </w:r>
      <w:r>
        <w:rPr>
          <w:rFonts w:ascii="Calibri" w:eastAsia="Calibri" w:hAnsi="Calibri" w:cs="Calibri"/>
          <w:sz w:val="22"/>
          <w:szCs w:val="22"/>
        </w:rPr>
        <w:tab/>
        <w:t>Lyčkovo náměstí 460/6, 18600 Praha 8 - Karlín</w:t>
      </w:r>
    </w:p>
    <w:p w14:paraId="352FCF85" w14:textId="77777777" w:rsidR="00BF7C17" w:rsidRDefault="00D56192">
      <w:pPr>
        <w:tabs>
          <w:tab w:val="left" w:pos="993"/>
          <w:tab w:val="left" w:pos="283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Zastoupené:</w:t>
      </w:r>
      <w:r>
        <w:rPr>
          <w:rFonts w:ascii="Calibri" w:eastAsia="Calibri" w:hAnsi="Calibri" w:cs="Calibri"/>
          <w:sz w:val="22"/>
          <w:szCs w:val="22"/>
        </w:rPr>
        <w:tab/>
        <w:t>Mgr. Jan Korda - ředitel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0638F7CA" w14:textId="77777777" w:rsidR="00BF7C17" w:rsidRDefault="00D56192">
      <w:pPr>
        <w:tabs>
          <w:tab w:val="left" w:pos="993"/>
          <w:tab w:val="left" w:pos="283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60433230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5286A506" w14:textId="77777777" w:rsidR="00BF7C17" w:rsidRDefault="00D56192">
      <w:pPr>
        <w:tabs>
          <w:tab w:val="left" w:pos="993"/>
          <w:tab w:val="left" w:pos="283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</w:t>
      </w:r>
      <w:r>
        <w:rPr>
          <w:rFonts w:ascii="Calibri" w:eastAsia="Calibri" w:hAnsi="Calibri" w:cs="Calibri"/>
          <w:sz w:val="22"/>
          <w:szCs w:val="22"/>
        </w:rPr>
        <w:tab/>
        <w:t>Komerční banka, a.s.</w:t>
      </w:r>
    </w:p>
    <w:p w14:paraId="1275AA34" w14:textId="77777777" w:rsidR="00BF7C17" w:rsidRDefault="00D56192">
      <w:pPr>
        <w:tabs>
          <w:tab w:val="left" w:pos="993"/>
          <w:tab w:val="left" w:pos="2835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Číslo </w:t>
      </w:r>
      <w:r>
        <w:rPr>
          <w:rFonts w:ascii="Calibri" w:eastAsia="Calibri" w:hAnsi="Calibri" w:cs="Calibri"/>
          <w:sz w:val="22"/>
          <w:szCs w:val="22"/>
        </w:rPr>
        <w:t>účtu:</w:t>
      </w:r>
      <w:r>
        <w:rPr>
          <w:rFonts w:ascii="Calibri" w:eastAsia="Calibri" w:hAnsi="Calibri" w:cs="Calibri"/>
          <w:sz w:val="22"/>
          <w:szCs w:val="22"/>
        </w:rPr>
        <w:tab/>
        <w:t>34237081/0100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70F4A42" w14:textId="77777777" w:rsidR="00BF7C17" w:rsidRDefault="00D56192">
      <w:pPr>
        <w:tabs>
          <w:tab w:val="left" w:pos="426"/>
        </w:tabs>
        <w:ind w:left="425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(dále jen „kupující“)</w:t>
      </w:r>
    </w:p>
    <w:p w14:paraId="30A096C0" w14:textId="77777777" w:rsidR="00BF7C17" w:rsidRDefault="00D5619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2835"/>
        </w:tabs>
        <w:spacing w:before="120" w:after="120"/>
        <w:ind w:left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</w:p>
    <w:p w14:paraId="1BC41640" w14:textId="42EF3975" w:rsidR="00BF7C17" w:rsidRDefault="00D56192">
      <w:pPr>
        <w:spacing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2.   </w:t>
      </w:r>
      <w:r w:rsidR="00042C01" w:rsidRPr="00042C01">
        <w:rPr>
          <w:rFonts w:ascii="Calibri" w:eastAsia="Calibri" w:hAnsi="Calibri" w:cs="Calibri"/>
          <w:b/>
        </w:rPr>
        <w:t>Ing. Oldřich Horáček</w:t>
      </w:r>
    </w:p>
    <w:p w14:paraId="3C5CBA26" w14:textId="6B12239F" w:rsidR="00BF7C17" w:rsidRDefault="00D56192" w:rsidP="00042C01">
      <w:pPr>
        <w:tabs>
          <w:tab w:val="left" w:pos="426"/>
          <w:tab w:val="left" w:pos="2977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 sídlem:</w:t>
      </w:r>
      <w:r>
        <w:rPr>
          <w:rFonts w:ascii="Calibri" w:eastAsia="Calibri" w:hAnsi="Calibri" w:cs="Calibri"/>
          <w:sz w:val="22"/>
          <w:szCs w:val="22"/>
        </w:rPr>
        <w:tab/>
      </w:r>
      <w:r w:rsidR="00042C01" w:rsidRPr="00042C01">
        <w:rPr>
          <w:rFonts w:ascii="Calibri" w:eastAsia="Calibri" w:hAnsi="Calibri" w:cs="Calibri"/>
          <w:sz w:val="22"/>
          <w:szCs w:val="22"/>
        </w:rPr>
        <w:t>Březová 1673</w:t>
      </w:r>
      <w:r w:rsidR="00042C01">
        <w:rPr>
          <w:rFonts w:ascii="Calibri" w:eastAsia="Calibri" w:hAnsi="Calibri" w:cs="Calibri"/>
          <w:sz w:val="22"/>
          <w:szCs w:val="22"/>
        </w:rPr>
        <w:t xml:space="preserve">, </w:t>
      </w:r>
      <w:r w:rsidR="00042C01" w:rsidRPr="00042C01">
        <w:rPr>
          <w:rFonts w:ascii="Calibri" w:eastAsia="Calibri" w:hAnsi="Calibri" w:cs="Calibri"/>
          <w:sz w:val="22"/>
          <w:szCs w:val="22"/>
        </w:rPr>
        <w:t>739 34 Šenov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C5E13AE" w14:textId="18D2849B" w:rsidR="00BF7C17" w:rsidRDefault="00D56192">
      <w:pPr>
        <w:tabs>
          <w:tab w:val="left" w:pos="426"/>
          <w:tab w:val="left" w:pos="2977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z w:val="22"/>
          <w:szCs w:val="22"/>
        </w:rPr>
        <w:tab/>
      </w:r>
      <w:r w:rsidR="0038407C" w:rsidRPr="0038407C">
        <w:rPr>
          <w:rFonts w:ascii="Calibri" w:eastAsia="Calibri" w:hAnsi="Calibri" w:cs="Calibri"/>
          <w:sz w:val="22"/>
          <w:szCs w:val="22"/>
        </w:rPr>
        <w:t>76065901</w:t>
      </w:r>
    </w:p>
    <w:p w14:paraId="5025C5D0" w14:textId="1AB468DA" w:rsidR="00BF7C17" w:rsidRDefault="00D56192">
      <w:pPr>
        <w:tabs>
          <w:tab w:val="left" w:pos="426"/>
          <w:tab w:val="left" w:pos="2977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DIČ:</w:t>
      </w:r>
      <w:r>
        <w:rPr>
          <w:rFonts w:ascii="Calibri" w:eastAsia="Calibri" w:hAnsi="Calibri" w:cs="Calibri"/>
          <w:sz w:val="22"/>
          <w:szCs w:val="22"/>
        </w:rPr>
        <w:tab/>
      </w:r>
      <w:r w:rsidR="0038407C" w:rsidRPr="0038407C">
        <w:rPr>
          <w:rFonts w:ascii="Calibri" w:eastAsia="Calibri" w:hAnsi="Calibri" w:cs="Calibri"/>
          <w:sz w:val="22"/>
          <w:szCs w:val="22"/>
        </w:rPr>
        <w:t>CZ 7503125597</w:t>
      </w:r>
    </w:p>
    <w:p w14:paraId="5422A0F7" w14:textId="77777777" w:rsidR="00BF7C17" w:rsidRDefault="00D56192">
      <w:pPr>
        <w:tabs>
          <w:tab w:val="left" w:pos="426"/>
          <w:tab w:val="left" w:pos="2977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Bankovní spojení:</w:t>
      </w:r>
      <w:r>
        <w:rPr>
          <w:rFonts w:ascii="Calibri" w:eastAsia="Calibri" w:hAnsi="Calibri" w:cs="Calibri"/>
          <w:sz w:val="22"/>
          <w:szCs w:val="22"/>
        </w:rPr>
        <w:tab/>
        <w:t>Fio banka, a. s.</w:t>
      </w:r>
    </w:p>
    <w:p w14:paraId="4F860CDB" w14:textId="2CD7C9B0" w:rsidR="00BF7C17" w:rsidRDefault="00D56192">
      <w:pPr>
        <w:tabs>
          <w:tab w:val="left" w:pos="426"/>
          <w:tab w:val="left" w:pos="2977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Číslo účtu:</w:t>
      </w:r>
      <w:r>
        <w:rPr>
          <w:rFonts w:ascii="Calibri" w:eastAsia="Calibri" w:hAnsi="Calibri" w:cs="Calibri"/>
          <w:sz w:val="22"/>
          <w:szCs w:val="22"/>
        </w:rPr>
        <w:tab/>
      </w:r>
      <w:r w:rsidR="0038407C" w:rsidRPr="0038407C">
        <w:rPr>
          <w:rFonts w:ascii="Calibri" w:eastAsia="Calibri" w:hAnsi="Calibri" w:cs="Calibri"/>
          <w:sz w:val="22"/>
          <w:szCs w:val="22"/>
        </w:rPr>
        <w:t>2200109288/2010</w:t>
      </w:r>
    </w:p>
    <w:p w14:paraId="64A80154" w14:textId="77777777" w:rsidR="00BF7C17" w:rsidRDefault="00D5619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357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(dále jen „prodávající“) </w:t>
      </w:r>
    </w:p>
    <w:p w14:paraId="1C47D034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II.</w:t>
      </w:r>
    </w:p>
    <w:p w14:paraId="0A0B28D2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</w:tabs>
        <w:spacing w:after="240"/>
        <w:ind w:left="284" w:hanging="284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Základní ustanovení</w:t>
      </w:r>
    </w:p>
    <w:p w14:paraId="6929B02B" w14:textId="77777777" w:rsidR="00BF7C17" w:rsidRDefault="00D56192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spacing w:after="120"/>
        <w:jc w:val="both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Tato smlouva je uzavřena dle § 2079 a násl. zákona č. 89/2012, občanský zákoník (dále jen „občanský zákoník“); práva a povinnosti stran touto smlouvou neupravená se řídí příslušnými ustanoveními občanského zákoníku. </w:t>
      </w:r>
    </w:p>
    <w:p w14:paraId="7F583E14" w14:textId="77777777" w:rsidR="00BF7C17" w:rsidRDefault="00D56192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údaje uve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dené v čl. I této smlouvy jsou v souladu s právní skutečností v době uzavření smlouvy. Smluvní strany se zavazují, že změny dotčených údajů oznámí bez prodlení písemně druhé smluvní straně. Při změně identifikačních údajů smluvních stran včetně změny účtu </w:t>
      </w:r>
      <w:r>
        <w:rPr>
          <w:rFonts w:ascii="Calibri" w:eastAsia="Calibri" w:hAnsi="Calibri" w:cs="Calibri"/>
          <w:color w:val="000000"/>
          <w:sz w:val="22"/>
          <w:szCs w:val="22"/>
        </w:rPr>
        <w:t>není nutné uzavírat ke smlouvě dodatek.</w:t>
      </w:r>
    </w:p>
    <w:p w14:paraId="77528B02" w14:textId="77777777" w:rsidR="00BF7C17" w:rsidRDefault="00D56192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osoby podepisující tuto smlouvu jsou k tomuto právnímu jednání oprávněny.</w:t>
      </w:r>
    </w:p>
    <w:p w14:paraId="34ABD4C5" w14:textId="77777777" w:rsidR="00BF7C17" w:rsidRDefault="00BF7C17">
      <w:pPr>
        <w:tabs>
          <w:tab w:val="left" w:pos="-2410"/>
        </w:tabs>
        <w:spacing w:before="120"/>
        <w:ind w:left="284" w:hanging="284"/>
        <w:rPr>
          <w:rFonts w:ascii="Calibri" w:eastAsia="Calibri" w:hAnsi="Calibri" w:cs="Calibri"/>
          <w:b/>
          <w:sz w:val="2"/>
          <w:szCs w:val="2"/>
        </w:rPr>
      </w:pPr>
    </w:p>
    <w:p w14:paraId="3F0E6BF3" w14:textId="77777777" w:rsidR="00BF7C17" w:rsidRDefault="00D56192">
      <w:pPr>
        <w:tabs>
          <w:tab w:val="left" w:pos="-2410"/>
        </w:tabs>
        <w:spacing w:before="120"/>
        <w:ind w:left="284" w:hanging="28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III.</w:t>
      </w:r>
    </w:p>
    <w:p w14:paraId="27500FB6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</w:tabs>
        <w:spacing w:after="240"/>
        <w:ind w:left="284" w:hanging="284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Účel a předmět smlouvy</w:t>
      </w:r>
    </w:p>
    <w:p w14:paraId="45778911" w14:textId="69F8BAB7" w:rsidR="00BF7C17" w:rsidRDefault="00D5619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Účelem smlouvy je pořízení </w:t>
      </w:r>
      <w:r w:rsidR="0038407C">
        <w:rPr>
          <w:rFonts w:ascii="Calibri" w:eastAsia="Calibri" w:hAnsi="Calibri" w:cs="Calibri"/>
          <w:color w:val="000000"/>
          <w:sz w:val="22"/>
          <w:szCs w:val="22"/>
        </w:rPr>
        <w:t xml:space="preserve">hardware pro rozvoj </w:t>
      </w:r>
      <w:r w:rsidR="0038407C" w:rsidRPr="0038407C">
        <w:rPr>
          <w:rFonts w:ascii="Calibri" w:eastAsia="Calibri" w:hAnsi="Calibri" w:cs="Calibri"/>
          <w:color w:val="000000"/>
          <w:sz w:val="22"/>
          <w:szCs w:val="22"/>
        </w:rPr>
        <w:t>informatického myšlení a digitální kompetence</w:t>
      </w:r>
      <w:r w:rsidR="0038407C">
        <w:rPr>
          <w:rFonts w:ascii="Calibri" w:eastAsia="Calibri" w:hAnsi="Calibri" w:cs="Calibri"/>
          <w:color w:val="000000"/>
          <w:sz w:val="22"/>
          <w:szCs w:val="22"/>
        </w:rPr>
        <w:t>, konkrétně desek Micro:bit včetně příslušenství.</w:t>
      </w:r>
    </w:p>
    <w:p w14:paraId="15D223C0" w14:textId="2DC172A6" w:rsidR="00BF7C17" w:rsidRDefault="00D5619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plnění je dodávka </w:t>
      </w:r>
      <w:r w:rsidR="0038407C">
        <w:rPr>
          <w:rFonts w:ascii="Calibri" w:eastAsia="Calibri" w:hAnsi="Calibri" w:cs="Calibri"/>
          <w:color w:val="000000"/>
          <w:sz w:val="22"/>
          <w:szCs w:val="22"/>
        </w:rPr>
        <w:t>zařízení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dle přílohy č. 1 této smlouvy včetně zajištění záručního servisu. Podrobná technická specifikace dodávaného zboží odpovídá nabídce prodávajícího</w:t>
      </w:r>
      <w:r w:rsidR="009840B7">
        <w:rPr>
          <w:rFonts w:ascii="Calibri" w:eastAsia="Calibri" w:hAnsi="Calibri" w:cs="Calibri"/>
          <w:color w:val="000000"/>
          <w:sz w:val="22"/>
          <w:szCs w:val="22"/>
        </w:rPr>
        <w:t xml:space="preserve">, viz seznam v příloze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č. 1 této smlouvy. </w:t>
      </w:r>
    </w:p>
    <w:p w14:paraId="04E827A0" w14:textId="3D6EE529" w:rsidR="00BF7C17" w:rsidRPr="004C48AA" w:rsidRDefault="00D56192" w:rsidP="004C48A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Prodávající se zavazuje umožnit kupujícímu nabýt vlastnické právo k předmětu plnění, právo užití software a příslušenství k software (dále též zboží). Kupující se zavazuje zboží převzít a zaplatit za ně prodávajíc</w:t>
      </w:r>
      <w:r>
        <w:rPr>
          <w:rFonts w:ascii="Calibri" w:eastAsia="Calibri" w:hAnsi="Calibri" w:cs="Calibri"/>
          <w:color w:val="000000"/>
          <w:sz w:val="22"/>
          <w:szCs w:val="22"/>
        </w:rPr>
        <w:t>ímu kupní cenu dle čl. IV. této smlouvy.</w:t>
      </w:r>
    </w:p>
    <w:p w14:paraId="5944CF02" w14:textId="77777777" w:rsidR="00BF7C17" w:rsidRDefault="00D56192">
      <w:pPr>
        <w:keepNext/>
        <w:widowControl w:val="0"/>
        <w:tabs>
          <w:tab w:val="left" w:pos="-2410"/>
        </w:tabs>
        <w:spacing w:before="120"/>
        <w:ind w:left="284" w:hanging="28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IV.</w:t>
      </w:r>
    </w:p>
    <w:p w14:paraId="3FC66E2C" w14:textId="77777777" w:rsidR="00BF7C17" w:rsidRDefault="00D56192" w:rsidP="004C48A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</w:tabs>
        <w:ind w:left="284" w:hanging="284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Kupní cena</w:t>
      </w:r>
    </w:p>
    <w:p w14:paraId="3A7D5DC9" w14:textId="6E0B7E96" w:rsidR="00BF7C17" w:rsidRDefault="00D56192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Kupní cena za plnění dle této smlouvy je sjednána dohodou smluvních stran a činí</w:t>
      </w:r>
      <w:r w:rsidR="006C1F6E">
        <w:rPr>
          <w:rFonts w:ascii="Calibri" w:eastAsia="Calibri" w:hAnsi="Calibri" w:cs="Calibri"/>
          <w:sz w:val="22"/>
          <w:szCs w:val="22"/>
        </w:rPr>
        <w:t xml:space="preserve"> </w:t>
      </w:r>
      <w:r w:rsidR="0038407C" w:rsidRPr="0038407C">
        <w:rPr>
          <w:rFonts w:ascii="Calibri" w:eastAsia="Calibri" w:hAnsi="Calibri" w:cs="Calibri"/>
          <w:color w:val="000000"/>
          <w:sz w:val="22"/>
          <w:szCs w:val="22"/>
        </w:rPr>
        <w:t>100 928,18 Kč</w:t>
      </w:r>
      <w:r w:rsidR="0038407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bez DPH, DPH činí</w:t>
      </w:r>
      <w:r w:rsidR="006C1F6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8407C" w:rsidRPr="0038407C">
        <w:rPr>
          <w:rFonts w:ascii="Calibri" w:eastAsia="Calibri" w:hAnsi="Calibri" w:cs="Calibri"/>
          <w:color w:val="000000"/>
          <w:sz w:val="22"/>
          <w:szCs w:val="22"/>
        </w:rPr>
        <w:t>21 194,92 Kč</w:t>
      </w:r>
      <w:r>
        <w:rPr>
          <w:rFonts w:ascii="Calibri" w:eastAsia="Calibri" w:hAnsi="Calibri" w:cs="Calibri"/>
          <w:color w:val="000000"/>
          <w:sz w:val="22"/>
          <w:szCs w:val="22"/>
        </w:rPr>
        <w:t>. Cena včetně DPH činí</w:t>
      </w:r>
      <w:r w:rsidR="006C1F6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8407C" w:rsidRPr="0038407C">
        <w:rPr>
          <w:rFonts w:ascii="Calibri" w:eastAsia="Calibri" w:hAnsi="Calibri" w:cs="Calibri"/>
          <w:color w:val="000000"/>
          <w:sz w:val="22"/>
          <w:szCs w:val="22"/>
        </w:rPr>
        <w:t>122 123,10 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slovy: </w:t>
      </w:r>
      <w:r w:rsidR="0038407C">
        <w:rPr>
          <w:rFonts w:ascii="Calibri" w:eastAsia="Calibri" w:hAnsi="Calibri" w:cs="Calibri"/>
          <w:i/>
          <w:iCs/>
          <w:sz w:val="22"/>
          <w:szCs w:val="22"/>
        </w:rPr>
        <w:t xml:space="preserve">sto dvacet dva tisíc sto dvacet tři </w:t>
      </w:r>
      <w:r>
        <w:rPr>
          <w:rFonts w:ascii="Calibri" w:eastAsia="Calibri" w:hAnsi="Calibri" w:cs="Calibri"/>
          <w:i/>
          <w:sz w:val="22"/>
          <w:szCs w:val="22"/>
        </w:rPr>
        <w:t>Kč</w:t>
      </w:r>
      <w:r w:rsidR="0038407C">
        <w:rPr>
          <w:rFonts w:ascii="Calibri" w:eastAsia="Calibri" w:hAnsi="Calibri" w:cs="Calibri"/>
          <w:i/>
          <w:sz w:val="22"/>
          <w:szCs w:val="22"/>
        </w:rPr>
        <w:t xml:space="preserve"> a deset haléřů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4C48AA">
        <w:rPr>
          <w:rFonts w:ascii="Calibri" w:eastAsia="Calibri" w:hAnsi="Calibri" w:cs="Calibri"/>
          <w:color w:val="000000"/>
          <w:sz w:val="22"/>
          <w:szCs w:val="22"/>
        </w:rPr>
        <w:t>Seznam jednotlivých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polož</w:t>
      </w:r>
      <w:r w:rsidR="004C48AA">
        <w:rPr>
          <w:rFonts w:ascii="Calibri" w:eastAsia="Calibri" w:hAnsi="Calibri" w:cs="Calibri"/>
          <w:color w:val="000000"/>
          <w:sz w:val="22"/>
          <w:szCs w:val="22"/>
        </w:rPr>
        <w:t xml:space="preserve">ek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předmětu plnění </w:t>
      </w:r>
      <w:r w:rsidR="004C48AA">
        <w:rPr>
          <w:rFonts w:ascii="Calibri" w:eastAsia="Calibri" w:hAnsi="Calibri" w:cs="Calibri"/>
          <w:color w:val="000000"/>
          <w:sz w:val="22"/>
          <w:szCs w:val="22"/>
        </w:rPr>
        <w:t>je přílohou této smlouvy.</w:t>
      </w:r>
    </w:p>
    <w:p w14:paraId="01BC6ABB" w14:textId="77777777" w:rsidR="00BF7C17" w:rsidRDefault="00D56192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Kupní cena podle odst. 1 tohoto článku smlouvy zahrnuje veškeré náklady prodávajícího spojené se splněním jeho závazku, tj. cenu zb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oží včetně dopravného, odměny za poskytnutí licencí a dalších souvisejících nákladů. Kupní cena je stanovena jako nejvýše přípustná a není ji možno překročit. </w:t>
      </w:r>
    </w:p>
    <w:p w14:paraId="34573498" w14:textId="77777777" w:rsidR="00BF7C17" w:rsidRDefault="00D56192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Prodávající odpovídá za to, že sazba daně z přidané hodnoty bude stanovena v souladu s platnými </w:t>
      </w:r>
      <w:r>
        <w:rPr>
          <w:rFonts w:ascii="Calibri" w:eastAsia="Calibri" w:hAnsi="Calibri" w:cs="Calibri"/>
          <w:color w:val="000000"/>
          <w:sz w:val="22"/>
          <w:szCs w:val="22"/>
        </w:rPr>
        <w:t>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</w:t>
      </w:r>
      <w:r>
        <w:rPr>
          <w:rFonts w:ascii="Calibri" w:eastAsia="Calibri" w:hAnsi="Calibri" w:cs="Calibri"/>
          <w:color w:val="000000"/>
          <w:sz w:val="22"/>
          <w:szCs w:val="22"/>
        </w:rPr>
        <w:t>datek.</w:t>
      </w:r>
    </w:p>
    <w:p w14:paraId="10896897" w14:textId="77777777" w:rsidR="00BF7C17" w:rsidRDefault="00BF7C17">
      <w:pPr>
        <w:spacing w:before="240" w:after="120"/>
        <w:jc w:val="center"/>
        <w:rPr>
          <w:rFonts w:ascii="Calibri" w:eastAsia="Calibri" w:hAnsi="Calibri" w:cs="Calibri"/>
          <w:b/>
          <w:sz w:val="2"/>
          <w:szCs w:val="2"/>
        </w:rPr>
      </w:pPr>
    </w:p>
    <w:p w14:paraId="027E2A46" w14:textId="77777777" w:rsidR="00BF7C17" w:rsidRDefault="00D5619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V.</w:t>
      </w:r>
    </w:p>
    <w:p w14:paraId="3D28627F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</w:tabs>
        <w:spacing w:after="240"/>
        <w:ind w:left="284" w:hanging="284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Místo a doba plnění</w:t>
      </w:r>
    </w:p>
    <w:p w14:paraId="51577C47" w14:textId="77777777" w:rsidR="00BF7C17" w:rsidRDefault="00D5619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Prodávající je povinen dodat zboží do místa plnění, kterým je sídlo kupujícího – </w:t>
      </w:r>
      <w:r>
        <w:rPr>
          <w:rFonts w:ascii="Calibri" w:eastAsia="Calibri" w:hAnsi="Calibri" w:cs="Calibri"/>
          <w:sz w:val="22"/>
          <w:szCs w:val="22"/>
        </w:rPr>
        <w:t>Lyčkovo náměstí 460/6, 18600 Praha 8 - Karlín</w:t>
      </w:r>
    </w:p>
    <w:p w14:paraId="24478DFB" w14:textId="248B799D" w:rsidR="00BF7C17" w:rsidRDefault="00D56192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Prodávající se zavazuje odevzdat kupujícímu zboží nejpozději do </w:t>
      </w:r>
      <w:r w:rsidR="004C48AA">
        <w:rPr>
          <w:rFonts w:ascii="Calibri" w:eastAsia="Calibri" w:hAnsi="Calibri" w:cs="Calibri"/>
          <w:color w:val="000000"/>
          <w:sz w:val="22"/>
          <w:szCs w:val="22"/>
        </w:rPr>
        <w:t>28. 2. 2023.</w:t>
      </w:r>
    </w:p>
    <w:p w14:paraId="681E9605" w14:textId="77777777" w:rsidR="00BF7C17" w:rsidRDefault="00BF7C17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Calibri" w:eastAsia="Calibri" w:hAnsi="Calibri" w:cs="Calibri"/>
          <w:b/>
          <w:sz w:val="6"/>
          <w:szCs w:val="6"/>
        </w:rPr>
      </w:pPr>
    </w:p>
    <w:p w14:paraId="786E34B9" w14:textId="77777777" w:rsidR="00BF7C17" w:rsidRDefault="00D56192">
      <w:pPr>
        <w:tabs>
          <w:tab w:val="left" w:pos="357"/>
          <w:tab w:val="left" w:pos="540"/>
          <w:tab w:val="left" w:pos="1980"/>
          <w:tab w:val="left" w:pos="7380"/>
        </w:tabs>
        <w:jc w:val="center"/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VI.</w:t>
      </w:r>
    </w:p>
    <w:p w14:paraId="36E9A787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"/>
          <w:tab w:val="left" w:pos="357"/>
          <w:tab w:val="left" w:pos="540"/>
          <w:tab w:val="left" w:pos="1980"/>
          <w:tab w:val="left" w:pos="7380"/>
        </w:tabs>
        <w:spacing w:after="240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 xml:space="preserve">Povinnosti </w:t>
      </w: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prodávajícího a kupujícího</w:t>
      </w:r>
    </w:p>
    <w:p w14:paraId="3CCCA582" w14:textId="77777777" w:rsidR="00BF7C17" w:rsidRDefault="00D5619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  <w:tab w:val="left" w:pos="360"/>
          <w:tab w:val="left" w:pos="900"/>
        </w:tabs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Prodávající je povinen:</w:t>
      </w:r>
    </w:p>
    <w:p w14:paraId="11F6404D" w14:textId="77777777" w:rsidR="00BF7C17" w:rsidRDefault="00D561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  <w:tab w:val="left" w:pos="720"/>
        </w:tabs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Dodat zboží řádně a včas.</w:t>
      </w:r>
    </w:p>
    <w:p w14:paraId="2F0D75CF" w14:textId="77777777" w:rsidR="00BF7C17" w:rsidRDefault="00D56192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  <w:tab w:val="left" w:pos="720"/>
        </w:tabs>
        <w:spacing w:after="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Dodat zboží nové, nepoužívané, nerepasované a odpovídající platným technickým normám, právním předpisům a předpisům výrobce. </w:t>
      </w:r>
    </w:p>
    <w:p w14:paraId="326D43A4" w14:textId="77777777" w:rsidR="00BF7C17" w:rsidRDefault="00D56192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  <w:tab w:val="left" w:pos="360"/>
          <w:tab w:val="left" w:pos="900"/>
        </w:tabs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Kupující je povinen:</w:t>
      </w:r>
    </w:p>
    <w:p w14:paraId="24C8C252" w14:textId="77777777" w:rsidR="00BF7C17" w:rsidRDefault="00D5619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</w:tabs>
        <w:spacing w:after="60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Poskytnout prodávajícímu </w:t>
      </w:r>
      <w:r>
        <w:rPr>
          <w:rFonts w:ascii="Calibri" w:eastAsia="Calibri" w:hAnsi="Calibri" w:cs="Calibri"/>
          <w:color w:val="000000"/>
          <w:sz w:val="22"/>
          <w:szCs w:val="22"/>
        </w:rPr>
        <w:t>potřebnou součinnost při plnění jeho závazku.</w:t>
      </w:r>
    </w:p>
    <w:p w14:paraId="44D3922A" w14:textId="77777777" w:rsidR="00BF7C17" w:rsidRDefault="00D56192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</w:tabs>
        <w:spacing w:after="60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nabídnuté zboží nemá zjevné vady a plnění prodávajícího splňuje požadavky stanovené touto smlouvou, zboží převzít.</w:t>
      </w:r>
    </w:p>
    <w:p w14:paraId="039B2EF3" w14:textId="77777777" w:rsidR="00BF7C17" w:rsidRDefault="00D56192">
      <w:pPr>
        <w:tabs>
          <w:tab w:val="left" w:pos="0"/>
          <w:tab w:val="left" w:pos="360"/>
        </w:tabs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VII.</w:t>
      </w:r>
    </w:p>
    <w:p w14:paraId="7364E402" w14:textId="77777777" w:rsidR="00BF7C17" w:rsidRDefault="00D5619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</w:tabs>
        <w:spacing w:after="240"/>
        <w:ind w:left="362" w:hanging="181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Převod vlastnického práva a nebezpečí škody na zboží</w:t>
      </w:r>
    </w:p>
    <w:p w14:paraId="008C28BA" w14:textId="77777777" w:rsidR="00BF7C17" w:rsidRPr="008A678C" w:rsidRDefault="00D56192" w:rsidP="008A678C">
      <w:pPr>
        <w:pStyle w:val="Odstavecseseznamem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</w:tabs>
        <w:spacing w:before="120"/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A678C">
        <w:rPr>
          <w:rFonts w:ascii="Calibri" w:eastAsia="Calibri" w:hAnsi="Calibri" w:cs="Calibri"/>
          <w:color w:val="000000"/>
          <w:sz w:val="22"/>
          <w:szCs w:val="22"/>
        </w:rPr>
        <w:t xml:space="preserve">Kupující nabývá vlastnické </w:t>
      </w:r>
      <w:r w:rsidRPr="008A678C">
        <w:rPr>
          <w:rFonts w:ascii="Calibri" w:eastAsia="Calibri" w:hAnsi="Calibri" w:cs="Calibri"/>
          <w:color w:val="000000"/>
          <w:sz w:val="22"/>
          <w:szCs w:val="22"/>
        </w:rPr>
        <w:t>právo ke zboží jeho převzetím kupujícím v místě plnění; v témže okamžiku přechází na kupujícího nebezpečí škody na zboží.</w:t>
      </w:r>
    </w:p>
    <w:p w14:paraId="1C030EC3" w14:textId="77777777" w:rsidR="00BF7C17" w:rsidRDefault="00BF7C17">
      <w:pPr>
        <w:tabs>
          <w:tab w:val="left" w:pos="0"/>
          <w:tab w:val="left" w:pos="360"/>
        </w:tabs>
        <w:spacing w:after="120"/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C5A023E" w14:textId="77777777" w:rsidR="00BF7C17" w:rsidRDefault="00D56192">
      <w:pPr>
        <w:tabs>
          <w:tab w:val="left" w:pos="0"/>
          <w:tab w:val="left" w:pos="360"/>
        </w:tabs>
        <w:spacing w:after="120"/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VIII.</w:t>
      </w:r>
    </w:p>
    <w:p w14:paraId="6414DABA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"/>
          <w:tab w:val="left" w:pos="0"/>
          <w:tab w:val="left" w:pos="360"/>
        </w:tabs>
        <w:spacing w:after="240"/>
        <w:ind w:left="362" w:hanging="181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Předání a převzetí zboží</w:t>
      </w:r>
    </w:p>
    <w:p w14:paraId="0F17FDC5" w14:textId="77777777" w:rsidR="00BF7C17" w:rsidRDefault="00D56192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Zboží se považuje za odevzdané kupujícímu jeho převzetím.</w:t>
      </w:r>
    </w:p>
    <w:p w14:paraId="266F2D22" w14:textId="77777777" w:rsidR="00BF7C17" w:rsidRDefault="00D56192">
      <w:pPr>
        <w:numPr>
          <w:ilvl w:val="0"/>
          <w:numId w:val="14"/>
        </w:numPr>
        <w:tabs>
          <w:tab w:val="left" w:pos="426"/>
        </w:tabs>
        <w:spacing w:before="120" w:after="6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Pověřený zástupce kupujícího při převzetí </w:t>
      </w:r>
      <w:r>
        <w:rPr>
          <w:rFonts w:ascii="Calibri" w:eastAsia="Calibri" w:hAnsi="Calibri" w:cs="Calibri"/>
          <w:sz w:val="22"/>
          <w:szCs w:val="22"/>
        </w:rPr>
        <w:t>zboží provede kontrolu:</w:t>
      </w:r>
    </w:p>
    <w:p w14:paraId="12233E88" w14:textId="77777777" w:rsidR="00BF7C17" w:rsidRDefault="00D56192">
      <w:pPr>
        <w:numPr>
          <w:ilvl w:val="0"/>
          <w:numId w:val="5"/>
        </w:numPr>
        <w:tabs>
          <w:tab w:val="left" w:pos="567"/>
          <w:tab w:val="left" w:pos="1701"/>
        </w:tabs>
        <w:spacing w:after="60"/>
        <w:ind w:hanging="6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dodaného druhu a množství zboží,</w:t>
      </w:r>
    </w:p>
    <w:p w14:paraId="6D229E54" w14:textId="77777777" w:rsidR="00BF7C17" w:rsidRDefault="00D56192">
      <w:pPr>
        <w:numPr>
          <w:ilvl w:val="0"/>
          <w:numId w:val="5"/>
        </w:numPr>
        <w:tabs>
          <w:tab w:val="left" w:pos="567"/>
          <w:tab w:val="left" w:pos="1701"/>
        </w:tabs>
        <w:spacing w:after="60"/>
        <w:ind w:hanging="6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zda nedošlo k poškození zboží při přepravě,</w:t>
      </w:r>
    </w:p>
    <w:p w14:paraId="6420DBD3" w14:textId="77777777" w:rsidR="00BF7C17" w:rsidRDefault="00D56192">
      <w:pPr>
        <w:numPr>
          <w:ilvl w:val="0"/>
          <w:numId w:val="14"/>
        </w:numPr>
        <w:tabs>
          <w:tab w:val="left" w:pos="426"/>
        </w:tabs>
        <w:spacing w:before="120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případě zjištění zjevných vad zboží může kupující odmítnout jeho převzetí, což řádně </w:t>
      </w:r>
      <w:r>
        <w:rPr>
          <w:rFonts w:ascii="Calibri" w:eastAsia="Calibri" w:hAnsi="Calibri" w:cs="Calibri"/>
          <w:sz w:val="22"/>
          <w:szCs w:val="22"/>
        </w:rPr>
        <w:br/>
        <w:t xml:space="preserve">i s důvody potvrdí na dodacím listu. </w:t>
      </w:r>
    </w:p>
    <w:p w14:paraId="5B9E094A" w14:textId="77777777" w:rsidR="00BF7C17" w:rsidRDefault="00BF7C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  <w:tab w:val="left" w:pos="540"/>
        </w:tabs>
        <w:spacing w:before="240" w:after="120"/>
        <w:ind w:left="284" w:hanging="284"/>
        <w:jc w:val="center"/>
        <w:rPr>
          <w:rFonts w:ascii="Calibri" w:eastAsia="Calibri" w:hAnsi="Calibri" w:cs="Calibri"/>
          <w:b/>
          <w:color w:val="000000"/>
          <w:sz w:val="2"/>
          <w:szCs w:val="2"/>
        </w:rPr>
      </w:pPr>
    </w:p>
    <w:p w14:paraId="58D73B57" w14:textId="77777777" w:rsidR="00BF7C17" w:rsidRDefault="00D56192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284"/>
          <w:tab w:val="left" w:pos="540"/>
        </w:tabs>
        <w:ind w:left="539" w:hanging="539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IX.</w:t>
      </w:r>
    </w:p>
    <w:p w14:paraId="540C622E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"/>
          <w:tab w:val="left" w:pos="0"/>
          <w:tab w:val="left" w:pos="709"/>
        </w:tabs>
        <w:spacing w:after="240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Platební podmínky</w:t>
      </w:r>
    </w:p>
    <w:p w14:paraId="7A1F55ED" w14:textId="77777777" w:rsidR="00BF7C17" w:rsidRDefault="00D5619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Podkladem pro úhradu kupní ceny bude faktura, která bude mít náležitosti daňového dokladu dle zákona o DPH a náležitosti stanovené dalšími obecně závaznými právními předpisy (dále jen „faktura“).</w:t>
      </w:r>
      <w:r>
        <w:rPr>
          <w:color w:val="000000"/>
          <w:sz w:val="22"/>
          <w:szCs w:val="22"/>
        </w:rPr>
        <w:t xml:space="preserve"> </w:t>
      </w:r>
    </w:p>
    <w:p w14:paraId="1F304F6C" w14:textId="4969C853" w:rsidR="00BF7C17" w:rsidRDefault="00D5619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Lhůta splatnosti faktury činí </w:t>
      </w:r>
      <w:r>
        <w:rPr>
          <w:rFonts w:ascii="Calibri" w:eastAsia="Calibri" w:hAnsi="Calibri" w:cs="Calibri"/>
          <w:sz w:val="22"/>
          <w:szCs w:val="22"/>
        </w:rPr>
        <w:t>1</w:t>
      </w:r>
      <w:r w:rsidR="008A678C"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kalendářních dnů ode dne jejího doručení kupujícímu. </w:t>
      </w:r>
    </w:p>
    <w:p w14:paraId="1B63B27C" w14:textId="77777777" w:rsidR="00BF7C17" w:rsidRDefault="00D56192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0"/>
        </w:tabs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Povinnost zaplatit kupní cenu je splněna dnem odepsání příslušné částky z účtu kupujícího.</w:t>
      </w:r>
    </w:p>
    <w:p w14:paraId="5AC30720" w14:textId="77777777" w:rsidR="00BF7C17" w:rsidRDefault="00BF7C1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9"/>
          <w:tab w:val="left" w:pos="0"/>
          <w:tab w:val="left" w:pos="360"/>
        </w:tabs>
        <w:spacing w:before="120"/>
        <w:ind w:left="362" w:hanging="181"/>
        <w:jc w:val="center"/>
        <w:rPr>
          <w:rFonts w:ascii="Calibri" w:eastAsia="Calibri" w:hAnsi="Calibri" w:cs="Calibri"/>
          <w:b/>
          <w:smallCaps/>
          <w:color w:val="000000"/>
          <w:sz w:val="4"/>
          <w:szCs w:val="4"/>
        </w:rPr>
      </w:pPr>
    </w:p>
    <w:p w14:paraId="06F54CCA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9"/>
          <w:tab w:val="left" w:pos="0"/>
          <w:tab w:val="left" w:pos="360"/>
        </w:tabs>
        <w:spacing w:before="120"/>
        <w:ind w:left="362" w:hanging="181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X.</w:t>
      </w:r>
    </w:p>
    <w:p w14:paraId="0B8FA605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709"/>
          <w:tab w:val="left" w:pos="0"/>
          <w:tab w:val="left" w:pos="360"/>
        </w:tabs>
        <w:spacing w:after="240"/>
        <w:ind w:left="362" w:hanging="181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Záruka za jakost, práva z vadného plnění</w:t>
      </w:r>
    </w:p>
    <w:p w14:paraId="20E0CFFB" w14:textId="77777777" w:rsidR="00BF7C17" w:rsidRDefault="00D5619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Záruka za jakost</w:t>
      </w:r>
    </w:p>
    <w:p w14:paraId="6B979291" w14:textId="15686AF1" w:rsidR="00BF7C17" w:rsidRDefault="00D56192">
      <w:pPr>
        <w:numPr>
          <w:ilvl w:val="0"/>
          <w:numId w:val="9"/>
        </w:numPr>
        <w:spacing w:before="120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Prodávající kupujícímu na zboží poskytuje záruku</w:t>
      </w:r>
      <w:r>
        <w:rPr>
          <w:rFonts w:ascii="Calibri" w:eastAsia="Calibri" w:hAnsi="Calibri" w:cs="Calibri"/>
          <w:sz w:val="22"/>
          <w:szCs w:val="22"/>
        </w:rPr>
        <w:t xml:space="preserve"> za jakost (dále jen „záruka“) ve smyslu § 2113 a násl. občanského zákoníku, a to v délce uvedené v</w:t>
      </w:r>
      <w:r w:rsidR="008A678C">
        <w:rPr>
          <w:rFonts w:ascii="Calibri" w:eastAsia="Calibri" w:hAnsi="Calibri" w:cs="Calibri"/>
          <w:sz w:val="22"/>
          <w:szCs w:val="22"/>
        </w:rPr>
        <w:t> obchodních podmínkách prodávajícího.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30DEC255" w14:textId="61DB5CFE" w:rsidR="00BF7C17" w:rsidRDefault="00D56192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Záruční doba začíná běžet dnem převzetí zboží kupujícím. </w:t>
      </w:r>
    </w:p>
    <w:p w14:paraId="6CD201E1" w14:textId="77777777" w:rsidR="00BF7C17" w:rsidRDefault="00D5619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Práva z vadného plnění</w:t>
      </w:r>
    </w:p>
    <w:p w14:paraId="4F9F0E1F" w14:textId="77777777" w:rsidR="00BF7C17" w:rsidRDefault="00D56192">
      <w:pPr>
        <w:numPr>
          <w:ilvl w:val="0"/>
          <w:numId w:val="9"/>
        </w:numPr>
        <w:spacing w:before="120"/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Veškeré vady zboží je kupující povine</w:t>
      </w:r>
      <w:r>
        <w:rPr>
          <w:rFonts w:ascii="Calibri" w:eastAsia="Calibri" w:hAnsi="Calibri" w:cs="Calibri"/>
          <w:sz w:val="22"/>
          <w:szCs w:val="22"/>
        </w:rPr>
        <w:t xml:space="preserve">n uplatnit u prodávajícího bez zbytečného odkladu poté, kdy vadu zjistil, a to formou písemného oznámení, obsahujícím specifikaci zjištěné vady. </w:t>
      </w:r>
    </w:p>
    <w:p w14:paraId="6DF9470B" w14:textId="77777777" w:rsidR="00BF7C17" w:rsidRDefault="00BF7C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Calibri" w:eastAsia="Calibri" w:hAnsi="Calibri" w:cs="Calibri"/>
          <w:color w:val="000000"/>
          <w:sz w:val="4"/>
          <w:szCs w:val="4"/>
        </w:rPr>
      </w:pPr>
    </w:p>
    <w:p w14:paraId="0F2769DC" w14:textId="77777777" w:rsidR="00BF7C17" w:rsidRDefault="00D56192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XI.</w:t>
      </w:r>
    </w:p>
    <w:p w14:paraId="7614CFF2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-2410"/>
          <w:tab w:val="left" w:pos="-2410"/>
          <w:tab w:val="left" w:pos="0"/>
          <w:tab w:val="left" w:pos="360"/>
        </w:tabs>
        <w:spacing w:after="240"/>
        <w:ind w:left="362" w:hanging="181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Zánik smlouvy</w:t>
      </w:r>
    </w:p>
    <w:p w14:paraId="177A6B81" w14:textId="77777777" w:rsidR="00BF7C17" w:rsidRDefault="00D56192">
      <w:pPr>
        <w:numPr>
          <w:ilvl w:val="3"/>
          <w:numId w:val="2"/>
        </w:numPr>
        <w:tabs>
          <w:tab w:val="left" w:pos="0"/>
        </w:tabs>
        <w:spacing w:before="120"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zaniká:</w:t>
      </w:r>
    </w:p>
    <w:p w14:paraId="4E7AFF9D" w14:textId="77777777" w:rsidR="00BF7C17" w:rsidRDefault="00D5619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"/>
        <w:ind w:left="708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písemnou dohodou smluvních stran,</w:t>
      </w:r>
    </w:p>
    <w:p w14:paraId="5FAD1C60" w14:textId="77777777" w:rsidR="00BF7C17" w:rsidRDefault="00D5619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12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"/>
        <w:ind w:left="720" w:hanging="43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jednostranným odstoupením od smlouvy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pro její podstatné porušení druhou smluvní stranou, s tím, že podstatným porušením smlouvy se rozumí zejména</w:t>
      </w:r>
    </w:p>
    <w:p w14:paraId="0F266FC3" w14:textId="77777777" w:rsidR="00BF7C17" w:rsidRDefault="00D5619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"/>
        <w:ind w:left="993" w:hanging="27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neodevzdání zboží kupujícímu ve stanovené době plnění, </w:t>
      </w:r>
    </w:p>
    <w:p w14:paraId="509A39FF" w14:textId="77777777" w:rsidR="00BF7C17" w:rsidRDefault="00D5619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"/>
        <w:ind w:left="993" w:hanging="27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má zboží vady, které je činí neupotřebitelným nebo nemá vlastnosti, které si kupujíc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í vymínil nebo o kterých ho prodávající ujistil, </w:t>
      </w:r>
    </w:p>
    <w:p w14:paraId="47AFC148" w14:textId="77777777" w:rsidR="00BF7C17" w:rsidRDefault="00D56192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60"/>
        <w:ind w:left="993" w:hanging="27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neuhrazení kupní ceny kupujícím po druhé výzvě prodávajícího k uhrazení dlužné částky, přičemž druhá výzva nesmí následovat dříve než 15 dnů po doručení první výzvy.</w:t>
      </w:r>
    </w:p>
    <w:p w14:paraId="3C96B23C" w14:textId="77777777" w:rsidR="00BF7C17" w:rsidRDefault="00D56192">
      <w:pPr>
        <w:numPr>
          <w:ilvl w:val="3"/>
          <w:numId w:val="2"/>
        </w:numPr>
        <w:tabs>
          <w:tab w:val="left" w:pos="0"/>
        </w:tabs>
        <w:spacing w:before="120" w:after="12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Kupující je dále oprávněn od této </w:t>
      </w:r>
      <w:r>
        <w:rPr>
          <w:rFonts w:ascii="Calibri" w:eastAsia="Calibri" w:hAnsi="Calibri" w:cs="Calibri"/>
          <w:sz w:val="22"/>
          <w:szCs w:val="22"/>
        </w:rPr>
        <w:t>smlouvy odstoupit v těchto případech:</w:t>
      </w:r>
    </w:p>
    <w:p w14:paraId="7C4081C8" w14:textId="77777777" w:rsidR="00BF7C17" w:rsidRDefault="00D56192">
      <w:pPr>
        <w:numPr>
          <w:ilvl w:val="0"/>
          <w:numId w:val="18"/>
        </w:numPr>
        <w:spacing w:line="276" w:lineRule="auto"/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bylo-li příslušným soudem rozhodnuto o tom, že prodávající je v úpadku ve smyslu zákona č. 182/2006 Sb., o úpadku a způsobech jeho řešení (insolvenční zákon), ve znění pozdějších předpisů (a to bez ohledu na právní moc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tohoto rozhodnutí); </w:t>
      </w:r>
    </w:p>
    <w:p w14:paraId="51BFDBA1" w14:textId="77777777" w:rsidR="00BF7C17" w:rsidRDefault="00D56192">
      <w:pPr>
        <w:numPr>
          <w:ilvl w:val="0"/>
          <w:numId w:val="18"/>
        </w:numPr>
        <w:spacing w:line="276" w:lineRule="auto"/>
        <w:ind w:left="72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podá-li prodávající sám na sebe insolvenční návrh.</w:t>
      </w:r>
    </w:p>
    <w:p w14:paraId="485980A3" w14:textId="77777777" w:rsidR="00BF7C17" w:rsidRDefault="00D56192">
      <w:pPr>
        <w:numPr>
          <w:ilvl w:val="3"/>
          <w:numId w:val="2"/>
        </w:numPr>
        <w:tabs>
          <w:tab w:val="left" w:pos="0"/>
        </w:tabs>
        <w:spacing w:before="120" w:after="120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Odstoupením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od smlouvy není dotčeno právo oprávněné smluvní strany na zaplacení smluvní pokuty ani na náhradu škody vzniklé porušením smlouvy.</w:t>
      </w:r>
    </w:p>
    <w:p w14:paraId="2CA8BC31" w14:textId="594698E9" w:rsidR="00BF7C17" w:rsidRDefault="00D56192">
      <w:pPr>
        <w:numPr>
          <w:ilvl w:val="3"/>
          <w:numId w:val="2"/>
        </w:numPr>
        <w:tabs>
          <w:tab w:val="left" w:pos="0"/>
        </w:tabs>
        <w:spacing w:before="120" w:after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 účely této smlouvy se pod pojmem „be</w:t>
      </w:r>
      <w:r>
        <w:rPr>
          <w:rFonts w:ascii="Calibri" w:eastAsia="Calibri" w:hAnsi="Calibri" w:cs="Calibri"/>
          <w:sz w:val="22"/>
          <w:szCs w:val="22"/>
        </w:rPr>
        <w:t>z zbytečného odkladu“ rozumí „nejpozději do 14</w:t>
      </w:r>
      <w:r w:rsidR="008A678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dnů“.</w:t>
      </w:r>
    </w:p>
    <w:p w14:paraId="60486882" w14:textId="77777777" w:rsidR="00BF7C17" w:rsidRDefault="00BF7C17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4DE32B8" w14:textId="77777777" w:rsidR="00BF7C17" w:rsidRDefault="00D56192">
      <w:pPr>
        <w:keepNext/>
        <w:tabs>
          <w:tab w:val="left" w:pos="0"/>
          <w:tab w:val="left" w:pos="360"/>
        </w:tabs>
        <w:ind w:left="362" w:hanging="181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XII.</w:t>
      </w:r>
    </w:p>
    <w:p w14:paraId="6B4CA178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"/>
          <w:tab w:val="left" w:pos="0"/>
          <w:tab w:val="left" w:pos="360"/>
        </w:tabs>
        <w:spacing w:after="240"/>
        <w:ind w:left="362" w:hanging="181"/>
        <w:jc w:val="center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000000"/>
          <w:sz w:val="22"/>
          <w:szCs w:val="22"/>
        </w:rPr>
        <w:t>Závěrečná ustanovení</w:t>
      </w:r>
    </w:p>
    <w:p w14:paraId="75DB769F" w14:textId="77777777" w:rsidR="00BF7C17" w:rsidRDefault="00D56192">
      <w:pPr>
        <w:numPr>
          <w:ilvl w:val="0"/>
          <w:numId w:val="12"/>
        </w:num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nabývá platnosti dnem podpisu oběma smluvními stranami a účinnosti dnem, kdy vyjádření souhlasu s obsahem návrhu smlouvy dojde druhé smluvní straně.</w:t>
      </w:r>
    </w:p>
    <w:p w14:paraId="7F629FAE" w14:textId="77777777" w:rsidR="00BF7C17" w:rsidRDefault="00D56192">
      <w:pPr>
        <w:numPr>
          <w:ilvl w:val="0"/>
          <w:numId w:val="12"/>
        </w:num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Doplňování neb</w:t>
      </w:r>
      <w:r>
        <w:rPr>
          <w:rFonts w:ascii="Calibri" w:eastAsia="Calibri" w:hAnsi="Calibri" w:cs="Calibri"/>
          <w:sz w:val="22"/>
          <w:szCs w:val="22"/>
        </w:rPr>
        <w:t>o změnu této smlouvy lze provádět jen se souhlasem obou smluvních stran, a to pouze formou písemných, postupně číslovaných a takto označených dodatků.</w:t>
      </w:r>
    </w:p>
    <w:p w14:paraId="0594C209" w14:textId="77777777" w:rsidR="00BF7C17" w:rsidRDefault="00D56192">
      <w:pPr>
        <w:numPr>
          <w:ilvl w:val="0"/>
          <w:numId w:val="12"/>
        </w:num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prohlašují, že osoby podepisující tuto smlouvu jsou k tomuto právnímu jednání oprávněny.</w:t>
      </w:r>
    </w:p>
    <w:p w14:paraId="36E4956F" w14:textId="77777777" w:rsidR="00BF7C17" w:rsidRDefault="00D56192">
      <w:pPr>
        <w:numPr>
          <w:ilvl w:val="0"/>
          <w:numId w:val="12"/>
        </w:num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Smlouva je vyhotovena ve dvou stejnopisech s platností originálu, podepsaných oprávněnými zástupci smluvních stran, přičemž každá ze smluvních stran obdrží po jednom vyhotovení.</w:t>
      </w:r>
    </w:p>
    <w:p w14:paraId="7A4585B5" w14:textId="77777777" w:rsidR="00BF7C17" w:rsidRDefault="00D56192">
      <w:pPr>
        <w:numPr>
          <w:ilvl w:val="0"/>
          <w:numId w:val="12"/>
        </w:numPr>
        <w:tabs>
          <w:tab w:val="left" w:pos="426"/>
        </w:tabs>
        <w:spacing w:before="120"/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souhlasí s uveřejněním kupní smlouvy v Registru smluv, a to v plném</w:t>
      </w:r>
      <w:r>
        <w:rPr>
          <w:rFonts w:ascii="Calibri" w:eastAsia="Calibri" w:hAnsi="Calibri" w:cs="Calibri"/>
          <w:sz w:val="22"/>
          <w:szCs w:val="22"/>
        </w:rPr>
        <w:t xml:space="preserve"> znění.</w:t>
      </w:r>
    </w:p>
    <w:p w14:paraId="58276E68" w14:textId="77777777" w:rsidR="00BF7C17" w:rsidRDefault="00D56192">
      <w:pPr>
        <w:numPr>
          <w:ilvl w:val="0"/>
          <w:numId w:val="12"/>
        </w:numPr>
        <w:tabs>
          <w:tab w:val="left" w:pos="426"/>
        </w:tabs>
        <w:spacing w:before="120" w:after="60"/>
        <w:ind w:left="357" w:hanging="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Nedílnou součástí této smlouvy jsou následující přílohy:</w:t>
      </w:r>
    </w:p>
    <w:p w14:paraId="7BC37D25" w14:textId="77777777" w:rsidR="00BF7C17" w:rsidRDefault="00D56192">
      <w:pPr>
        <w:tabs>
          <w:tab w:val="left" w:pos="360"/>
        </w:tabs>
        <w:ind w:left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Příloha č. 1 Specifikace předmětu plnění</w:t>
      </w:r>
    </w:p>
    <w:p w14:paraId="15A4EDD4" w14:textId="77777777" w:rsidR="00BF7C17" w:rsidRDefault="00BF7C17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</w:p>
    <w:p w14:paraId="73449B61" w14:textId="77777777" w:rsidR="00BF7C17" w:rsidRDefault="00BF7C17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</w:p>
    <w:p w14:paraId="2A09CF60" w14:textId="77777777" w:rsidR="00BF7C17" w:rsidRDefault="00BF7C17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</w:p>
    <w:p w14:paraId="55656885" w14:textId="77777777" w:rsidR="00BF7C17" w:rsidRDefault="00BF7C17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</w:p>
    <w:p w14:paraId="2E679D92" w14:textId="7EA6853A" w:rsidR="00BF7C17" w:rsidRDefault="00D56192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……….……… dne………………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A678C">
        <w:rPr>
          <w:rFonts w:ascii="Calibri" w:eastAsia="Calibri" w:hAnsi="Calibri" w:cs="Calibri"/>
          <w:sz w:val="22"/>
          <w:szCs w:val="22"/>
        </w:rPr>
        <w:t>V ……….……… dne………………</w:t>
      </w:r>
      <w:r w:rsidR="008A678C">
        <w:rPr>
          <w:rFonts w:ascii="Calibri" w:eastAsia="Calibri" w:hAnsi="Calibri" w:cs="Calibri"/>
          <w:sz w:val="22"/>
          <w:szCs w:val="22"/>
        </w:rPr>
        <w:tab/>
      </w:r>
    </w:p>
    <w:p w14:paraId="5814A90D" w14:textId="77777777" w:rsidR="00BF7C17" w:rsidRDefault="00BF7C1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2BA64EB6" w14:textId="77777777" w:rsidR="00BF7C17" w:rsidRDefault="00BF7C17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</w:p>
    <w:p w14:paraId="262660AE" w14:textId="77777777" w:rsidR="00BF7C17" w:rsidRDefault="00BF7C17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</w:p>
    <w:p w14:paraId="2957AE68" w14:textId="77777777" w:rsidR="00BF7C17" w:rsidRDefault="00D56192">
      <w:pPr>
        <w:tabs>
          <w:tab w:val="left" w:pos="567"/>
          <w:tab w:val="left" w:pos="1701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                                       _______________________________</w:t>
      </w:r>
      <w:r>
        <w:rPr>
          <w:rFonts w:ascii="Calibri" w:eastAsia="Calibri" w:hAnsi="Calibri" w:cs="Calibri"/>
          <w:sz w:val="22"/>
          <w:szCs w:val="22"/>
        </w:rPr>
        <w:t>__</w:t>
      </w:r>
    </w:p>
    <w:p w14:paraId="23CA924A" w14:textId="77777777" w:rsidR="00BF7C17" w:rsidRDefault="00D56192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>za kupujícího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za prodávajícího</w:t>
      </w:r>
    </w:p>
    <w:p w14:paraId="15E141ED" w14:textId="5551FBAE" w:rsidR="00BF7C17" w:rsidRDefault="00D56192" w:rsidP="008A678C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</w:p>
    <w:p w14:paraId="7DAADB63" w14:textId="77777777" w:rsidR="00BF7C17" w:rsidRDefault="00BF7C17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rPr>
          <w:rFonts w:ascii="Calibri" w:eastAsia="Calibri" w:hAnsi="Calibri" w:cs="Calibri"/>
          <w:sz w:val="22"/>
          <w:szCs w:val="22"/>
        </w:rPr>
      </w:pPr>
    </w:p>
    <w:p w14:paraId="1EAF714F" w14:textId="77777777" w:rsidR="00BF7C17" w:rsidRDefault="00BF7C17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946"/>
        </w:tabs>
        <w:rPr>
          <w:rFonts w:ascii="Calibri" w:eastAsia="Calibri" w:hAnsi="Calibri" w:cs="Calibri"/>
          <w:sz w:val="22"/>
          <w:szCs w:val="22"/>
        </w:rPr>
      </w:pPr>
    </w:p>
    <w:p w14:paraId="4B9A9F6B" w14:textId="77777777" w:rsidR="00BF7C17" w:rsidRDefault="00D56192">
      <w:pPr>
        <w:rPr>
          <w:b/>
          <w:smallCaps/>
        </w:rPr>
      </w:pPr>
      <w:bookmarkStart w:id="1" w:name="_heading=h.a5vo1kg4rn13" w:colFirst="0" w:colLast="0"/>
      <w:bookmarkEnd w:id="1"/>
      <w:r>
        <w:br w:type="page"/>
      </w:r>
    </w:p>
    <w:p w14:paraId="05E29CCC" w14:textId="77777777" w:rsidR="00BF7C17" w:rsidRDefault="00D5619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567"/>
          <w:tab w:val="left" w:pos="360"/>
        </w:tabs>
        <w:spacing w:before="120"/>
        <w:jc w:val="both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lastRenderedPageBreak/>
        <w:t>Příloha č. 1 Specifikace předmětu plnění</w:t>
      </w:r>
    </w:p>
    <w:p w14:paraId="61A5F82D" w14:textId="77777777" w:rsidR="00BF7C17" w:rsidRDefault="00BF7C17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41AB3F3" w14:textId="7D075D4B" w:rsidR="00BF7C17" w:rsidRDefault="008A678C">
      <w:pPr>
        <w:tabs>
          <w:tab w:val="left" w:pos="360"/>
        </w:tabs>
        <w:jc w:val="both"/>
        <w:rPr>
          <w:color w:val="444444"/>
          <w:sz w:val="20"/>
          <w:szCs w:val="20"/>
        </w:rPr>
      </w:pPr>
      <w:r w:rsidRPr="008A678C">
        <w:rPr>
          <w:noProof/>
          <w:color w:val="444444"/>
          <w:sz w:val="20"/>
          <w:szCs w:val="20"/>
        </w:rPr>
        <w:drawing>
          <wp:inline distT="0" distB="0" distL="0" distR="0" wp14:anchorId="47D4B6DA" wp14:editId="350ADE85">
            <wp:extent cx="5759450" cy="5124450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3034E" w14:textId="59876CDC" w:rsidR="008A678C" w:rsidRDefault="008A678C">
      <w:pPr>
        <w:tabs>
          <w:tab w:val="left" w:pos="360"/>
        </w:tabs>
        <w:jc w:val="both"/>
        <w:rPr>
          <w:color w:val="444444"/>
          <w:sz w:val="20"/>
          <w:szCs w:val="20"/>
        </w:rPr>
      </w:pPr>
      <w:r w:rsidRPr="008A678C">
        <w:rPr>
          <w:noProof/>
          <w:color w:val="444444"/>
          <w:sz w:val="20"/>
          <w:szCs w:val="20"/>
        </w:rPr>
        <w:drawing>
          <wp:inline distT="0" distB="0" distL="0" distR="0" wp14:anchorId="3B682297" wp14:editId="753E4406">
            <wp:extent cx="5759450" cy="1319752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2046"/>
                    <a:stretch/>
                  </pic:blipFill>
                  <pic:spPr bwMode="auto">
                    <a:xfrm>
                      <a:off x="0" y="0"/>
                      <a:ext cx="5759450" cy="1319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678C">
      <w:footerReference w:type="even" r:id="rId10"/>
      <w:footerReference w:type="default" r:id="rId11"/>
      <w:headerReference w:type="first" r:id="rId12"/>
      <w:pgSz w:w="11906" w:h="16838"/>
      <w:pgMar w:top="1134" w:right="1418" w:bottom="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294BD" w14:textId="77777777" w:rsidR="00D56192" w:rsidRDefault="00D56192">
      <w:r>
        <w:separator/>
      </w:r>
    </w:p>
  </w:endnote>
  <w:endnote w:type="continuationSeparator" w:id="0">
    <w:p w14:paraId="0A97B2B5" w14:textId="77777777" w:rsidR="00D56192" w:rsidRDefault="00D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39A8E" w14:textId="77777777" w:rsidR="00BF7C17" w:rsidRDefault="00D561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73CF947" w14:textId="77777777" w:rsidR="00BF7C17" w:rsidRDefault="00BF7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4EA9E" w14:textId="038044EF" w:rsidR="00BF7C17" w:rsidRDefault="00D561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600F8">
      <w:rPr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14:paraId="71596DF6" w14:textId="77777777" w:rsidR="00BF7C17" w:rsidRDefault="00BF7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909E9" w14:textId="77777777" w:rsidR="00D56192" w:rsidRDefault="00D56192">
      <w:r>
        <w:separator/>
      </w:r>
    </w:p>
  </w:footnote>
  <w:footnote w:type="continuationSeparator" w:id="0">
    <w:p w14:paraId="1E958FBB" w14:textId="77777777" w:rsidR="00D56192" w:rsidRDefault="00D5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C6B8" w14:textId="77777777" w:rsidR="00BF7C17" w:rsidRDefault="00BF7C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670"/>
        <w:tab w:val="right" w:pos="9356"/>
      </w:tabs>
      <w:ind w:right="99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318"/>
    <w:multiLevelType w:val="multilevel"/>
    <w:tmpl w:val="6CE88E9C"/>
    <w:lvl w:ilvl="0">
      <w:start w:val="1"/>
      <w:numFmt w:val="decimal"/>
      <w:lvlText w:val="%1."/>
      <w:lvlJc w:val="left"/>
      <w:pPr>
        <w:ind w:left="720" w:hanging="380"/>
      </w:pPr>
      <w:rPr>
        <w:b w:val="0"/>
        <w:i w:val="0"/>
      </w:rPr>
    </w:lvl>
    <w:lvl w:ilvl="1">
      <w:start w:val="4"/>
      <w:numFmt w:val="bullet"/>
      <w:lvlText w:val="●"/>
      <w:lvlJc w:val="left"/>
      <w:pPr>
        <w:ind w:left="1477" w:hanging="397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5839"/>
    <w:multiLevelType w:val="multilevel"/>
    <w:tmpl w:val="724AFD02"/>
    <w:lvl w:ilvl="0">
      <w:start w:val="1"/>
      <w:numFmt w:val="lowerLetter"/>
      <w:lvlText w:val="%1)"/>
      <w:lvlJc w:val="left"/>
      <w:pPr>
        <w:ind w:left="1545" w:hanging="465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3CF5"/>
    <w:multiLevelType w:val="multilevel"/>
    <w:tmpl w:val="697AE0D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0B65"/>
    <w:multiLevelType w:val="multilevel"/>
    <w:tmpl w:val="943C38BA"/>
    <w:lvl w:ilvl="0">
      <w:start w:val="1"/>
      <w:numFmt w:val="lowerLetter"/>
      <w:lvlText w:val="%1)"/>
      <w:lvlJc w:val="left"/>
      <w:pPr>
        <w:ind w:left="437" w:hanging="153"/>
      </w:pPr>
    </w:lvl>
    <w:lvl w:ilvl="1">
      <w:start w:val="1"/>
      <w:numFmt w:val="bullet"/>
      <w:lvlText w:val="-"/>
      <w:lvlJc w:val="left"/>
      <w:pPr>
        <w:ind w:left="1421" w:hanging="341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CA2523"/>
    <w:multiLevelType w:val="multilevel"/>
    <w:tmpl w:val="B5D667F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19D2"/>
    <w:multiLevelType w:val="multilevel"/>
    <w:tmpl w:val="79042BC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FB13A92"/>
    <w:multiLevelType w:val="multilevel"/>
    <w:tmpl w:val="7FD6957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color w:val="444444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9674DC"/>
    <w:multiLevelType w:val="hybridMultilevel"/>
    <w:tmpl w:val="D312D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31B85"/>
    <w:multiLevelType w:val="multilevel"/>
    <w:tmpl w:val="CC50B494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D6E3BD8"/>
    <w:multiLevelType w:val="multilevel"/>
    <w:tmpl w:val="341ED1CE"/>
    <w:lvl w:ilvl="0">
      <w:start w:val="1"/>
      <w:numFmt w:val="decimal"/>
      <w:lvlText w:val="%1."/>
      <w:lvlJc w:val="left"/>
      <w:pPr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E1629"/>
    <w:multiLevelType w:val="multilevel"/>
    <w:tmpl w:val="AB22C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73C690A"/>
    <w:multiLevelType w:val="multilevel"/>
    <w:tmpl w:val="0898FA3A"/>
    <w:lvl w:ilvl="0">
      <w:start w:val="4"/>
      <w:numFmt w:val="bullet"/>
      <w:lvlText w:val="●"/>
      <w:lvlJc w:val="left"/>
      <w:pPr>
        <w:ind w:left="1312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255E4D"/>
    <w:multiLevelType w:val="multilevel"/>
    <w:tmpl w:val="172AE43A"/>
    <w:lvl w:ilvl="0">
      <w:start w:val="2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14181"/>
    <w:multiLevelType w:val="multilevel"/>
    <w:tmpl w:val="416AE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E4ABE"/>
    <w:multiLevelType w:val="multilevel"/>
    <w:tmpl w:val="4B2AE7CA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55CA3"/>
    <w:multiLevelType w:val="multilevel"/>
    <w:tmpl w:val="4A52ADE6"/>
    <w:lvl w:ilvl="0">
      <w:start w:val="1"/>
      <w:numFmt w:val="lowerLetter"/>
      <w:lvlText w:val="%1)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55BE9"/>
    <w:multiLevelType w:val="multilevel"/>
    <w:tmpl w:val="8534974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70DBB"/>
    <w:multiLevelType w:val="multilevel"/>
    <w:tmpl w:val="E3306AB6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E22DC"/>
    <w:multiLevelType w:val="multilevel"/>
    <w:tmpl w:val="FF48F5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4"/>
  </w:num>
  <w:num w:numId="5">
    <w:abstractNumId w:val="5"/>
  </w:num>
  <w:num w:numId="6">
    <w:abstractNumId w:val="17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16"/>
  </w:num>
  <w:num w:numId="12">
    <w:abstractNumId w:val="10"/>
  </w:num>
  <w:num w:numId="13">
    <w:abstractNumId w:val="12"/>
  </w:num>
  <w:num w:numId="14">
    <w:abstractNumId w:val="18"/>
  </w:num>
  <w:num w:numId="15">
    <w:abstractNumId w:val="9"/>
  </w:num>
  <w:num w:numId="16">
    <w:abstractNumId w:val="4"/>
  </w:num>
  <w:num w:numId="17">
    <w:abstractNumId w:val="1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17"/>
    <w:rsid w:val="00042C01"/>
    <w:rsid w:val="001600F8"/>
    <w:rsid w:val="001739B6"/>
    <w:rsid w:val="0038407C"/>
    <w:rsid w:val="004C48AA"/>
    <w:rsid w:val="006B1B13"/>
    <w:rsid w:val="006C1F6E"/>
    <w:rsid w:val="008A678C"/>
    <w:rsid w:val="009840B7"/>
    <w:rsid w:val="00A60B4A"/>
    <w:rsid w:val="00BF7C17"/>
    <w:rsid w:val="00D5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75B7"/>
  <w15:docId w15:val="{2901F3EE-AF80-E141-B565-276A8474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B03"/>
  </w:style>
  <w:style w:type="paragraph" w:styleId="Nadpis1">
    <w:name w:val="heading 1"/>
    <w:basedOn w:val="Normln"/>
    <w:next w:val="Normln"/>
    <w:link w:val="Nadpis1Char"/>
    <w:uiPriority w:val="9"/>
    <w:qFormat/>
    <w:rsid w:val="00474B03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4B03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4B03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4B03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474B03"/>
    <w:pPr>
      <w:jc w:val="center"/>
    </w:pPr>
    <w:rPr>
      <w:b/>
      <w:bCs/>
      <w:caps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74B03"/>
    <w:pPr>
      <w:widowControl w:val="0"/>
      <w:tabs>
        <w:tab w:val="left" w:pos="1418"/>
      </w:tabs>
      <w:autoSpaceDE w:val="0"/>
      <w:autoSpaceDN w:val="0"/>
      <w:spacing w:before="120"/>
      <w:jc w:val="both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74B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474B03"/>
    <w:pPr>
      <w:jc w:val="both"/>
    </w:pPr>
    <w:rPr>
      <w:b/>
      <w:bCs/>
      <w:caps/>
    </w:rPr>
  </w:style>
  <w:style w:type="character" w:customStyle="1" w:styleId="Zkladntext2Char">
    <w:name w:val="Základní text 2 Char"/>
    <w:basedOn w:val="Standardnpsmoodstavce"/>
    <w:link w:val="Zkladntext2"/>
    <w:rsid w:val="00474B03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474B03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474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74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4B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74B03"/>
  </w:style>
  <w:style w:type="paragraph" w:customStyle="1" w:styleId="Import5">
    <w:name w:val="Import 5"/>
    <w:basedOn w:val="Normln"/>
    <w:rsid w:val="00474B0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474B0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474B03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474B03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474B03"/>
    <w:pPr>
      <w:widowControl w:val="0"/>
      <w:autoSpaceDE w:val="0"/>
      <w:autoSpaceDN w:val="0"/>
      <w:adjustRightInd w:val="0"/>
    </w:pPr>
  </w:style>
  <w:style w:type="character" w:customStyle="1" w:styleId="NzevChar">
    <w:name w:val="Název Char"/>
    <w:basedOn w:val="Standardnpsmoodstavce"/>
    <w:link w:val="Nzev"/>
    <w:rsid w:val="00474B03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474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B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474B03"/>
    <w:pPr>
      <w:keepNext/>
      <w:spacing w:before="24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474B03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ouva-slo">
    <w:name w:val="Smlouva-číslo"/>
    <w:basedOn w:val="Normln"/>
    <w:rsid w:val="00474B0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Automatickopravy">
    <w:name w:val="Automatické opravy"/>
    <w:uiPriority w:val="99"/>
    <w:rsid w:val="00474B03"/>
    <w:pPr>
      <w:suppressAutoHyphens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474B03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A674D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76545"/>
    <w:pPr>
      <w:spacing w:before="100" w:beforeAutospacing="1" w:after="100" w:afterAutospacing="1"/>
    </w:p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/lDUCQ+VDmhIK9nTRjT0OSWRlQ==">AMUW2mX02FcEDJ4buXne/tZfyuaI6D/ruBBYkTjgPJ0liw7o4+lEs/uvbuQb6OIaC3Wl3/UVzZvjPZgjeg0IjnvYA3DweAI6fSoCPV6cNDPqAzsU12cg7yJLO8l5OeRUA4k5W2I/BT02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Vágner</dc:creator>
  <cp:lastModifiedBy>Jan Korda</cp:lastModifiedBy>
  <cp:revision>2</cp:revision>
  <dcterms:created xsi:type="dcterms:W3CDTF">2022-12-19T16:12:00Z</dcterms:created>
  <dcterms:modified xsi:type="dcterms:W3CDTF">2022-12-19T16:12:00Z</dcterms:modified>
</cp:coreProperties>
</file>