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5B" w:rsidRPr="00D84308" w:rsidRDefault="008F535B" w:rsidP="008F535B">
      <w:pPr>
        <w:pStyle w:val="Nadpis2"/>
        <w:jc w:val="center"/>
        <w:rPr>
          <w:i w:val="0"/>
          <w:sz w:val="20"/>
          <w:szCs w:val="20"/>
        </w:rPr>
      </w:pPr>
      <w:r w:rsidRPr="00D84308">
        <w:rPr>
          <w:i w:val="0"/>
          <w:sz w:val="20"/>
          <w:szCs w:val="20"/>
        </w:rPr>
        <w:t>DODATEK Č. 1</w:t>
      </w:r>
    </w:p>
    <w:p w:rsidR="008F535B" w:rsidRPr="00D84308" w:rsidRDefault="008F535B" w:rsidP="008F535B">
      <w:pPr>
        <w:pStyle w:val="Nadpis2"/>
        <w:jc w:val="center"/>
        <w:rPr>
          <w:i w:val="0"/>
          <w:sz w:val="20"/>
          <w:szCs w:val="20"/>
        </w:rPr>
      </w:pPr>
      <w:r w:rsidRPr="00D84308">
        <w:rPr>
          <w:i w:val="0"/>
          <w:sz w:val="20"/>
          <w:szCs w:val="20"/>
        </w:rPr>
        <w:t xml:space="preserve">K VEŘEJNOPRÁVNÍ SMLOUVĚ O POSKYTNUTÍ </w:t>
      </w:r>
      <w:r w:rsidR="00002D35">
        <w:rPr>
          <w:i w:val="0"/>
          <w:sz w:val="20"/>
          <w:szCs w:val="20"/>
        </w:rPr>
        <w:t>NÁVRATNÉ FINANČNÍ VÝPOMOCI Z ROZPOČTU MĚSTA KUTNÁ HORA</w:t>
      </w:r>
      <w:r w:rsidRPr="00D84308">
        <w:rPr>
          <w:i w:val="0"/>
          <w:sz w:val="20"/>
          <w:szCs w:val="20"/>
        </w:rPr>
        <w:t xml:space="preserve"> č.</w:t>
      </w:r>
      <w:r w:rsidR="00CE58F3">
        <w:rPr>
          <w:i w:val="0"/>
          <w:sz w:val="20"/>
          <w:szCs w:val="20"/>
        </w:rPr>
        <w:t xml:space="preserve"> </w:t>
      </w:r>
      <w:r w:rsidR="00453706">
        <w:rPr>
          <w:i w:val="0"/>
          <w:sz w:val="20"/>
          <w:szCs w:val="20"/>
        </w:rPr>
        <w:t>022021</w:t>
      </w:r>
    </w:p>
    <w:p w:rsidR="008F535B" w:rsidRDefault="008F535B" w:rsidP="008F535B"/>
    <w:p w:rsidR="008F535B" w:rsidRDefault="008F535B" w:rsidP="008F53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8F535B" w:rsidRPr="008F535B" w:rsidRDefault="008F535B" w:rsidP="008F535B"/>
    <w:p w:rsidR="008F535B" w:rsidRPr="008F535B" w:rsidRDefault="004D0019" w:rsidP="008F535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Město Kutná Hora</w:t>
      </w:r>
      <w:r w:rsidR="008F535B" w:rsidRPr="008F535B">
        <w:rPr>
          <w:rFonts w:ascii="Tahoma" w:hAnsi="Tahoma" w:cs="Tahoma"/>
          <w:b/>
          <w:bCs/>
          <w:sz w:val="18"/>
          <w:szCs w:val="18"/>
        </w:rPr>
        <w:tab/>
      </w:r>
      <w:r w:rsidR="008F535B" w:rsidRPr="008F535B">
        <w:rPr>
          <w:rFonts w:ascii="Tahoma" w:hAnsi="Tahoma" w:cs="Tahoma"/>
          <w:sz w:val="18"/>
          <w:szCs w:val="18"/>
        </w:rPr>
        <w:t xml:space="preserve">zastoupené starostou </w:t>
      </w:r>
      <w:r w:rsidR="00002D35">
        <w:rPr>
          <w:rFonts w:ascii="Tahoma" w:hAnsi="Tahoma" w:cs="Tahoma"/>
          <w:sz w:val="18"/>
          <w:szCs w:val="18"/>
        </w:rPr>
        <w:t>Mgr. Lukáš</w:t>
      </w:r>
      <w:r w:rsidR="004A119D">
        <w:rPr>
          <w:rFonts w:ascii="Tahoma" w:hAnsi="Tahoma" w:cs="Tahoma"/>
          <w:sz w:val="18"/>
          <w:szCs w:val="18"/>
        </w:rPr>
        <w:t xml:space="preserve">em </w:t>
      </w:r>
      <w:r w:rsidR="00002D35">
        <w:rPr>
          <w:rFonts w:ascii="Tahoma" w:hAnsi="Tahoma" w:cs="Tahoma"/>
          <w:sz w:val="18"/>
          <w:szCs w:val="18"/>
        </w:rPr>
        <w:t>Seifert</w:t>
      </w:r>
      <w:r w:rsidR="004A119D">
        <w:rPr>
          <w:rFonts w:ascii="Tahoma" w:hAnsi="Tahoma" w:cs="Tahoma"/>
          <w:sz w:val="18"/>
          <w:szCs w:val="18"/>
        </w:rPr>
        <w:t>em</w:t>
      </w:r>
    </w:p>
    <w:p w:rsidR="008F535B" w:rsidRPr="008F535B" w:rsidRDefault="008F535B" w:rsidP="008F535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F535B">
        <w:rPr>
          <w:rFonts w:ascii="Tahoma" w:hAnsi="Tahoma" w:cs="Tahoma"/>
          <w:sz w:val="18"/>
          <w:szCs w:val="18"/>
        </w:rPr>
        <w:tab/>
        <w:t>sídlem Havlíčkovo náměstí 552/1, 284 01 Kutná Hora</w:t>
      </w:r>
    </w:p>
    <w:p w:rsidR="008F535B" w:rsidRPr="008F535B" w:rsidRDefault="008F535B" w:rsidP="008F535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F535B">
        <w:rPr>
          <w:rFonts w:ascii="Tahoma" w:hAnsi="Tahoma" w:cs="Tahoma"/>
          <w:sz w:val="18"/>
          <w:szCs w:val="18"/>
        </w:rPr>
        <w:tab/>
        <w:t>IČO: 00236195, DIČ: CZ00236195</w:t>
      </w:r>
    </w:p>
    <w:p w:rsidR="008F535B" w:rsidRPr="008F535B" w:rsidRDefault="008F535B" w:rsidP="008F535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F535B">
        <w:rPr>
          <w:rFonts w:ascii="Tahoma" w:hAnsi="Tahoma" w:cs="Tahoma"/>
          <w:sz w:val="18"/>
          <w:szCs w:val="18"/>
        </w:rPr>
        <w:t xml:space="preserve">dále jen </w:t>
      </w:r>
      <w:r w:rsidRPr="008F535B">
        <w:rPr>
          <w:rFonts w:ascii="Tahoma" w:hAnsi="Tahoma" w:cs="Tahoma"/>
          <w:i/>
          <w:color w:val="000000"/>
          <w:sz w:val="18"/>
          <w:szCs w:val="18"/>
        </w:rPr>
        <w:t>m ě s t o</w:t>
      </w:r>
      <w:r w:rsidRPr="008F535B">
        <w:rPr>
          <w:rFonts w:ascii="Tahoma" w:hAnsi="Tahoma" w:cs="Tahoma"/>
          <w:sz w:val="18"/>
          <w:szCs w:val="18"/>
        </w:rPr>
        <w:t xml:space="preserve">  </w:t>
      </w:r>
      <w:proofErr w:type="gramStart"/>
      <w:r w:rsidRPr="008F535B">
        <w:rPr>
          <w:rFonts w:ascii="Tahoma" w:hAnsi="Tahoma" w:cs="Tahoma"/>
          <w:sz w:val="18"/>
          <w:szCs w:val="18"/>
        </w:rPr>
        <w:t xml:space="preserve">nebo  </w:t>
      </w:r>
      <w:r w:rsidRPr="008F535B">
        <w:rPr>
          <w:rFonts w:ascii="Tahoma" w:hAnsi="Tahoma" w:cs="Tahoma"/>
          <w:i/>
          <w:iCs/>
          <w:sz w:val="18"/>
          <w:szCs w:val="18"/>
        </w:rPr>
        <w:t>p o s k y t o v a t e l</w:t>
      </w:r>
      <w:proofErr w:type="gramEnd"/>
    </w:p>
    <w:p w:rsidR="008F535B" w:rsidRPr="008F535B" w:rsidRDefault="008F535B" w:rsidP="008F535B">
      <w:pPr>
        <w:autoSpaceDE w:val="0"/>
        <w:autoSpaceDN w:val="0"/>
        <w:adjustRightInd w:val="0"/>
        <w:ind w:left="3249" w:firstLine="720"/>
        <w:rPr>
          <w:rFonts w:ascii="Tahoma" w:hAnsi="Tahoma" w:cs="Tahoma"/>
          <w:sz w:val="18"/>
          <w:szCs w:val="18"/>
        </w:rPr>
      </w:pPr>
      <w:r w:rsidRPr="008F535B">
        <w:rPr>
          <w:rFonts w:ascii="Tahoma" w:hAnsi="Tahoma" w:cs="Tahoma"/>
          <w:sz w:val="18"/>
          <w:szCs w:val="18"/>
        </w:rPr>
        <w:t>a</w:t>
      </w:r>
    </w:p>
    <w:p w:rsidR="008F535B" w:rsidRPr="008F535B" w:rsidRDefault="008F535B" w:rsidP="008F535B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8F535B" w:rsidRPr="008F535B" w:rsidRDefault="00002D35" w:rsidP="008F535B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Sparta Kutná </w:t>
      </w:r>
      <w:proofErr w:type="gramStart"/>
      <w:r>
        <w:rPr>
          <w:rFonts w:ascii="Tahoma" w:hAnsi="Tahoma" w:cs="Tahoma"/>
          <w:b/>
          <w:bCs/>
          <w:sz w:val="18"/>
        </w:rPr>
        <w:t>Hora, z.s.</w:t>
      </w:r>
      <w:proofErr w:type="gramEnd"/>
      <w:r>
        <w:rPr>
          <w:rFonts w:ascii="Tahoma" w:hAnsi="Tahoma" w:cs="Tahoma"/>
          <w:b/>
          <w:bCs/>
          <w:sz w:val="18"/>
        </w:rPr>
        <w:tab/>
      </w:r>
      <w:r w:rsidR="008F535B" w:rsidRPr="008F535B">
        <w:rPr>
          <w:rFonts w:ascii="Tahoma" w:hAnsi="Tahoma" w:cs="Tahoma"/>
          <w:b/>
          <w:bCs/>
          <w:sz w:val="18"/>
        </w:rPr>
        <w:tab/>
      </w:r>
      <w:r w:rsidR="008F535B" w:rsidRPr="008F535B">
        <w:rPr>
          <w:rFonts w:ascii="Tahoma" w:hAnsi="Tahoma" w:cs="Tahoma"/>
          <w:b/>
          <w:bCs/>
          <w:sz w:val="18"/>
        </w:rPr>
        <w:tab/>
        <w:t xml:space="preserve">      </w:t>
      </w:r>
      <w:r w:rsidR="008F535B" w:rsidRPr="008F535B">
        <w:rPr>
          <w:rFonts w:ascii="Tahoma" w:hAnsi="Tahoma"/>
          <w:sz w:val="18"/>
        </w:rPr>
        <w:t xml:space="preserve">zastoupená </w:t>
      </w:r>
      <w:r>
        <w:rPr>
          <w:rFonts w:ascii="Tahoma" w:hAnsi="Tahoma"/>
          <w:sz w:val="18"/>
        </w:rPr>
        <w:t xml:space="preserve">panem místopředsedou </w:t>
      </w:r>
      <w:proofErr w:type="spellStart"/>
      <w:r w:rsidR="00C55015">
        <w:rPr>
          <w:rFonts w:ascii="Tahoma" w:hAnsi="Tahoma"/>
          <w:sz w:val="18"/>
        </w:rPr>
        <w:t>xxxxxxxxxxx</w:t>
      </w:r>
      <w:proofErr w:type="spellEnd"/>
    </w:p>
    <w:p w:rsidR="008F535B" w:rsidRPr="008F535B" w:rsidRDefault="008F535B" w:rsidP="008F535B">
      <w:pPr>
        <w:autoSpaceDE w:val="0"/>
        <w:autoSpaceDN w:val="0"/>
        <w:adjustRightInd w:val="0"/>
        <w:ind w:left="3540"/>
        <w:rPr>
          <w:rFonts w:ascii="Tahoma" w:hAnsi="Tahoma" w:cs="Tahoma"/>
          <w:sz w:val="18"/>
        </w:rPr>
      </w:pPr>
      <w:r w:rsidRPr="008F535B">
        <w:rPr>
          <w:rFonts w:ascii="Tahoma" w:hAnsi="Tahoma"/>
          <w:sz w:val="18"/>
        </w:rPr>
        <w:t xml:space="preserve">      </w:t>
      </w:r>
      <w:r w:rsidR="00261404">
        <w:rPr>
          <w:rFonts w:ascii="Tahoma" w:hAnsi="Tahoma"/>
          <w:sz w:val="18"/>
        </w:rPr>
        <w:t xml:space="preserve">Sídlem U </w:t>
      </w:r>
      <w:proofErr w:type="spellStart"/>
      <w:r w:rsidR="00261404">
        <w:rPr>
          <w:rFonts w:ascii="Tahoma" w:hAnsi="Tahoma"/>
          <w:sz w:val="18"/>
        </w:rPr>
        <w:t>Lorce</w:t>
      </w:r>
      <w:proofErr w:type="spellEnd"/>
      <w:r w:rsidR="00261404">
        <w:rPr>
          <w:rFonts w:ascii="Tahoma" w:hAnsi="Tahoma"/>
          <w:sz w:val="18"/>
        </w:rPr>
        <w:t xml:space="preserve"> 57</w:t>
      </w:r>
      <w:r w:rsidRPr="008F535B">
        <w:rPr>
          <w:rFonts w:ascii="Tahoma" w:hAnsi="Tahoma"/>
          <w:sz w:val="18"/>
        </w:rPr>
        <w:t xml:space="preserve">, 284 01 Kutná Hora </w:t>
      </w:r>
    </w:p>
    <w:p w:rsidR="008F535B" w:rsidRPr="008F535B" w:rsidRDefault="008F535B" w:rsidP="008F535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 w:rsidRPr="008F535B">
        <w:rPr>
          <w:rFonts w:ascii="Tahoma" w:hAnsi="Tahoma" w:cs="Tahoma"/>
          <w:sz w:val="18"/>
        </w:rPr>
        <w:t xml:space="preserve">                                                                     </w:t>
      </w:r>
      <w:r w:rsidR="00BE40FA">
        <w:rPr>
          <w:rFonts w:ascii="Tahoma" w:hAnsi="Tahoma" w:cs="Tahoma"/>
          <w:sz w:val="18"/>
        </w:rPr>
        <w:t>IČO:  7082</w:t>
      </w:r>
      <w:r w:rsidR="00261404">
        <w:rPr>
          <w:rFonts w:ascii="Tahoma" w:hAnsi="Tahoma" w:cs="Tahoma"/>
          <w:sz w:val="18"/>
        </w:rPr>
        <w:t>7427</w:t>
      </w:r>
      <w:r w:rsidRPr="008F535B">
        <w:rPr>
          <w:rFonts w:ascii="Tahoma" w:hAnsi="Tahoma" w:cs="Tahoma"/>
          <w:sz w:val="18"/>
        </w:rPr>
        <w:tab/>
      </w:r>
    </w:p>
    <w:p w:rsidR="008F535B" w:rsidRPr="008F535B" w:rsidRDefault="008F535B" w:rsidP="008F535B">
      <w:pPr>
        <w:rPr>
          <w:rFonts w:ascii="Tahoma" w:hAnsi="Tahoma" w:cs="Tahoma"/>
          <w:sz w:val="18"/>
          <w:szCs w:val="18"/>
        </w:rPr>
      </w:pPr>
      <w:r w:rsidRPr="008F535B">
        <w:rPr>
          <w:rFonts w:ascii="Tahoma" w:hAnsi="Tahoma" w:cs="Tahoma"/>
          <w:sz w:val="18"/>
        </w:rPr>
        <w:tab/>
      </w:r>
      <w:r w:rsidRPr="008F535B">
        <w:rPr>
          <w:rFonts w:ascii="Tahoma" w:hAnsi="Tahoma" w:cs="Tahoma"/>
          <w:sz w:val="18"/>
        </w:rPr>
        <w:tab/>
      </w:r>
      <w:r w:rsidRPr="008F535B">
        <w:rPr>
          <w:rFonts w:ascii="Tahoma" w:hAnsi="Tahoma" w:cs="Tahoma"/>
          <w:sz w:val="18"/>
        </w:rPr>
        <w:tab/>
      </w:r>
      <w:r w:rsidRPr="008F535B">
        <w:rPr>
          <w:rFonts w:ascii="Tahoma" w:hAnsi="Tahoma" w:cs="Tahoma"/>
          <w:sz w:val="18"/>
        </w:rPr>
        <w:tab/>
      </w:r>
      <w:r w:rsidRPr="008F535B">
        <w:rPr>
          <w:rFonts w:ascii="Tahoma" w:hAnsi="Tahoma" w:cs="Tahoma"/>
          <w:sz w:val="18"/>
        </w:rPr>
        <w:tab/>
        <w:t xml:space="preserve">      </w:t>
      </w:r>
      <w:r w:rsidRPr="008F535B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8F535B">
        <w:rPr>
          <w:rFonts w:ascii="Tahoma" w:hAnsi="Tahoma" w:cs="Tahoma"/>
          <w:sz w:val="18"/>
          <w:szCs w:val="18"/>
        </w:rPr>
        <w:t>spojení</w:t>
      </w:r>
      <w:proofErr w:type="gramEnd"/>
      <w:r w:rsidRPr="008F535B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C55015">
        <w:rPr>
          <w:rFonts w:ascii="Arial" w:hAnsi="Arial" w:cs="Arial"/>
          <w:sz w:val="20"/>
          <w:szCs w:val="20"/>
        </w:rPr>
        <w:t>xxxxxxxxxxxxxx</w:t>
      </w:r>
      <w:proofErr w:type="spellEnd"/>
    </w:p>
    <w:p w:rsidR="008F535B" w:rsidRPr="008F535B" w:rsidRDefault="008F535B" w:rsidP="008F535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F535B" w:rsidRPr="008F535B" w:rsidRDefault="008F535B" w:rsidP="008F535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8F535B" w:rsidRPr="008F535B" w:rsidRDefault="008F535B" w:rsidP="008F535B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 w:rsidRPr="008F535B">
        <w:rPr>
          <w:rFonts w:ascii="Tahoma" w:hAnsi="Tahoma" w:cs="Tahoma"/>
          <w:sz w:val="18"/>
        </w:rPr>
        <w:t>dále jen</w:t>
      </w:r>
      <w:r w:rsidRPr="008F535B">
        <w:rPr>
          <w:rFonts w:ascii="Tahoma" w:hAnsi="Tahoma" w:cs="Tahoma"/>
          <w:i/>
          <w:iCs/>
          <w:sz w:val="18"/>
        </w:rPr>
        <w:t xml:space="preserve"> p ř í j e m c e </w:t>
      </w:r>
    </w:p>
    <w:p w:rsidR="008F535B" w:rsidRPr="008F535B" w:rsidRDefault="008F535B" w:rsidP="008F535B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8F535B" w:rsidRDefault="008F535B" w:rsidP="008F535B">
      <w:pPr>
        <w:jc w:val="both"/>
        <w:rPr>
          <w:rFonts w:ascii="Tahoma" w:hAnsi="Tahoma" w:cs="Tahoma"/>
          <w:b/>
          <w:sz w:val="20"/>
        </w:rPr>
      </w:pPr>
      <w:r w:rsidRPr="008F535B">
        <w:rPr>
          <w:rFonts w:ascii="Tahoma" w:hAnsi="Tahoma" w:cs="Tahoma"/>
          <w:b/>
          <w:sz w:val="20"/>
        </w:rPr>
        <w:t>uzavírají podle § 1</w:t>
      </w:r>
      <w:r w:rsidR="00552BCC">
        <w:rPr>
          <w:rFonts w:ascii="Tahoma" w:hAnsi="Tahoma" w:cs="Tahoma"/>
          <w:b/>
          <w:sz w:val="20"/>
        </w:rPr>
        <w:t xml:space="preserve">59 a </w:t>
      </w:r>
      <w:r w:rsidR="00552BCC" w:rsidRPr="00982839">
        <w:rPr>
          <w:rFonts w:ascii="Tahoma" w:hAnsi="Tahoma" w:cs="Tahoma"/>
          <w:b/>
          <w:sz w:val="20"/>
        </w:rPr>
        <w:t>násl</w:t>
      </w:r>
      <w:r w:rsidR="00552BCC">
        <w:rPr>
          <w:rFonts w:ascii="Tahoma" w:hAnsi="Tahoma" w:cs="Tahoma"/>
          <w:b/>
          <w:sz w:val="20"/>
        </w:rPr>
        <w:t xml:space="preserve">. </w:t>
      </w:r>
      <w:r w:rsidR="004224A2">
        <w:rPr>
          <w:rFonts w:ascii="Tahoma" w:hAnsi="Tahoma" w:cs="Tahoma"/>
          <w:b/>
          <w:sz w:val="20"/>
        </w:rPr>
        <w:t xml:space="preserve"> zákona č. 500/2004 Sb., správní řád, ve znění pozdějších předpisů a </w:t>
      </w:r>
      <w:r w:rsidRPr="008F535B">
        <w:rPr>
          <w:rFonts w:ascii="Tahoma" w:hAnsi="Tahoma" w:cs="Tahoma"/>
          <w:b/>
          <w:sz w:val="20"/>
        </w:rPr>
        <w:t xml:space="preserve"> </w:t>
      </w:r>
      <w:r w:rsidR="004224A2" w:rsidRPr="008F535B">
        <w:rPr>
          <w:rFonts w:ascii="Tahoma" w:hAnsi="Tahoma" w:cs="Tahoma"/>
          <w:b/>
          <w:sz w:val="20"/>
        </w:rPr>
        <w:t>§</w:t>
      </w:r>
      <w:r w:rsidR="004224A2">
        <w:rPr>
          <w:rFonts w:ascii="Tahoma" w:hAnsi="Tahoma" w:cs="Tahoma"/>
          <w:b/>
          <w:sz w:val="20"/>
        </w:rPr>
        <w:t xml:space="preserve"> 10a </w:t>
      </w:r>
      <w:r w:rsidRPr="008F535B">
        <w:rPr>
          <w:rFonts w:ascii="Tahoma" w:hAnsi="Tahoma" w:cs="Tahoma"/>
          <w:b/>
          <w:sz w:val="20"/>
        </w:rPr>
        <w:t>zákona č.  250/2000 Sb., o rozpočtovýc</w:t>
      </w:r>
      <w:r w:rsidR="004224A2">
        <w:rPr>
          <w:rFonts w:ascii="Tahoma" w:hAnsi="Tahoma" w:cs="Tahoma"/>
          <w:b/>
          <w:sz w:val="20"/>
        </w:rPr>
        <w:t>h pravidlech územních rozpočtů, tento</w:t>
      </w:r>
    </w:p>
    <w:p w:rsidR="008F535B" w:rsidRDefault="008F535B" w:rsidP="008F535B">
      <w:pPr>
        <w:jc w:val="both"/>
        <w:rPr>
          <w:rFonts w:ascii="Tahoma" w:hAnsi="Tahoma" w:cs="Tahoma"/>
          <w:b/>
          <w:sz w:val="20"/>
        </w:rPr>
      </w:pPr>
    </w:p>
    <w:p w:rsidR="008F535B" w:rsidRDefault="008F535B" w:rsidP="008F535B">
      <w:pPr>
        <w:jc w:val="both"/>
        <w:rPr>
          <w:rFonts w:ascii="Tahoma" w:hAnsi="Tahoma" w:cs="Tahoma"/>
          <w:b/>
          <w:sz w:val="20"/>
        </w:rPr>
      </w:pPr>
    </w:p>
    <w:p w:rsidR="008F535B" w:rsidRPr="008F535B" w:rsidRDefault="008F535B" w:rsidP="008F535B">
      <w:pPr>
        <w:pStyle w:val="Nadpis2"/>
        <w:jc w:val="center"/>
        <w:rPr>
          <w:rFonts w:ascii="Tahoma" w:hAnsi="Tahoma" w:cs="Tahoma"/>
          <w:i w:val="0"/>
          <w:sz w:val="20"/>
        </w:rPr>
      </w:pPr>
      <w:r w:rsidRPr="008F535B">
        <w:rPr>
          <w:rFonts w:ascii="Tahoma" w:hAnsi="Tahoma" w:cs="Tahoma"/>
          <w:i w:val="0"/>
          <w:sz w:val="20"/>
        </w:rPr>
        <w:t>D O D A T E K </w:t>
      </w:r>
      <w:proofErr w:type="gramStart"/>
      <w:r w:rsidRPr="008F535B">
        <w:rPr>
          <w:rFonts w:ascii="Tahoma" w:hAnsi="Tahoma" w:cs="Tahoma"/>
          <w:i w:val="0"/>
          <w:sz w:val="20"/>
        </w:rPr>
        <w:t>č.1</w:t>
      </w:r>
      <w:proofErr w:type="gramEnd"/>
      <w:r w:rsidRPr="008F535B">
        <w:rPr>
          <w:rFonts w:ascii="Tahoma" w:hAnsi="Tahoma" w:cs="Tahoma"/>
          <w:i w:val="0"/>
          <w:sz w:val="20"/>
        </w:rPr>
        <w:t xml:space="preserve"> </w:t>
      </w:r>
    </w:p>
    <w:p w:rsidR="008F535B" w:rsidRPr="00D84308" w:rsidRDefault="008F535B" w:rsidP="008F535B">
      <w:pPr>
        <w:pStyle w:val="Nadpis2"/>
        <w:jc w:val="center"/>
        <w:rPr>
          <w:i w:val="0"/>
          <w:sz w:val="20"/>
          <w:szCs w:val="20"/>
        </w:rPr>
      </w:pPr>
      <w:r w:rsidRPr="00D84308">
        <w:rPr>
          <w:i w:val="0"/>
          <w:sz w:val="20"/>
          <w:szCs w:val="20"/>
        </w:rPr>
        <w:t xml:space="preserve">K VEŘEJNOPRÁVNÍ SMLOUVĚ O </w:t>
      </w:r>
      <w:r w:rsidR="000A738C" w:rsidRPr="000A738C">
        <w:rPr>
          <w:i w:val="0"/>
          <w:sz w:val="20"/>
          <w:szCs w:val="20"/>
        </w:rPr>
        <w:t>POSKYTNUTÍ NÁVRATNÉ FINANČNÍ VÝPOMOCI Z ROZPOČTU MĚSTA KUTNÁ HORA č.</w:t>
      </w:r>
      <w:r w:rsidR="00CE58F3">
        <w:rPr>
          <w:i w:val="0"/>
          <w:sz w:val="20"/>
          <w:szCs w:val="20"/>
        </w:rPr>
        <w:t xml:space="preserve"> </w:t>
      </w:r>
      <w:r w:rsidR="000A738C" w:rsidRPr="000A738C">
        <w:rPr>
          <w:i w:val="0"/>
          <w:sz w:val="20"/>
          <w:szCs w:val="20"/>
        </w:rPr>
        <w:t>022021</w:t>
      </w:r>
    </w:p>
    <w:p w:rsidR="008F535B" w:rsidRPr="008F535B" w:rsidRDefault="008F535B" w:rsidP="008F535B">
      <w:pPr>
        <w:jc w:val="both"/>
        <w:rPr>
          <w:rFonts w:ascii="Tahoma" w:hAnsi="Tahoma" w:cs="Tahoma"/>
          <w:b/>
          <w:sz w:val="20"/>
        </w:rPr>
      </w:pPr>
    </w:p>
    <w:p w:rsidR="008F535B" w:rsidRDefault="008F535B" w:rsidP="008F53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8F535B" w:rsidRDefault="008F535B" w:rsidP="008F53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I.</w:t>
      </w:r>
    </w:p>
    <w:p w:rsidR="005B1EEF" w:rsidRDefault="005B1EEF" w:rsidP="004252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8F535B" w:rsidRDefault="00AD0D64" w:rsidP="004252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Dne</w:t>
      </w:r>
      <w:r w:rsidR="00BC62DB">
        <w:rPr>
          <w:rFonts w:ascii="Arial" w:hAnsi="Arial" w:cs="Arial"/>
          <w:bCs/>
          <w:sz w:val="20"/>
        </w:rPr>
        <w:t xml:space="preserve"> 16.12.2021</w:t>
      </w:r>
      <w:r>
        <w:rPr>
          <w:rFonts w:ascii="Arial" w:hAnsi="Arial" w:cs="Arial"/>
          <w:bCs/>
          <w:sz w:val="20"/>
        </w:rPr>
        <w:t xml:space="preserve"> </w:t>
      </w:r>
      <w:r w:rsidR="00980B0F">
        <w:rPr>
          <w:rFonts w:ascii="Arial" w:hAnsi="Arial" w:cs="Arial"/>
          <w:bCs/>
          <w:sz w:val="20"/>
        </w:rPr>
        <w:t>u</w:t>
      </w:r>
      <w:r w:rsidR="008F535B">
        <w:rPr>
          <w:rFonts w:ascii="Arial" w:hAnsi="Arial" w:cs="Arial"/>
          <w:bCs/>
          <w:sz w:val="20"/>
        </w:rPr>
        <w:t xml:space="preserve">zavřely smluvní strany Veřejnoprávní smlouvu o poskytnutí </w:t>
      </w:r>
      <w:r w:rsidR="00BC62DB">
        <w:rPr>
          <w:rFonts w:ascii="Arial" w:hAnsi="Arial" w:cs="Arial"/>
          <w:bCs/>
          <w:sz w:val="20"/>
        </w:rPr>
        <w:t xml:space="preserve">návratné finanční výpomoci z rozpočtu Města Kutná Hora </w:t>
      </w:r>
      <w:r>
        <w:rPr>
          <w:rFonts w:ascii="Arial" w:hAnsi="Arial" w:cs="Arial"/>
          <w:bCs/>
          <w:sz w:val="20"/>
        </w:rPr>
        <w:t xml:space="preserve">ve výši </w:t>
      </w:r>
      <w:r w:rsidR="00017F40">
        <w:rPr>
          <w:rFonts w:ascii="Arial" w:hAnsi="Arial" w:cs="Arial"/>
          <w:bCs/>
          <w:sz w:val="20"/>
        </w:rPr>
        <w:t xml:space="preserve">500.000 Kč na realizaci částečné rekonstrukce objektu </w:t>
      </w:r>
      <w:proofErr w:type="gramStart"/>
      <w:r w:rsidR="00017F40">
        <w:rPr>
          <w:rFonts w:ascii="Arial" w:hAnsi="Arial" w:cs="Arial"/>
          <w:bCs/>
          <w:sz w:val="20"/>
        </w:rPr>
        <w:t>č.p.</w:t>
      </w:r>
      <w:proofErr w:type="gramEnd"/>
      <w:r w:rsidR="00017F40">
        <w:rPr>
          <w:rFonts w:ascii="Arial" w:hAnsi="Arial" w:cs="Arial"/>
          <w:bCs/>
          <w:sz w:val="20"/>
        </w:rPr>
        <w:t xml:space="preserve"> 167, Jana Palacha, Kutná Hora, (bývalý byt školníka) na kabiny pro sportovce. </w:t>
      </w:r>
    </w:p>
    <w:p w:rsidR="00DF6A2C" w:rsidRDefault="00DF6A2C" w:rsidP="004252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8F535B" w:rsidRDefault="008F535B" w:rsidP="004252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8F535B" w:rsidRPr="00456218" w:rsidRDefault="008F535B" w:rsidP="004252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456218">
        <w:rPr>
          <w:rFonts w:ascii="Arial" w:hAnsi="Arial" w:cs="Arial"/>
          <w:b/>
          <w:bCs/>
          <w:sz w:val="20"/>
        </w:rPr>
        <w:t>.</w:t>
      </w:r>
    </w:p>
    <w:p w:rsidR="008F535B" w:rsidRPr="00D84308" w:rsidRDefault="008F535B" w:rsidP="004252C3">
      <w:pPr>
        <w:jc w:val="both"/>
      </w:pPr>
    </w:p>
    <w:p w:rsidR="00552BCC" w:rsidRPr="0080539C" w:rsidRDefault="005B1EEF" w:rsidP="00552BCC">
      <w:pPr>
        <w:spacing w:line="252" w:lineRule="auto"/>
        <w:ind w:left="75" w:hanging="10"/>
        <w:jc w:val="both"/>
        <w:rPr>
          <w:rFonts w:ascii="Arial" w:hAnsi="Arial" w:cs="Arial"/>
          <w:sz w:val="20"/>
          <w:szCs w:val="20"/>
        </w:rPr>
      </w:pPr>
      <w:r w:rsidRPr="0080539C">
        <w:rPr>
          <w:rFonts w:ascii="Arial" w:hAnsi="Arial" w:cs="Arial"/>
          <w:sz w:val="20"/>
          <w:szCs w:val="20"/>
        </w:rPr>
        <w:t xml:space="preserve">Tímto dodatkem </w:t>
      </w:r>
      <w:r w:rsidR="008F535B" w:rsidRPr="0080539C">
        <w:rPr>
          <w:rFonts w:ascii="Arial" w:hAnsi="Arial" w:cs="Arial"/>
          <w:sz w:val="20"/>
          <w:szCs w:val="20"/>
        </w:rPr>
        <w:t xml:space="preserve">se smluvní strany dohodly na </w:t>
      </w:r>
      <w:r w:rsidR="002E247A" w:rsidRPr="0080539C">
        <w:rPr>
          <w:rFonts w:ascii="Arial" w:hAnsi="Arial" w:cs="Arial"/>
          <w:sz w:val="20"/>
          <w:szCs w:val="20"/>
        </w:rPr>
        <w:t xml:space="preserve">prodloužení termínu </w:t>
      </w:r>
      <w:r w:rsidR="00C91450" w:rsidRPr="0080539C">
        <w:rPr>
          <w:rFonts w:ascii="Arial" w:hAnsi="Arial" w:cs="Arial"/>
          <w:sz w:val="20"/>
          <w:szCs w:val="20"/>
        </w:rPr>
        <w:t xml:space="preserve">návratnosti poskytnutých finančních prostředků sjednaného </w:t>
      </w:r>
      <w:r w:rsidR="00552BCC" w:rsidRPr="0080539C">
        <w:rPr>
          <w:rFonts w:ascii="Arial" w:hAnsi="Arial" w:cs="Arial"/>
          <w:sz w:val="20"/>
          <w:szCs w:val="20"/>
        </w:rPr>
        <w:t xml:space="preserve"> v odstavci 2.2 čl. II Veřejnoprávní</w:t>
      </w:r>
      <w:r w:rsidR="00C91450" w:rsidRPr="0080539C">
        <w:rPr>
          <w:rFonts w:ascii="Arial" w:hAnsi="Arial" w:cs="Arial"/>
          <w:sz w:val="20"/>
          <w:szCs w:val="20"/>
        </w:rPr>
        <w:t xml:space="preserve"> smlouvy o poskytnutí návratné finanční výpomoci z rozpočtu města uvedené v čl. I. tohoto dodatku  </w:t>
      </w:r>
      <w:r w:rsidR="00552BCC" w:rsidRPr="0080539C">
        <w:rPr>
          <w:rFonts w:ascii="Arial" w:hAnsi="Arial" w:cs="Arial"/>
          <w:sz w:val="20"/>
          <w:szCs w:val="20"/>
        </w:rPr>
        <w:t>takto:</w:t>
      </w:r>
    </w:p>
    <w:p w:rsidR="002E247A" w:rsidRPr="002E247A" w:rsidRDefault="002E247A" w:rsidP="00552BCC">
      <w:pPr>
        <w:spacing w:line="252" w:lineRule="auto"/>
        <w:ind w:left="75" w:hanging="10"/>
        <w:jc w:val="both"/>
        <w:rPr>
          <w:rFonts w:ascii="Arial" w:hAnsi="Arial" w:cs="Arial"/>
          <w:sz w:val="20"/>
          <w:szCs w:val="20"/>
        </w:rPr>
      </w:pPr>
      <w:r w:rsidRPr="002E247A">
        <w:rPr>
          <w:rFonts w:ascii="Arial" w:hAnsi="Arial" w:cs="Arial"/>
          <w:sz w:val="20"/>
          <w:szCs w:val="20"/>
        </w:rPr>
        <w:t xml:space="preserve">Příjemce se zavazuje poskytnuté prostředky vrátit poskytovateli bezodkladně po dokončení rekonstrukce uvedené v čl. I veřejnoprávní smlouvy o poskytnutí finanční výpomoci z rozpočtu Města Kutná Hora číslo : 022021 nejpozději v termínu </w:t>
      </w:r>
      <w:proofErr w:type="gramStart"/>
      <w:r w:rsidR="00552BCC" w:rsidRPr="00776859">
        <w:rPr>
          <w:rFonts w:ascii="Arial" w:hAnsi="Arial" w:cs="Arial"/>
          <w:sz w:val="20"/>
          <w:szCs w:val="20"/>
        </w:rPr>
        <w:t>31.3</w:t>
      </w:r>
      <w:r w:rsidRPr="00776859">
        <w:rPr>
          <w:rFonts w:ascii="Arial" w:hAnsi="Arial" w:cs="Arial"/>
          <w:sz w:val="20"/>
          <w:szCs w:val="20"/>
        </w:rPr>
        <w:t>.2023</w:t>
      </w:r>
      <w:proofErr w:type="gramEnd"/>
      <w:r w:rsidR="00776859">
        <w:rPr>
          <w:rFonts w:ascii="Arial" w:hAnsi="Arial" w:cs="Arial"/>
          <w:sz w:val="20"/>
          <w:szCs w:val="20"/>
        </w:rPr>
        <w:t xml:space="preserve"> </w:t>
      </w:r>
      <w:r w:rsidRPr="002E247A">
        <w:rPr>
          <w:rFonts w:ascii="Arial" w:hAnsi="Arial" w:cs="Arial"/>
          <w:b/>
          <w:sz w:val="20"/>
          <w:szCs w:val="20"/>
        </w:rPr>
        <w:t xml:space="preserve">s tím, že se strany dohodly na tom, že do </w:t>
      </w:r>
      <w:r w:rsidR="00E24463">
        <w:rPr>
          <w:rFonts w:ascii="Arial" w:hAnsi="Arial" w:cs="Arial"/>
          <w:b/>
          <w:sz w:val="20"/>
          <w:szCs w:val="20"/>
        </w:rPr>
        <w:t>uvedeného termínu bude N</w:t>
      </w:r>
      <w:r w:rsidRPr="002E247A">
        <w:rPr>
          <w:rFonts w:ascii="Arial" w:hAnsi="Arial" w:cs="Arial"/>
          <w:b/>
          <w:sz w:val="20"/>
          <w:szCs w:val="20"/>
        </w:rPr>
        <w:t>F</w:t>
      </w:r>
      <w:r w:rsidR="00E24463">
        <w:rPr>
          <w:rFonts w:ascii="Arial" w:hAnsi="Arial" w:cs="Arial"/>
          <w:b/>
          <w:sz w:val="20"/>
          <w:szCs w:val="20"/>
        </w:rPr>
        <w:t>V</w:t>
      </w:r>
      <w:r w:rsidRPr="002E247A">
        <w:rPr>
          <w:rFonts w:ascii="Arial" w:hAnsi="Arial" w:cs="Arial"/>
          <w:b/>
          <w:sz w:val="20"/>
          <w:szCs w:val="20"/>
        </w:rPr>
        <w:t xml:space="preserve"> vypořádáno tak, že pohledávka poskytovatele na vrácení NFV bude započtena proti pohledávce příjemce na vydání majetkového prospěchu, který vznikne poskytovateli zhodnocením majetku uvedeného v čl. I této smlouvy provedenou rekonstrukcí, maximálně však do výše poskytnutého NFV, tj. do částky 500.000,-Kč. Zhodnocení majetku bude zjištěno znaleckým posudkem, případně odborným znaleckým odhadem pořízeným na náklady poskytovatele. Ke dni dospělosti obou pohledávek bude mezi stranami uzavřena smlouva o započtení vzájemných pohledávek.</w:t>
      </w:r>
    </w:p>
    <w:p w:rsidR="008F535B" w:rsidRPr="00D84308" w:rsidRDefault="008F535B" w:rsidP="002E247A">
      <w:pPr>
        <w:jc w:val="both"/>
      </w:pPr>
    </w:p>
    <w:p w:rsidR="008F535B" w:rsidRDefault="008F535B" w:rsidP="00DA509A">
      <w:pPr>
        <w:autoSpaceDE w:val="0"/>
        <w:autoSpaceDN w:val="0"/>
        <w:adjustRightInd w:val="0"/>
        <w:rPr>
          <w:rFonts w:ascii="Tahoma" w:hAnsi="Tahoma" w:cs="Tahoma"/>
          <w:b/>
          <w:sz w:val="18"/>
        </w:rPr>
      </w:pPr>
    </w:p>
    <w:p w:rsidR="00AD0D64" w:rsidRDefault="00AD0D64" w:rsidP="008F535B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8F535B" w:rsidRPr="00B90D07" w:rsidRDefault="008F535B" w:rsidP="008F535B"/>
    <w:p w:rsidR="008F535B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I</w:t>
      </w:r>
      <w:r w:rsidR="00F527B0">
        <w:rPr>
          <w:rFonts w:ascii="Arial" w:hAnsi="Arial" w:cs="Arial"/>
          <w:b/>
          <w:szCs w:val="20"/>
        </w:rPr>
        <w:t>ll</w:t>
      </w:r>
      <w:proofErr w:type="spellEnd"/>
      <w:r w:rsidR="00F527B0">
        <w:rPr>
          <w:rFonts w:ascii="Arial" w:hAnsi="Arial" w:cs="Arial"/>
          <w:b/>
          <w:szCs w:val="20"/>
        </w:rPr>
        <w:t>.</w:t>
      </w: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F84F67" w:rsidRPr="00F527B0" w:rsidRDefault="00F84F67" w:rsidP="00F84F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7B0">
        <w:rPr>
          <w:rFonts w:ascii="Arial" w:hAnsi="Arial" w:cs="Arial"/>
          <w:sz w:val="20"/>
          <w:szCs w:val="20"/>
        </w:rPr>
        <w:t xml:space="preserve">V ostatním zůstává veřejnoprávní smlouva o poskytnutí </w:t>
      </w:r>
      <w:r>
        <w:rPr>
          <w:rFonts w:ascii="Arial" w:hAnsi="Arial" w:cs="Arial"/>
          <w:sz w:val="20"/>
          <w:szCs w:val="20"/>
        </w:rPr>
        <w:t xml:space="preserve">návratné finanční výpomoci </w:t>
      </w:r>
      <w:r w:rsidRPr="00F527B0">
        <w:rPr>
          <w:rFonts w:ascii="Arial" w:hAnsi="Arial" w:cs="Arial"/>
          <w:sz w:val="20"/>
          <w:szCs w:val="20"/>
        </w:rPr>
        <w:t xml:space="preserve">beze změny. </w:t>
      </w:r>
    </w:p>
    <w:p w:rsidR="00F84F67" w:rsidRPr="00F527B0" w:rsidRDefault="00F84F67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5B1EEF" w:rsidRDefault="002418D6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l</w:t>
      </w:r>
      <w:r w:rsidR="005B1EEF">
        <w:rPr>
          <w:rFonts w:ascii="Arial" w:hAnsi="Arial" w:cs="Arial"/>
          <w:b/>
          <w:szCs w:val="20"/>
        </w:rPr>
        <w:t>V</w:t>
      </w:r>
      <w:proofErr w:type="spellEnd"/>
      <w:r w:rsidR="005B1EEF">
        <w:rPr>
          <w:rFonts w:ascii="Arial" w:hAnsi="Arial" w:cs="Arial"/>
          <w:b/>
          <w:szCs w:val="20"/>
        </w:rPr>
        <w:t>.</w:t>
      </w:r>
    </w:p>
    <w:p w:rsidR="005B1EEF" w:rsidRDefault="005B1EEF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</w:p>
    <w:p w:rsidR="008F535B" w:rsidRPr="00210504" w:rsidRDefault="008F535B" w:rsidP="008F535B">
      <w:pPr>
        <w:pStyle w:val="Zkladntext"/>
        <w:ind w:left="425" w:right="142" w:hanging="425"/>
        <w:jc w:val="center"/>
        <w:rPr>
          <w:rFonts w:ascii="Arial" w:hAnsi="Arial" w:cs="Arial"/>
          <w:b/>
          <w:szCs w:val="20"/>
        </w:rPr>
      </w:pPr>
      <w:r w:rsidRPr="00210504">
        <w:rPr>
          <w:rFonts w:ascii="Arial" w:hAnsi="Arial" w:cs="Arial"/>
          <w:b/>
          <w:szCs w:val="20"/>
        </w:rPr>
        <w:t>Závěrečná ustanovení</w:t>
      </w:r>
    </w:p>
    <w:p w:rsidR="008F535B" w:rsidRPr="00210504" w:rsidRDefault="008F535B" w:rsidP="008F535B">
      <w:pPr>
        <w:pStyle w:val="Zkladntext"/>
        <w:ind w:left="426" w:hanging="426"/>
        <w:jc w:val="center"/>
        <w:rPr>
          <w:rFonts w:ascii="Arial" w:hAnsi="Arial" w:cs="Arial"/>
          <w:b/>
          <w:szCs w:val="20"/>
        </w:rPr>
      </w:pPr>
    </w:p>
    <w:p w:rsidR="008F535B" w:rsidRPr="00421931" w:rsidRDefault="008F535B" w:rsidP="008F535B">
      <w:pPr>
        <w:pStyle w:val="Zkladntext"/>
        <w:ind w:right="142"/>
        <w:rPr>
          <w:rFonts w:ascii="Arial" w:hAnsi="Arial" w:cs="Arial"/>
          <w:szCs w:val="20"/>
        </w:rPr>
      </w:pPr>
      <w:r w:rsidRPr="00210504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ento dodatek č. 1</w:t>
      </w:r>
      <w:r w:rsidRPr="00210504">
        <w:rPr>
          <w:rFonts w:ascii="Arial" w:hAnsi="Arial" w:cs="Arial"/>
          <w:szCs w:val="20"/>
        </w:rPr>
        <w:t xml:space="preserve"> je zpracován ve třech vyhotoveních, z nichž město obdrží dvě vyhotovení a jedno vyhotovení obdrží příjemce.</w:t>
      </w:r>
      <w:r>
        <w:rPr>
          <w:rFonts w:ascii="Arial" w:hAnsi="Arial" w:cs="Arial"/>
          <w:szCs w:val="20"/>
        </w:rPr>
        <w:t xml:space="preserve"> Dodatek č. 1 </w:t>
      </w:r>
      <w:r w:rsidRPr="00210504">
        <w:rPr>
          <w:rFonts w:ascii="Arial" w:hAnsi="Arial" w:cs="Arial"/>
          <w:szCs w:val="20"/>
        </w:rPr>
        <w:t xml:space="preserve">nabývá </w:t>
      </w:r>
      <w:r w:rsidR="00AD0D64">
        <w:rPr>
          <w:rFonts w:ascii="Arial" w:hAnsi="Arial" w:cs="Arial"/>
          <w:szCs w:val="20"/>
        </w:rPr>
        <w:t xml:space="preserve">účinnosti dnem jeho </w:t>
      </w:r>
      <w:r w:rsidRPr="00421931">
        <w:rPr>
          <w:rFonts w:ascii="Arial" w:hAnsi="Arial" w:cs="Arial"/>
          <w:szCs w:val="20"/>
        </w:rPr>
        <w:t>uveřejnění v registru smluv dle zákona č. 340/2015 Sb.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8F535B" w:rsidRPr="001264EA" w:rsidRDefault="008F535B" w:rsidP="008F535B">
      <w:pPr>
        <w:pStyle w:val="Zkladntext"/>
        <w:ind w:left="425" w:right="142" w:hanging="425"/>
        <w:rPr>
          <w:rFonts w:ascii="Arial" w:hAnsi="Arial" w:cs="Arial"/>
          <w:b/>
          <w:szCs w:val="20"/>
        </w:rPr>
      </w:pPr>
      <w:r w:rsidRPr="001264EA">
        <w:rPr>
          <w:rFonts w:ascii="Arial" w:hAnsi="Arial" w:cs="Arial"/>
          <w:b/>
          <w:szCs w:val="20"/>
        </w:rPr>
        <w:t>D O L O Ž K A</w:t>
      </w:r>
    </w:p>
    <w:p w:rsidR="008F535B" w:rsidRDefault="008F535B" w:rsidP="008F535B">
      <w:pPr>
        <w:pStyle w:val="Zkladntext"/>
        <w:ind w:right="142"/>
        <w:rPr>
          <w:rFonts w:ascii="Arial" w:hAnsi="Arial" w:cs="Arial"/>
          <w:szCs w:val="20"/>
        </w:rPr>
      </w:pPr>
    </w:p>
    <w:p w:rsidR="008F535B" w:rsidRPr="00210504" w:rsidRDefault="009D3451" w:rsidP="008F535B">
      <w:pPr>
        <w:pStyle w:val="Zkladntext"/>
        <w:ind w:righ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Tento </w:t>
      </w:r>
      <w:r w:rsidR="00AD0D64">
        <w:rPr>
          <w:rFonts w:ascii="Arial" w:hAnsi="Arial" w:cs="Arial"/>
          <w:szCs w:val="20"/>
        </w:rPr>
        <w:t>D</w:t>
      </w:r>
      <w:r w:rsidR="008F535B">
        <w:rPr>
          <w:rFonts w:ascii="Arial" w:hAnsi="Arial" w:cs="Arial"/>
          <w:szCs w:val="20"/>
        </w:rPr>
        <w:t xml:space="preserve">odatek č. 1 k </w:t>
      </w:r>
      <w:r w:rsidR="008F535B" w:rsidRPr="00210504">
        <w:rPr>
          <w:rFonts w:ascii="Arial" w:hAnsi="Arial" w:cs="Arial"/>
          <w:szCs w:val="20"/>
        </w:rPr>
        <w:t>veřejnoprávní smlouv</w:t>
      </w:r>
      <w:r w:rsidR="008F535B">
        <w:rPr>
          <w:rFonts w:ascii="Arial" w:hAnsi="Arial" w:cs="Arial"/>
          <w:szCs w:val="20"/>
        </w:rPr>
        <w:t xml:space="preserve">ě </w:t>
      </w:r>
      <w:r>
        <w:rPr>
          <w:rFonts w:ascii="Arial" w:hAnsi="Arial" w:cs="Arial"/>
          <w:szCs w:val="20"/>
        </w:rPr>
        <w:t>byl</w:t>
      </w:r>
      <w:r w:rsidR="008F535B" w:rsidRPr="00210504">
        <w:rPr>
          <w:rFonts w:ascii="Arial" w:hAnsi="Arial" w:cs="Arial"/>
          <w:szCs w:val="20"/>
        </w:rPr>
        <w:t xml:space="preserve"> schválen usnesením Zastupitelstva města č. </w:t>
      </w:r>
      <w:r w:rsidR="00213C40">
        <w:rPr>
          <w:rFonts w:ascii="Arial" w:hAnsi="Arial" w:cs="Arial"/>
          <w:szCs w:val="20"/>
        </w:rPr>
        <w:t>Z/286/</w:t>
      </w:r>
      <w:r>
        <w:rPr>
          <w:rFonts w:ascii="Arial" w:hAnsi="Arial" w:cs="Arial"/>
          <w:szCs w:val="20"/>
        </w:rPr>
        <w:t>22</w:t>
      </w:r>
      <w:r w:rsidR="008F535B" w:rsidRPr="00210504">
        <w:rPr>
          <w:rFonts w:ascii="Arial" w:hAnsi="Arial" w:cs="Arial"/>
          <w:szCs w:val="20"/>
        </w:rPr>
        <w:t xml:space="preserve"> ze dne </w:t>
      </w:r>
      <w:r w:rsidR="00EF3367">
        <w:rPr>
          <w:rFonts w:ascii="Arial" w:hAnsi="Arial" w:cs="Arial"/>
          <w:szCs w:val="20"/>
        </w:rPr>
        <w:t>13</w:t>
      </w:r>
      <w:r w:rsidR="008F535B" w:rsidRPr="00210504">
        <w:rPr>
          <w:rFonts w:ascii="Arial" w:hAnsi="Arial" w:cs="Arial"/>
          <w:szCs w:val="20"/>
        </w:rPr>
        <w:t>.</w:t>
      </w:r>
      <w:r w:rsidR="008E144A">
        <w:rPr>
          <w:rFonts w:ascii="Arial" w:hAnsi="Arial" w:cs="Arial"/>
          <w:szCs w:val="20"/>
        </w:rPr>
        <w:t xml:space="preserve"> </w:t>
      </w:r>
      <w:r w:rsidR="008F535B">
        <w:rPr>
          <w:rFonts w:ascii="Arial" w:hAnsi="Arial" w:cs="Arial"/>
          <w:szCs w:val="20"/>
        </w:rPr>
        <w:t>1</w:t>
      </w:r>
      <w:r w:rsidR="00980B0F">
        <w:rPr>
          <w:rFonts w:ascii="Arial" w:hAnsi="Arial" w:cs="Arial"/>
          <w:szCs w:val="20"/>
        </w:rPr>
        <w:t>2</w:t>
      </w:r>
      <w:r w:rsidR="008F535B" w:rsidRPr="00210504">
        <w:rPr>
          <w:rFonts w:ascii="Arial" w:hAnsi="Arial" w:cs="Arial"/>
          <w:szCs w:val="20"/>
        </w:rPr>
        <w:t>.</w:t>
      </w:r>
      <w:r w:rsidR="008E144A">
        <w:rPr>
          <w:rFonts w:ascii="Arial" w:hAnsi="Arial" w:cs="Arial"/>
          <w:szCs w:val="20"/>
        </w:rPr>
        <w:t xml:space="preserve"> </w:t>
      </w:r>
      <w:r w:rsidR="008F535B" w:rsidRPr="00210504">
        <w:rPr>
          <w:rFonts w:ascii="Arial" w:hAnsi="Arial" w:cs="Arial"/>
          <w:szCs w:val="20"/>
        </w:rPr>
        <w:t>20</w:t>
      </w:r>
      <w:r w:rsidR="008F535B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2</w:t>
      </w:r>
      <w:r w:rsidR="008F535B" w:rsidRPr="00210504">
        <w:rPr>
          <w:rFonts w:ascii="Arial" w:hAnsi="Arial" w:cs="Arial"/>
          <w:szCs w:val="20"/>
        </w:rPr>
        <w:t xml:space="preserve"> ve smyslu § 85 písm. c zákona č.128/2000 Sb. o obcích.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8F535B" w:rsidRPr="00210504" w:rsidRDefault="008F535B" w:rsidP="008F535B">
      <w:pPr>
        <w:pStyle w:val="Zkladntext"/>
        <w:ind w:right="142"/>
        <w:rPr>
          <w:rFonts w:ascii="Arial" w:hAnsi="Arial" w:cs="Arial"/>
          <w:szCs w:val="20"/>
        </w:rPr>
      </w:pPr>
      <w:r w:rsidRPr="00210504">
        <w:rPr>
          <w:rFonts w:ascii="Arial" w:hAnsi="Arial" w:cs="Arial"/>
          <w:szCs w:val="20"/>
        </w:rPr>
        <w:t xml:space="preserve">Smluvní strany berou na vědomí, že </w:t>
      </w:r>
      <w:r>
        <w:rPr>
          <w:rFonts w:ascii="Arial" w:hAnsi="Arial" w:cs="Arial"/>
          <w:szCs w:val="20"/>
        </w:rPr>
        <w:t xml:space="preserve">tento </w:t>
      </w:r>
      <w:r w:rsidR="00AD0D64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</w:t>
      </w:r>
      <w:r w:rsidR="00AD0D64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atek č. 1 ke</w:t>
      </w:r>
      <w:r w:rsidRPr="00210504">
        <w:rPr>
          <w:rFonts w:ascii="Arial" w:hAnsi="Arial" w:cs="Arial"/>
          <w:szCs w:val="20"/>
        </w:rPr>
        <w:t xml:space="preserve"> smlouv</w:t>
      </w:r>
      <w:r>
        <w:rPr>
          <w:rFonts w:ascii="Arial" w:hAnsi="Arial" w:cs="Arial"/>
          <w:szCs w:val="20"/>
        </w:rPr>
        <w:t>ě</w:t>
      </w:r>
      <w:r w:rsidRPr="00210504">
        <w:rPr>
          <w:rFonts w:ascii="Arial" w:hAnsi="Arial" w:cs="Arial"/>
          <w:szCs w:val="20"/>
        </w:rPr>
        <w:t xml:space="preserve"> bude zveřejněn v registru smluv podle zákona č.</w:t>
      </w:r>
      <w:r>
        <w:rPr>
          <w:rFonts w:ascii="Arial" w:hAnsi="Arial" w:cs="Arial"/>
          <w:szCs w:val="20"/>
        </w:rPr>
        <w:t> </w:t>
      </w:r>
      <w:r w:rsidRPr="00210504">
        <w:rPr>
          <w:rFonts w:ascii="Arial" w:hAnsi="Arial" w:cs="Arial"/>
          <w:szCs w:val="20"/>
        </w:rPr>
        <w:t>340/2015</w:t>
      </w:r>
      <w:r>
        <w:rPr>
          <w:rFonts w:ascii="Arial" w:hAnsi="Arial" w:cs="Arial"/>
          <w:szCs w:val="20"/>
        </w:rPr>
        <w:t> </w:t>
      </w:r>
      <w:r w:rsidRPr="00210504">
        <w:rPr>
          <w:rFonts w:ascii="Arial" w:hAnsi="Arial" w:cs="Arial"/>
          <w:szCs w:val="20"/>
        </w:rPr>
        <w:t xml:space="preserve">Sb., o zvláštních podmínkách účinnosti některých smluv, uveřejňování těchto smluv a o registru smluv (zákon o registru smluv). Smluvní strany berou na vědomí, že jsou povinny označit údaje </w:t>
      </w:r>
      <w:proofErr w:type="gramStart"/>
      <w:r w:rsidRPr="00210504">
        <w:rPr>
          <w:rFonts w:ascii="Arial" w:hAnsi="Arial" w:cs="Arial"/>
          <w:szCs w:val="20"/>
        </w:rPr>
        <w:t>ve</w:t>
      </w:r>
      <w:proofErr w:type="gramEnd"/>
      <w:r w:rsidRPr="00210504">
        <w:rPr>
          <w:rFonts w:ascii="Arial" w:hAnsi="Arial" w:cs="Arial"/>
          <w:szCs w:val="20"/>
        </w:rPr>
        <w:t xml:space="preserve"> </w:t>
      </w:r>
      <w:r w:rsidR="00AD0D64">
        <w:rPr>
          <w:rFonts w:ascii="Arial" w:hAnsi="Arial" w:cs="Arial"/>
          <w:szCs w:val="20"/>
        </w:rPr>
        <w:t>Dodatku</w:t>
      </w:r>
      <w:r w:rsidRPr="00210504">
        <w:rPr>
          <w:rFonts w:ascii="Arial" w:hAnsi="Arial" w:cs="Arial"/>
          <w:szCs w:val="20"/>
        </w:rPr>
        <w:t>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 w:rsidRPr="00210504">
        <w:rPr>
          <w:rFonts w:ascii="Arial" w:hAnsi="Arial" w:cs="Arial"/>
          <w:szCs w:val="20"/>
        </w:rPr>
        <w:t xml:space="preserve">V Kutné Hoře dne  </w:t>
      </w:r>
      <w:r w:rsidR="00CA4001">
        <w:rPr>
          <w:rFonts w:ascii="Arial" w:hAnsi="Arial" w:cs="Arial"/>
          <w:szCs w:val="20"/>
        </w:rPr>
        <w:t>19.</w:t>
      </w:r>
      <w:bookmarkStart w:id="0" w:name="_GoBack"/>
      <w:bookmarkEnd w:id="0"/>
      <w:r w:rsidR="00F257D4">
        <w:rPr>
          <w:rFonts w:ascii="Arial" w:hAnsi="Arial" w:cs="Arial"/>
          <w:szCs w:val="20"/>
        </w:rPr>
        <w:t>12.</w:t>
      </w:r>
      <w:r w:rsidRPr="00210504">
        <w:rPr>
          <w:rFonts w:ascii="Arial" w:hAnsi="Arial" w:cs="Arial"/>
          <w:szCs w:val="20"/>
        </w:rPr>
        <w:t>20</w:t>
      </w:r>
      <w:r>
        <w:rPr>
          <w:rFonts w:ascii="Arial" w:hAnsi="Arial" w:cs="Arial"/>
          <w:szCs w:val="20"/>
        </w:rPr>
        <w:t>2</w:t>
      </w:r>
      <w:r w:rsidR="00DA509A">
        <w:rPr>
          <w:rFonts w:ascii="Arial" w:hAnsi="Arial" w:cs="Arial"/>
          <w:szCs w:val="20"/>
        </w:rPr>
        <w:t>2</w:t>
      </w:r>
    </w:p>
    <w:p w:rsidR="008F535B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B63182" w:rsidRDefault="00B63182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B63182" w:rsidRDefault="00B63182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B63182" w:rsidRDefault="00B63182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0040B5" w:rsidRDefault="000040B5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0040B5" w:rsidRPr="00210504" w:rsidRDefault="000040B5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 w:rsidRPr="00210504">
        <w:rPr>
          <w:rFonts w:ascii="Arial" w:hAnsi="Arial" w:cs="Arial"/>
          <w:szCs w:val="20"/>
        </w:rPr>
        <w:t xml:space="preserve">......................................................... </w:t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  <w:t xml:space="preserve">    .........................................................                 </w:t>
      </w:r>
    </w:p>
    <w:p w:rsidR="008F535B" w:rsidRPr="00210504" w:rsidRDefault="00DA509A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Zdeněk Knap</w:t>
      </w:r>
      <w:r w:rsidR="008F535B" w:rsidRPr="00210504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místopředseda</w:t>
      </w:r>
      <w:r w:rsidR="008F535B" w:rsidRPr="00210504">
        <w:rPr>
          <w:rFonts w:ascii="Arial" w:hAnsi="Arial" w:cs="Arial"/>
          <w:szCs w:val="20"/>
        </w:rPr>
        <w:t>)</w:t>
      </w:r>
      <w:r w:rsidR="008F535B" w:rsidRPr="00210504">
        <w:rPr>
          <w:rFonts w:ascii="Arial" w:hAnsi="Arial" w:cs="Arial"/>
          <w:szCs w:val="20"/>
        </w:rPr>
        <w:tab/>
      </w:r>
      <w:r w:rsidR="008F535B" w:rsidRPr="00210504">
        <w:rPr>
          <w:rFonts w:ascii="Arial" w:hAnsi="Arial" w:cs="Arial"/>
          <w:szCs w:val="20"/>
        </w:rPr>
        <w:tab/>
      </w:r>
      <w:r w:rsidR="008F535B" w:rsidRPr="00210504">
        <w:rPr>
          <w:rFonts w:ascii="Arial" w:hAnsi="Arial" w:cs="Arial"/>
          <w:szCs w:val="20"/>
        </w:rPr>
        <w:tab/>
      </w:r>
      <w:r w:rsidR="008F535B" w:rsidRPr="00210504">
        <w:rPr>
          <w:rFonts w:ascii="Arial" w:hAnsi="Arial" w:cs="Arial"/>
          <w:szCs w:val="20"/>
        </w:rPr>
        <w:tab/>
      </w:r>
      <w:r w:rsidR="008F535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Mgr. Lukáš Seifert</w:t>
      </w:r>
      <w:r w:rsidR="008F535B" w:rsidRPr="00210504">
        <w:rPr>
          <w:rFonts w:ascii="Arial" w:hAnsi="Arial" w:cs="Arial"/>
          <w:szCs w:val="20"/>
        </w:rPr>
        <w:t xml:space="preserve"> (starosta)</w:t>
      </w:r>
    </w:p>
    <w:p w:rsidR="008F535B" w:rsidRDefault="00DA509A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Sparta Kutná </w:t>
      </w:r>
      <w:proofErr w:type="gramStart"/>
      <w:r>
        <w:rPr>
          <w:rFonts w:ascii="Arial" w:hAnsi="Arial" w:cs="Arial"/>
          <w:szCs w:val="20"/>
        </w:rPr>
        <w:t>Hora, z.s.</w:t>
      </w:r>
      <w:proofErr w:type="gramEnd"/>
      <w:r w:rsidR="008F535B" w:rsidRPr="0042193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Město </w:t>
      </w:r>
      <w:r w:rsidRPr="00210504">
        <w:rPr>
          <w:rFonts w:ascii="Arial" w:hAnsi="Arial" w:cs="Arial"/>
          <w:szCs w:val="20"/>
        </w:rPr>
        <w:t>Kutná Hora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 w:rsidRPr="0042193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  <w:r w:rsidRPr="00210504">
        <w:rPr>
          <w:rFonts w:ascii="Arial" w:hAnsi="Arial" w:cs="Arial"/>
          <w:szCs w:val="20"/>
        </w:rPr>
        <w:t xml:space="preserve">            (příjemce)</w:t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</w:r>
      <w:r w:rsidRPr="00210504">
        <w:rPr>
          <w:rFonts w:ascii="Arial" w:hAnsi="Arial" w:cs="Arial"/>
          <w:szCs w:val="20"/>
        </w:rPr>
        <w:tab/>
        <w:t xml:space="preserve">          (poskytovatel)</w:t>
      </w:r>
    </w:p>
    <w:p w:rsidR="008F535B" w:rsidRPr="00210504" w:rsidRDefault="008F535B" w:rsidP="008F535B">
      <w:pPr>
        <w:pStyle w:val="Zkladntext"/>
        <w:ind w:left="425" w:right="142" w:hanging="425"/>
        <w:rPr>
          <w:rFonts w:ascii="Arial" w:hAnsi="Arial" w:cs="Arial"/>
          <w:szCs w:val="20"/>
        </w:rPr>
      </w:pPr>
    </w:p>
    <w:p w:rsidR="008F535B" w:rsidRDefault="008F535B" w:rsidP="008F535B">
      <w:pPr>
        <w:rPr>
          <w:rFonts w:ascii="Calibri" w:hAnsi="Calibri" w:cs="Calibri"/>
          <w:sz w:val="20"/>
          <w:szCs w:val="20"/>
        </w:rPr>
      </w:pPr>
    </w:p>
    <w:p w:rsidR="008F535B" w:rsidRDefault="008F535B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5F7DB8" w:rsidRDefault="005F7DB8" w:rsidP="008F535B">
      <w:pPr>
        <w:rPr>
          <w:rFonts w:ascii="Calibri" w:hAnsi="Calibri" w:cs="Calibri"/>
          <w:sz w:val="20"/>
          <w:szCs w:val="20"/>
        </w:rPr>
      </w:pPr>
    </w:p>
    <w:p w:rsidR="008F535B" w:rsidRPr="001929B6" w:rsidRDefault="008F535B" w:rsidP="008F535B">
      <w:pPr>
        <w:rPr>
          <w:rFonts w:ascii="Arial" w:hAnsi="Arial" w:cs="Arial"/>
          <w:b/>
          <w:sz w:val="20"/>
          <w:szCs w:val="20"/>
        </w:rPr>
      </w:pPr>
      <w:r w:rsidRPr="00456218">
        <w:rPr>
          <w:rFonts w:ascii="Arial" w:hAnsi="Arial" w:cs="Arial"/>
          <w:sz w:val="18"/>
          <w:szCs w:val="20"/>
        </w:rPr>
        <w:t xml:space="preserve">Kontrola smlouvy právníkem: Mgr. Zahradníčková dne </w:t>
      </w:r>
      <w:proofErr w:type="gramStart"/>
      <w:r w:rsidR="002A0E18">
        <w:rPr>
          <w:rFonts w:ascii="Arial" w:hAnsi="Arial" w:cs="Arial"/>
          <w:sz w:val="18"/>
          <w:szCs w:val="20"/>
        </w:rPr>
        <w:t>8.12.2022</w:t>
      </w:r>
      <w:proofErr w:type="gramEnd"/>
    </w:p>
    <w:p w:rsidR="008F535B" w:rsidRDefault="008F535B" w:rsidP="008F535B">
      <w:pPr>
        <w:jc w:val="both"/>
        <w:rPr>
          <w:rFonts w:ascii="Verdana" w:hAnsi="Verdana"/>
          <w:b/>
          <w:sz w:val="20"/>
          <w:szCs w:val="20"/>
        </w:rPr>
      </w:pPr>
    </w:p>
    <w:sectPr w:rsidR="008F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5B"/>
    <w:rsid w:val="00002D35"/>
    <w:rsid w:val="000040B5"/>
    <w:rsid w:val="00017F40"/>
    <w:rsid w:val="00020D73"/>
    <w:rsid w:val="0003720C"/>
    <w:rsid w:val="000A738C"/>
    <w:rsid w:val="00213C40"/>
    <w:rsid w:val="002418D6"/>
    <w:rsid w:val="00261404"/>
    <w:rsid w:val="002A0E18"/>
    <w:rsid w:val="002E247A"/>
    <w:rsid w:val="003A2D25"/>
    <w:rsid w:val="004224A2"/>
    <w:rsid w:val="004252C3"/>
    <w:rsid w:val="00453706"/>
    <w:rsid w:val="00487561"/>
    <w:rsid w:val="004A119D"/>
    <w:rsid w:val="004D0019"/>
    <w:rsid w:val="00552BCC"/>
    <w:rsid w:val="005B1EEF"/>
    <w:rsid w:val="005B4CBF"/>
    <w:rsid w:val="005C3C19"/>
    <w:rsid w:val="005F7DB8"/>
    <w:rsid w:val="006417AE"/>
    <w:rsid w:val="00704A8E"/>
    <w:rsid w:val="00776859"/>
    <w:rsid w:val="007E789D"/>
    <w:rsid w:val="0080539C"/>
    <w:rsid w:val="008E144A"/>
    <w:rsid w:val="008F535B"/>
    <w:rsid w:val="00980B0F"/>
    <w:rsid w:val="00982839"/>
    <w:rsid w:val="009A3D84"/>
    <w:rsid w:val="009D3451"/>
    <w:rsid w:val="00A27831"/>
    <w:rsid w:val="00AD0D64"/>
    <w:rsid w:val="00B63182"/>
    <w:rsid w:val="00BC62DB"/>
    <w:rsid w:val="00BE40FA"/>
    <w:rsid w:val="00C432C6"/>
    <w:rsid w:val="00C55015"/>
    <w:rsid w:val="00C91450"/>
    <w:rsid w:val="00CA4001"/>
    <w:rsid w:val="00CE58F3"/>
    <w:rsid w:val="00DA509A"/>
    <w:rsid w:val="00DF6A2C"/>
    <w:rsid w:val="00E24463"/>
    <w:rsid w:val="00E63E81"/>
    <w:rsid w:val="00ED1C34"/>
    <w:rsid w:val="00EF3367"/>
    <w:rsid w:val="00F257D4"/>
    <w:rsid w:val="00F527B0"/>
    <w:rsid w:val="00F84F67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B374"/>
  <w15:docId w15:val="{D5EAEC53-84C4-4A5B-909B-636AAA8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5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535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8F535B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F535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E4D9-F524-497B-8B1D-F139F93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Iva</dc:creator>
  <cp:lastModifiedBy>Holubová Markéta</cp:lastModifiedBy>
  <cp:revision>36</cp:revision>
  <cp:lastPrinted>2022-12-07T16:07:00Z</cp:lastPrinted>
  <dcterms:created xsi:type="dcterms:W3CDTF">2022-12-08T07:26:00Z</dcterms:created>
  <dcterms:modified xsi:type="dcterms:W3CDTF">2022-12-20T16:20:00Z</dcterms:modified>
</cp:coreProperties>
</file>