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1190700187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Opava,</w:t>
      </w:r>
      <w:r>
        <w:rPr>
          <w:spacing w:val="-3"/>
        </w:rPr>
        <w:t> </w:t>
      </w:r>
      <w:r>
        <w:rPr/>
        <w:t>Edvarda</w:t>
      </w:r>
      <w:r>
        <w:rPr>
          <w:spacing w:val="-4"/>
        </w:rPr>
        <w:t> </w:t>
      </w:r>
      <w:r>
        <w:rPr/>
        <w:t>Beneše</w:t>
      </w:r>
      <w:r>
        <w:rPr>
          <w:spacing w:val="-5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Edvarda</w:t>
      </w:r>
      <w:r>
        <w:rPr>
          <w:spacing w:val="-3"/>
        </w:rPr>
        <w:t> </w:t>
      </w:r>
      <w:r>
        <w:rPr/>
        <w:t>Beneše</w:t>
      </w:r>
      <w:r>
        <w:rPr>
          <w:spacing w:val="-3"/>
        </w:rPr>
        <w:t> </w:t>
      </w:r>
      <w:r>
        <w:rPr/>
        <w:t>961/2,</w:t>
      </w:r>
      <w:r>
        <w:rPr>
          <w:spacing w:val="-4"/>
        </w:rPr>
        <w:t> </w:t>
      </w:r>
      <w:r>
        <w:rPr/>
        <w:t>747</w:t>
      </w:r>
      <w:r>
        <w:rPr>
          <w:spacing w:val="2"/>
        </w:rPr>
        <w:t> </w:t>
      </w:r>
      <w:r>
        <w:rPr/>
        <w:t>05</w:t>
      </w:r>
      <w:r>
        <w:rPr>
          <w:spacing w:val="-1"/>
        </w:rPr>
        <w:t> </w:t>
      </w:r>
      <w:r>
        <w:rPr/>
        <w:t>Opava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Kateřinky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70999279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Simonou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o r</w:t>
      </w:r>
      <w:r>
        <w:rPr>
          <w:spacing w:val="-2"/>
        </w:rPr>
        <w:t> </w:t>
      </w:r>
      <w:r>
        <w:rPr/>
        <w:t>á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4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046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8235596001/5500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 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1190700187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1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7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462" w:right="0"/>
        <w:jc w:val="left"/>
      </w:pPr>
      <w:r>
        <w:rPr/>
        <w:t>„Učíme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přírodě</w:t>
      </w:r>
      <w:r>
        <w:rPr>
          <w:spacing w:val="-3"/>
        </w:rPr>
        <w:t> </w:t>
      </w:r>
      <w:r>
        <w:rPr/>
        <w:t>při</w:t>
      </w:r>
      <w:r>
        <w:rPr>
          <w:spacing w:val="-1"/>
        </w:rPr>
        <w:t> </w:t>
      </w:r>
      <w:r>
        <w:rPr/>
        <w:t>ZŠ</w:t>
      </w:r>
      <w:r>
        <w:rPr>
          <w:spacing w:val="-2"/>
        </w:rPr>
        <w:t> </w:t>
      </w:r>
      <w:r>
        <w:rPr/>
        <w:t>Opava,</w:t>
      </w:r>
      <w:r>
        <w:rPr>
          <w:spacing w:val="-3"/>
        </w:rPr>
        <w:t> </w:t>
      </w:r>
      <w:r>
        <w:rPr/>
        <w:t>Edvarda</w:t>
      </w:r>
      <w:r>
        <w:rPr>
          <w:spacing w:val="-2"/>
        </w:rPr>
        <w:t> </w:t>
      </w:r>
      <w:r>
        <w:rPr/>
        <w:t>Beneše</w:t>
      </w:r>
      <w:r>
        <w:rPr>
          <w:spacing w:val="-2"/>
        </w:rPr>
        <w:t> </w:t>
      </w:r>
      <w:r>
        <w:rPr/>
        <w:t>2“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434 292,54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sta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dvě</w:t>
      </w:r>
      <w:r>
        <w:rPr>
          <w:spacing w:val="1"/>
          <w:sz w:val="20"/>
        </w:rPr>
        <w:t> </w:t>
      </w:r>
      <w:r>
        <w:rPr>
          <w:sz w:val="20"/>
        </w:rPr>
        <w:t>stě</w:t>
      </w:r>
      <w:r>
        <w:rPr>
          <w:spacing w:val="-2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padesát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510</w:t>
      </w:r>
      <w:r>
        <w:rPr>
          <w:spacing w:val="-1"/>
          <w:sz w:val="20"/>
        </w:rPr>
        <w:t> </w:t>
      </w:r>
      <w:r>
        <w:rPr>
          <w:sz w:val="20"/>
        </w:rPr>
        <w:t>932,41</w:t>
      </w:r>
      <w:r>
        <w:rPr>
          <w:spacing w:val="-7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sz w:val="20"/>
        </w:rPr>
        <w:t>845,00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457 087,41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 část odpovídající postupu realizace akce), uhradí příjemce podpory částku tohoto překročení 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7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8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vyhlášení</w:t>
      </w:r>
      <w:r>
        <w:rPr>
          <w:spacing w:val="-53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8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9"/>
          <w:sz w:val="20"/>
        </w:rPr>
        <w:t> </w:t>
      </w:r>
      <w:r>
        <w:rPr>
          <w:sz w:val="20"/>
        </w:rPr>
        <w:t>stanoveným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bodech</w:t>
      </w:r>
      <w:r>
        <w:rPr>
          <w:spacing w:val="-7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ind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292,54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34"/>
          <w:sz w:val="20"/>
        </w:rPr>
        <w:t> </w:t>
      </w:r>
      <w:r>
        <w:rPr>
          <w:sz w:val="20"/>
        </w:rPr>
        <w:t>ČR“)</w:t>
      </w:r>
      <w:r>
        <w:rPr>
          <w:spacing w:val="3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33"/>
          <w:sz w:val="20"/>
        </w:rPr>
        <w:t> </w:t>
      </w:r>
      <w:r>
        <w:rPr>
          <w:sz w:val="20"/>
        </w:rPr>
        <w:t>žádostí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uvolnění</w:t>
      </w:r>
      <w:r>
        <w:rPr>
          <w:spacing w:val="33"/>
          <w:sz w:val="20"/>
        </w:rPr>
        <w:t> </w:t>
      </w:r>
      <w:r>
        <w:rPr>
          <w:sz w:val="20"/>
        </w:rPr>
        <w:t>finančních</w:t>
      </w:r>
      <w:r>
        <w:rPr>
          <w:spacing w:val="33"/>
          <w:sz w:val="20"/>
        </w:rPr>
        <w:t> </w:t>
      </w:r>
      <w:r>
        <w:rPr>
          <w:sz w:val="20"/>
        </w:rPr>
        <w:t>prostředků</w:t>
      </w:r>
      <w:r>
        <w:rPr>
          <w:spacing w:val="34"/>
          <w:sz w:val="20"/>
        </w:rPr>
        <w:t> </w:t>
      </w:r>
      <w:r>
        <w:rPr>
          <w:sz w:val="20"/>
        </w:rPr>
        <w:t>(bod</w:t>
      </w:r>
      <w:r>
        <w:rPr>
          <w:spacing w:val="32"/>
          <w:sz w:val="20"/>
        </w:rPr>
        <w:t> </w:t>
      </w:r>
      <w:r>
        <w:rPr>
          <w:sz w:val="20"/>
        </w:rPr>
        <w:t>11)</w:t>
      </w:r>
      <w:r>
        <w:rPr>
          <w:spacing w:val="33"/>
          <w:sz w:val="20"/>
        </w:rPr>
        <w:t> </w:t>
      </w:r>
      <w:r>
        <w:rPr>
          <w:sz w:val="20"/>
        </w:rPr>
        <w:t>příslušné</w:t>
      </w:r>
      <w:r>
        <w:rPr>
          <w:spacing w:val="33"/>
          <w:sz w:val="20"/>
        </w:rPr>
        <w:t> </w:t>
      </w:r>
      <w:r>
        <w:rPr>
          <w:sz w:val="20"/>
        </w:rPr>
        <w:t>doklady</w:t>
      </w:r>
      <w:r>
        <w:rPr>
          <w:spacing w:val="33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4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7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4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28"/>
          <w:sz w:val="20"/>
        </w:rPr>
        <w:t> </w:t>
      </w:r>
      <w:r>
        <w:rPr>
          <w:sz w:val="20"/>
        </w:rPr>
        <w:t>byla</w:t>
      </w:r>
      <w:r>
        <w:rPr>
          <w:spacing w:val="28"/>
          <w:sz w:val="20"/>
        </w:rPr>
        <w:t> </w:t>
      </w:r>
      <w:r>
        <w:rPr>
          <w:sz w:val="20"/>
        </w:rPr>
        <w:t>provedena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Fondem</w:t>
      </w:r>
      <w:r>
        <w:rPr>
          <w:spacing w:val="28"/>
          <w:sz w:val="20"/>
        </w:rPr>
        <w:t> </w:t>
      </w:r>
      <w:r>
        <w:rPr>
          <w:sz w:val="20"/>
        </w:rPr>
        <w:t>odsouhlasené</w:t>
      </w:r>
      <w:r>
        <w:rPr>
          <w:spacing w:val="28"/>
          <w:sz w:val="20"/>
        </w:rPr>
        <w:t> </w:t>
      </w:r>
      <w:r>
        <w:rPr>
          <w:sz w:val="20"/>
        </w:rPr>
        <w:t>projektové</w:t>
      </w:r>
      <w:r>
        <w:rPr>
          <w:spacing w:val="28"/>
          <w:sz w:val="20"/>
        </w:rPr>
        <w:t> </w:t>
      </w:r>
      <w:r>
        <w:rPr>
          <w:sz w:val="20"/>
        </w:rPr>
        <w:t>dokumentace</w:t>
      </w:r>
      <w:r>
        <w:rPr>
          <w:spacing w:val="30"/>
          <w:sz w:val="20"/>
        </w:rPr>
        <w:t> </w:t>
      </w:r>
      <w:r>
        <w:rPr>
          <w:sz w:val="20"/>
        </w:rPr>
        <w:t>projektu</w:t>
      </w:r>
      <w:r>
        <w:rPr>
          <w:spacing w:val="31"/>
          <w:sz w:val="20"/>
        </w:rPr>
        <w:t> </w:t>
      </w:r>
      <w:r>
        <w:rPr>
          <w:sz w:val="20"/>
        </w:rPr>
        <w:t>„Učíme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v přírodě při ZŠ Opava, Edvarda Beneše 2“ ze dne 15. 4. 2020, včetně případných změn a doplňků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-1"/>
          <w:sz w:val="20"/>
        </w:rPr>
        <w:t> </w:t>
      </w:r>
      <w:r>
        <w:rPr>
          <w:sz w:val="20"/>
        </w:rPr>
        <w:t>dokumentů,</w:t>
      </w:r>
      <w:r>
        <w:rPr>
          <w:spacing w:val="-1"/>
          <w:sz w:val="20"/>
        </w:rPr>
        <w:t> </w:t>
      </w:r>
      <w:r>
        <w:rPr>
          <w:sz w:val="20"/>
        </w:rPr>
        <w:t>pokud je</w:t>
      </w:r>
      <w:r>
        <w:rPr>
          <w:spacing w:val="-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v období od 12/2021 do 8/2022 pořídil předměty uvedené v aktualizovaném rozpočtu projektu ze</w:t>
      </w:r>
      <w:r>
        <w:rPr>
          <w:spacing w:val="1"/>
          <w:sz w:val="20"/>
        </w:rPr>
        <w:t> </w:t>
      </w:r>
      <w:r>
        <w:rPr>
          <w:sz w:val="20"/>
        </w:rPr>
        <w:t>dne 5. 12. 2022 a vysadil minimálně jeden stanovištně vhodný strom, přičemž se zavazuje zajistit</w:t>
      </w:r>
      <w:r>
        <w:rPr>
          <w:spacing w:val="1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09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2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0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2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3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2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3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aktuálních</w:t>
      </w:r>
      <w:r>
        <w:rPr>
          <w:spacing w:val="-4"/>
          <w:sz w:val="20"/>
        </w:rPr>
        <w:t> </w:t>
      </w:r>
      <w:r>
        <w:rPr>
          <w:sz w:val="20"/>
        </w:rPr>
        <w:t>Pokynech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OPŽP</w:t>
      </w:r>
      <w:r>
        <w:rPr>
          <w:spacing w:val="-6"/>
          <w:sz w:val="20"/>
        </w:rPr>
        <w:t> </w:t>
      </w:r>
      <w:r>
        <w:rPr>
          <w:sz w:val="20"/>
        </w:rPr>
        <w:t>2014-2020,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jsou</w:t>
      </w:r>
      <w:r>
        <w:rPr>
          <w:spacing w:val="-4"/>
          <w:sz w:val="20"/>
        </w:rPr>
        <w:t> </w:t>
      </w:r>
      <w:r>
        <w:rPr>
          <w:sz w:val="20"/>
        </w:rPr>
        <w:t>zveřejněny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3"/>
          <w:sz w:val="20"/>
        </w:rPr>
        <w:t> </w:t>
      </w:r>
      <w:hyperlink r:id="rId6">
        <w:r>
          <w:rPr>
            <w:sz w:val="20"/>
          </w:rPr>
          <w:t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> </w:t>
      </w:r>
      <w:r>
        <w:rPr>
          <w:sz w:val="20"/>
        </w:rPr>
        <w:t>odkaz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OPŽP</w:t>
      </w:r>
      <w:r>
        <w:rPr>
          <w:spacing w:val="-10"/>
          <w:sz w:val="20"/>
        </w:rPr>
        <w:t> </w:t>
      </w:r>
      <w:r>
        <w:rPr>
          <w:sz w:val="20"/>
        </w:rPr>
        <w:t>2014-2020,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7"/>
          <w:sz w:val="20"/>
        </w:rPr>
        <w:t> </w:t>
      </w:r>
      <w:r>
        <w:rPr>
          <w:sz w:val="20"/>
        </w:rPr>
        <w:t>Specifické</w:t>
      </w:r>
      <w:r>
        <w:rPr>
          <w:spacing w:val="-52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relevantní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OPŽP</w:t>
      </w:r>
      <w:r>
        <w:rPr>
          <w:spacing w:val="1"/>
          <w:sz w:val="20"/>
        </w:rPr>
        <w:t> </w:t>
      </w:r>
      <w:r>
        <w:rPr>
          <w:sz w:val="20"/>
        </w:rPr>
        <w:t>2014-2020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nevztahují.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souvislosti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prohlašuje,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2"/>
          <w:sz w:val="20"/>
        </w:rPr>
        <w:t> </w:t>
      </w:r>
      <w:r>
        <w:rPr>
          <w:sz w:val="20"/>
        </w:rPr>
        <w:t>uvedená</w:t>
      </w:r>
      <w:r>
        <w:rPr>
          <w:spacing w:val="-1"/>
          <w:sz w:val="20"/>
        </w:rPr>
        <w:t> </w:t>
      </w:r>
      <w:r>
        <w:rPr>
          <w:sz w:val="20"/>
        </w:rPr>
        <w:t>pravidla</w:t>
      </w:r>
      <w:r>
        <w:rPr>
          <w:spacing w:val="-1"/>
          <w:sz w:val="20"/>
        </w:rPr>
        <w:t> </w:t>
      </w:r>
      <w:r>
        <w:rPr>
          <w:sz w:val="20"/>
        </w:rPr>
        <w:t>byla</w:t>
      </w:r>
      <w:r>
        <w:rPr>
          <w:spacing w:val="-2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28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1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 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4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8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7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4"/>
          <w:sz w:val="20"/>
        </w:rPr>
        <w:t> </w:t>
      </w:r>
      <w:r>
        <w:rPr>
          <w:sz w:val="20"/>
        </w:rPr>
        <w:t>100</w:t>
      </w:r>
      <w:r>
        <w:rPr>
          <w:spacing w:val="4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1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200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7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zvláštních</w:t>
      </w:r>
      <w:r>
        <w:rPr>
          <w:spacing w:val="15"/>
          <w:sz w:val="20"/>
        </w:rPr>
        <w:t> </w:t>
      </w:r>
      <w:r>
        <w:rPr>
          <w:sz w:val="20"/>
        </w:rPr>
        <w:t>podmínkách</w:t>
      </w:r>
      <w:r>
        <w:rPr>
          <w:spacing w:val="15"/>
          <w:sz w:val="20"/>
        </w:rPr>
        <w:t> </w:t>
      </w:r>
      <w:r>
        <w:rPr>
          <w:sz w:val="20"/>
        </w:rPr>
        <w:t>účinnosti</w:t>
      </w:r>
      <w:r>
        <w:rPr>
          <w:spacing w:val="17"/>
          <w:sz w:val="20"/>
        </w:rPr>
        <w:t> </w:t>
      </w:r>
      <w:r>
        <w:rPr>
          <w:sz w:val="20"/>
        </w:rPr>
        <w:t>některých</w:t>
      </w:r>
      <w:r>
        <w:rPr>
          <w:spacing w:val="18"/>
          <w:sz w:val="20"/>
        </w:rPr>
        <w:t> </w:t>
      </w:r>
      <w:r>
        <w:rPr>
          <w:sz w:val="20"/>
        </w:rPr>
        <w:t>smluv,</w:t>
      </w:r>
      <w:r>
        <w:rPr>
          <w:spacing w:val="16"/>
          <w:sz w:val="20"/>
        </w:rPr>
        <w:t> </w:t>
      </w:r>
      <w:r>
        <w:rPr>
          <w:sz w:val="20"/>
        </w:rPr>
        <w:t>uveřejňování</w:t>
      </w:r>
      <w:r>
        <w:rPr>
          <w:spacing w:val="15"/>
          <w:sz w:val="20"/>
        </w:rPr>
        <w:t> </w:t>
      </w:r>
      <w:r>
        <w:rPr>
          <w:sz w:val="20"/>
        </w:rPr>
        <w:t>těchto</w:t>
      </w:r>
      <w:r>
        <w:rPr>
          <w:spacing w:val="16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3"/>
      </w:pPr>
      <w:r>
        <w:rPr/>
        <w:t>a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registru</w:t>
      </w:r>
      <w:r>
        <w:rPr>
          <w:spacing w:val="-7"/>
        </w:rPr>
        <w:t> </w:t>
      </w:r>
      <w:r>
        <w:rPr/>
        <w:t>smluv</w:t>
      </w:r>
      <w:r>
        <w:rPr>
          <w:spacing w:val="-10"/>
        </w:rPr>
        <w:t> </w:t>
      </w:r>
      <w:r>
        <w:rPr/>
        <w:t>(zákon</w:t>
      </w:r>
      <w:r>
        <w:rPr>
          <w:spacing w:val="-9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9"/>
        </w:rPr>
        <w:t> </w:t>
      </w:r>
      <w:r>
        <w:rPr/>
        <w:t>předpisů,</w:t>
      </w:r>
      <w:r>
        <w:rPr>
          <w:spacing w:val="-11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</w:t>
      </w:r>
      <w:r>
        <w:rPr>
          <w:spacing w:val="-52"/>
        </w:rPr>
        <w:t> </w:t>
      </w:r>
      <w:r>
        <w:rPr/>
        <w:t>tento</w:t>
      </w:r>
      <w:r>
        <w:rPr>
          <w:spacing w:val="-1"/>
        </w:rPr>
        <w:t> </w:t>
      </w:r>
      <w:r>
        <w:rPr/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51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2022-12-20T12:28:00Z</dcterms:created>
  <dcterms:modified xsi:type="dcterms:W3CDTF">2022-12-20T12:28:00Z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2022-12-20T00:00:00Z</vt:filetime>
  </property>
</Properties>
</file>