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tbl>
      <w:tblPr>
        <w:tblOverlap w:val="never"/>
        <w:jc w:val="center"/>
        <w:tblLayout w:type="fixed"/>
      </w:tblPr>
      <w:tblGrid>
        <w:gridCol w:w="1954"/>
        <w:gridCol w:w="8107"/>
      </w:tblGrid>
      <w:tr>
        <w:trPr>
          <w:trHeight w:val="46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3200" w:right="0" w:firstLine="0"/>
              <w:jc w:val="left"/>
              <w:rPr>
                <w:sz w:val="36"/>
                <w:szCs w:val="36"/>
              </w:rPr>
            </w:pPr>
            <w:r>
              <w:rPr>
                <w:b/>
                <w:bCs/>
                <w:color w:val="000000"/>
                <w:spacing w:val="0"/>
                <w:w w:val="100"/>
                <w:position w:val="0"/>
                <w:sz w:val="36"/>
                <w:szCs w:val="36"/>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1240" w:right="0" w:firstLine="0"/>
              <w:jc w:val="left"/>
              <w:rPr>
                <w:sz w:val="36"/>
                <w:szCs w:val="36"/>
              </w:rPr>
            </w:pPr>
            <w:r>
              <w:rPr>
                <w:color w:val="000000"/>
                <w:spacing w:val="0"/>
                <w:w w:val="100"/>
                <w:position w:val="0"/>
                <w:sz w:val="24"/>
                <w:szCs w:val="24"/>
                <w:shd w:val="clear" w:color="auto" w:fill="auto"/>
                <w:lang w:val="cs-CZ" w:eastAsia="cs-CZ" w:bidi="cs-CZ"/>
              </w:rPr>
              <w:t>na akci</w:t>
            </w:r>
            <w:r>
              <w:rPr>
                <w:color w:val="000000"/>
                <w:spacing w:val="0"/>
                <w:w w:val="100"/>
                <w:position w:val="0"/>
                <w:sz w:val="32"/>
                <w:szCs w:val="32"/>
                <w:shd w:val="clear" w:color="auto" w:fill="auto"/>
                <w:lang w:val="cs-CZ" w:eastAsia="cs-CZ" w:bidi="cs-CZ"/>
              </w:rPr>
              <w:t xml:space="preserve">: </w:t>
            </w:r>
            <w:r>
              <w:rPr>
                <w:b/>
                <w:bCs/>
                <w:color w:val="000000"/>
                <w:spacing w:val="0"/>
                <w:w w:val="100"/>
                <w:position w:val="0"/>
                <w:sz w:val="36"/>
                <w:szCs w:val="36"/>
                <w:shd w:val="clear" w:color="auto" w:fill="auto"/>
                <w:lang w:val="cs-CZ" w:eastAsia="cs-CZ" w:bidi="cs-CZ"/>
              </w:rPr>
              <w:t>II/639 Častrov, průtah</w:t>
            </w:r>
          </w:p>
        </w:tc>
      </w:tr>
    </w:tbl>
    <w:p>
      <w:pPr>
        <w:widowControl w:val="0"/>
        <w:spacing w:after="199" w:line="1" w:lineRule="exact"/>
      </w:pPr>
    </w:p>
    <w:p>
      <w:pPr>
        <w:pStyle w:val="Style21"/>
        <w:keepNext/>
        <w:keepLines/>
        <w:widowControl w:val="0"/>
        <w:shd w:val="clear" w:color="auto" w:fill="auto"/>
        <w:bidi w:val="0"/>
        <w:spacing w:before="0" w:after="440" w:line="240" w:lineRule="auto"/>
        <w:ind w:left="0" w:right="0" w:firstLine="0"/>
        <w:jc w:val="center"/>
      </w:pPr>
      <w:r>
        <mc:AlternateContent>
          <mc:Choice Requires="wps">
            <w:drawing>
              <wp:anchor distT="204470" distB="0" distL="6350" distR="0" simplePos="0" relativeHeight="125829378" behindDoc="0" locked="0" layoutInCell="1" allowOverlap="1">
                <wp:simplePos x="0" y="0"/>
                <wp:positionH relativeFrom="page">
                  <wp:posOffset>738505</wp:posOffset>
                </wp:positionH>
                <wp:positionV relativeFrom="paragraph">
                  <wp:posOffset>2058670</wp:posOffset>
                </wp:positionV>
                <wp:extent cx="6388735" cy="877570"/>
                <wp:wrapTopAndBottom/>
                <wp:docPr id="1" name="Shape 1"/>
                <a:graphic xmlns:a="http://schemas.openxmlformats.org/drawingml/2006/main">
                  <a:graphicData uri="http://schemas.microsoft.com/office/word/2010/wordprocessingShape">
                    <wps:wsp>
                      <wps:cNvSpPr txBox="1"/>
                      <wps:spPr>
                        <a:xfrm>
                          <a:ext cx="6388735" cy="877570"/>
                        </a:xfrm>
                        <a:prstGeom prst="rect"/>
                        <a:noFill/>
                      </wps:spPr>
                      <wps:txbx>
                        <w:txbxContent>
                          <w:tbl>
                            <w:tblPr>
                              <w:tblOverlap w:val="never"/>
                              <w:jc w:val="left"/>
                              <w:tblLayout w:type="fixed"/>
                            </w:tblPr>
                            <w:tblGrid>
                              <w:gridCol w:w="1954"/>
                              <w:gridCol w:w="8107"/>
                            </w:tblGrid>
                            <w:tr>
                              <w:trPr>
                                <w:tblHeader/>
                                <w:trHeight w:val="26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320" w:right="0" w:firstLine="0"/>
                                    <w:jc w:val="both"/>
                                  </w:pPr>
                                  <w:r>
                                    <w:rPr>
                                      <w:color w:val="000000"/>
                                      <w:spacing w:val="0"/>
                                      <w:w w:val="100"/>
                                      <w:position w:val="0"/>
                                      <w:sz w:val="24"/>
                                      <w:szCs w:val="24"/>
                                      <w:shd w:val="clear" w:color="auto" w:fill="auto"/>
                                      <w:lang w:val="cs-CZ" w:eastAsia="cs-CZ" w:bidi="cs-CZ"/>
                                    </w:rPr>
                                    <w:t>referent oddělení přípravy a realizace staveb</w:t>
                                  </w:r>
                                </w:p>
                              </w:tc>
                            </w:tr>
                            <w:tr>
                              <w:trPr>
                                <w:trHeight w:val="26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8.149999999999999pt;margin-top:162.09999999999999pt;width:503.05000000000001pt;height:69.099999999999994pt;z-index:-125829375;mso-wrap-distance-left:0.5pt;mso-wrap-distance-top:16.100000000000001pt;mso-wrap-distance-right:0;mso-position-horizontal-relative:page" filled="f" stroked="f">
                <v:textbox inset="0,0,0,0">
                  <w:txbxContent>
                    <w:tbl>
                      <w:tblPr>
                        <w:tblOverlap w:val="never"/>
                        <w:jc w:val="left"/>
                        <w:tblLayout w:type="fixed"/>
                      </w:tblPr>
                      <w:tblGrid>
                        <w:gridCol w:w="1954"/>
                        <w:gridCol w:w="8107"/>
                      </w:tblGrid>
                      <w:tr>
                        <w:trPr>
                          <w:tblHeader/>
                          <w:trHeight w:val="26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320" w:right="0" w:firstLine="0"/>
                              <w:jc w:val="both"/>
                            </w:pPr>
                            <w:r>
                              <w:rPr>
                                <w:color w:val="000000"/>
                                <w:spacing w:val="0"/>
                                <w:w w:val="100"/>
                                <w:position w:val="0"/>
                                <w:sz w:val="24"/>
                                <w:szCs w:val="24"/>
                                <w:shd w:val="clear" w:color="auto" w:fill="auto"/>
                                <w:lang w:val="cs-CZ" w:eastAsia="cs-CZ" w:bidi="cs-CZ"/>
                              </w:rPr>
                              <w:t>referent oddělení přípravy a realizace staveb</w:t>
                            </w:r>
                          </w:p>
                        </w:tc>
                      </w:tr>
                      <w:tr>
                        <w:trPr>
                          <w:trHeight w:val="26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732155</wp:posOffset>
                </wp:positionH>
                <wp:positionV relativeFrom="paragraph">
                  <wp:posOffset>1854200</wp:posOffset>
                </wp:positionV>
                <wp:extent cx="3364865" cy="204470"/>
                <wp:wrapNone/>
                <wp:docPr id="3" name="Shape 3"/>
                <a:graphic xmlns:a="http://schemas.openxmlformats.org/drawingml/2006/main">
                  <a:graphicData uri="http://schemas.microsoft.com/office/word/2010/wordprocessingShape">
                    <wps:wsp>
                      <wps:cNvSpPr txBox="1"/>
                      <wps:spPr>
                        <a:xfrm>
                          <a:ext cx="3364865" cy="204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29" type="#_x0000_t202" style="position:absolute;margin-left:57.649999999999999pt;margin-top:146.pt;width:264.94999999999999pt;height:16.100000000000001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0" distB="12700" distL="114300" distR="114300" simplePos="0" relativeHeight="125829380" behindDoc="0" locked="0" layoutInCell="1" allowOverlap="1">
                <wp:simplePos x="0" y="0"/>
                <wp:positionH relativeFrom="page">
                  <wp:posOffset>732155</wp:posOffset>
                </wp:positionH>
                <wp:positionV relativeFrom="paragraph">
                  <wp:posOffset>2895600</wp:posOffset>
                </wp:positionV>
                <wp:extent cx="2279650" cy="981710"/>
                <wp:wrapTopAndBottom/>
                <wp:docPr id="5" name="Shape 5"/>
                <a:graphic xmlns:a="http://schemas.openxmlformats.org/drawingml/2006/main">
                  <a:graphicData uri="http://schemas.microsoft.com/office/word/2010/wordprocessingShape">
                    <wps:wsp>
                      <wps:cNvSpPr txBox="1"/>
                      <wps:spPr>
                        <a:xfrm>
                          <a:ext cx="2279650" cy="9817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6"/>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31" type="#_x0000_t202" style="position:absolute;margin-left:57.649999999999999pt;margin-top:228.pt;width:179.5pt;height:77.299999999999997pt;z-index:-125829373;mso-wrap-distance-left:9.pt;mso-wrap-distance-right:9.pt;mso-wrap-distance-bottom: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6"/>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r>
        <mc:AlternateContent>
          <mc:Choice Requires="wps">
            <w:drawing>
              <wp:anchor distT="709930" distB="0" distL="6350" distR="0" simplePos="0" relativeHeight="125829382" behindDoc="0" locked="0" layoutInCell="1" allowOverlap="1">
                <wp:simplePos x="0" y="0"/>
                <wp:positionH relativeFrom="page">
                  <wp:posOffset>738505</wp:posOffset>
                </wp:positionH>
                <wp:positionV relativeFrom="paragraph">
                  <wp:posOffset>5167630</wp:posOffset>
                </wp:positionV>
                <wp:extent cx="6388735" cy="722630"/>
                <wp:wrapTopAndBottom/>
                <wp:docPr id="7" name="Shape 7"/>
                <a:graphic xmlns:a="http://schemas.openxmlformats.org/drawingml/2006/main">
                  <a:graphicData uri="http://schemas.microsoft.com/office/word/2010/wordprocessingShape">
                    <wps:wsp>
                      <wps:cNvSpPr txBox="1"/>
                      <wps:spPr>
                        <a:xfrm>
                          <a:ext cx="6388735" cy="722630"/>
                        </a:xfrm>
                        <a:prstGeom prst="rect"/>
                        <a:noFill/>
                      </wps:spPr>
                      <wps:txbx>
                        <w:txbxContent>
                          <w:tbl>
                            <w:tblPr>
                              <w:tblOverlap w:val="never"/>
                              <w:jc w:val="left"/>
                              <w:tblLayout w:type="fixed"/>
                            </w:tblPr>
                            <w:tblGrid>
                              <w:gridCol w:w="1954"/>
                              <w:gridCol w:w="8107"/>
                            </w:tblGrid>
                            <w:tr>
                              <w:trPr>
                                <w:tblHeader/>
                                <w:trHeight w:val="56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FIO banka</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02217791</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CZ02217791</w:t>
                                  </w: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58.149999999999999pt;margin-top:406.89999999999998pt;width:503.05000000000001pt;height:56.899999999999999pt;z-index:-125829371;mso-wrap-distance-left:0.5pt;mso-wrap-distance-top:55.899999999999999pt;mso-wrap-distance-right:0;mso-position-horizontal-relative:page" filled="f" stroked="f">
                <v:textbox inset="0,0,0,0">
                  <w:txbxContent>
                    <w:tbl>
                      <w:tblPr>
                        <w:tblOverlap w:val="never"/>
                        <w:jc w:val="left"/>
                        <w:tblLayout w:type="fixed"/>
                      </w:tblPr>
                      <w:tblGrid>
                        <w:gridCol w:w="1954"/>
                        <w:gridCol w:w="8107"/>
                      </w:tblGrid>
                      <w:tr>
                        <w:trPr>
                          <w:tblHeader/>
                          <w:trHeight w:val="56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FIO banka</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02217791</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sz w:val="24"/>
                                <w:szCs w:val="24"/>
                                <w:shd w:val="clear" w:color="auto" w:fill="auto"/>
                                <w:lang w:val="cs-CZ" w:eastAsia="cs-CZ" w:bidi="cs-CZ"/>
                              </w:rPr>
                              <w:t>CZ02217791</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732155</wp:posOffset>
                </wp:positionH>
                <wp:positionV relativeFrom="paragraph">
                  <wp:posOffset>4457700</wp:posOffset>
                </wp:positionV>
                <wp:extent cx="5050790" cy="731520"/>
                <wp:wrapNone/>
                <wp:docPr id="9" name="Shape 9"/>
                <a:graphic xmlns:a="http://schemas.openxmlformats.org/drawingml/2006/main">
                  <a:graphicData uri="http://schemas.microsoft.com/office/word/2010/wordprocessingShape">
                    <wps:wsp>
                      <wps:cNvSpPr txBox="1"/>
                      <wps:spPr>
                        <a:xfrm>
                          <a:ext cx="5050790" cy="7315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Městského soudu v Praze, 216815/MSPH, vložka C Osoby pověřené jednat jménem zhotovitele ve věcech smluvních: technických:</w:t>
                            </w:r>
                          </w:p>
                        </w:txbxContent>
                      </wps:txbx>
                      <wps:bodyPr lIns="0" tIns="0" rIns="0" bIns="0">
                        <a:noAutoFit/>
                      </wps:bodyPr>
                    </wps:wsp>
                  </a:graphicData>
                </a:graphic>
              </wp:anchor>
            </w:drawing>
          </mc:Choice>
          <mc:Fallback>
            <w:pict>
              <v:shape id="_x0000_s1035" type="#_x0000_t202" style="position:absolute;margin-left:57.649999999999999pt;margin-top:351.pt;width:397.69999999999999pt;height:57.600000000000001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Městského soudu v Praze, 216815/MSPH, vložka C Osoby pověřené jednat jménem zhotovitele ve věcech smluvních: technických:</w:t>
                      </w:r>
                    </w:p>
                  </w:txbxContent>
                </v:textbox>
                <w10:wrap anchorx="page"/>
              </v:shape>
            </w:pict>
          </mc:Fallback>
        </mc:AlternateContent>
      </w:r>
      <w:bookmarkStart w:id="2" w:name="bookmark2"/>
      <w:bookmarkStart w:id="3" w:name="bookmark3"/>
      <w:r>
        <w:rPr>
          <w:color w:val="000000"/>
          <w:spacing w:val="0"/>
          <w:w w:val="100"/>
          <w:position w:val="0"/>
          <w:sz w:val="24"/>
          <w:szCs w:val="24"/>
          <w:shd w:val="clear" w:color="auto" w:fill="auto"/>
          <w:lang w:val="cs-CZ" w:eastAsia="cs-CZ" w:bidi="cs-CZ"/>
        </w:rPr>
        <w:t>uzavřená podle § 1746 odst. 2 zákona č. 89/2012 Sb., občanský zákoník, v platném znění</w:t>
      </w:r>
      <w:bookmarkEnd w:id="2"/>
      <w:bookmarkEnd w:id="3"/>
    </w:p>
    <w:tbl>
      <w:tblPr>
        <w:tblOverlap w:val="never"/>
        <w:jc w:val="left"/>
        <w:tblLayout w:type="fixed"/>
      </w:tblPr>
      <w:tblGrid>
        <w:gridCol w:w="1954"/>
        <w:gridCol w:w="8107"/>
      </w:tblGrid>
      <w:tr>
        <w:trPr>
          <w:trHeight w:val="662" w:hRule="exact"/>
        </w:trPr>
        <w:tc>
          <w:tcPr>
            <w:tcBorders/>
            <w:shd w:val="clear" w:color="auto" w:fill="FFFFFF"/>
            <w:vAlign w:val="top"/>
          </w:tcPr>
          <w:p>
            <w:pPr>
              <w:framePr w:w="10061" w:h="1555" w:hSpace="5" w:vSpace="672" w:wrap="notBeside" w:vAnchor="text" w:hAnchor="text" w:x="18" w:y="673"/>
              <w:widowControl w:val="0"/>
              <w:rPr>
                <w:sz w:val="10"/>
                <w:szCs w:val="10"/>
              </w:rPr>
            </w:pPr>
          </w:p>
        </w:tc>
        <w:tc>
          <w:tcPr>
            <w:tcBorders/>
            <w:shd w:val="clear" w:color="auto" w:fill="FFFFFF"/>
            <w:vAlign w:val="bottom"/>
          </w:tcPr>
          <w:p>
            <w:pPr>
              <w:pStyle w:val="Style2"/>
              <w:keepNext w:val="0"/>
              <w:keepLines w:val="0"/>
              <w:framePr w:w="10061" w:h="1555" w:hSpace="5" w:vSpace="672" w:wrap="notBeside" w:vAnchor="text" w:hAnchor="text" w:x="18" w:y="673"/>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336" w:hRule="exact"/>
        </w:trPr>
        <w:tc>
          <w:tcPr>
            <w:tcBorders/>
            <w:shd w:val="clear" w:color="auto" w:fill="FFFFFF"/>
            <w:vAlign w:val="bottom"/>
          </w:tcPr>
          <w:p>
            <w:pPr>
              <w:pStyle w:val="Style2"/>
              <w:keepNext w:val="0"/>
              <w:keepLines w:val="0"/>
              <w:framePr w:w="10061" w:h="1555" w:hSpace="5" w:vSpace="672" w:wrap="notBeside" w:vAnchor="text" w:hAnchor="text" w:x="18" w:y="673"/>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2"/>
              <w:keepNext w:val="0"/>
              <w:keepLines w:val="0"/>
              <w:framePr w:w="10061" w:h="1555" w:hSpace="5" w:vSpace="672" w:wrap="notBeside" w:vAnchor="text" w:hAnchor="text" w:x="18" w:y="673"/>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bottom"/>
          </w:tcPr>
          <w:p>
            <w:pPr>
              <w:pStyle w:val="Style2"/>
              <w:keepNext w:val="0"/>
              <w:keepLines w:val="0"/>
              <w:framePr w:w="10061" w:h="1555" w:hSpace="5" w:vSpace="672" w:wrap="notBeside" w:vAnchor="text" w:hAnchor="text" w:x="18" w:y="6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framePr w:w="10061" w:h="1555" w:hSpace="5" w:vSpace="672" w:wrap="notBeside" w:vAnchor="text" w:hAnchor="text" w:x="18" w:y="673"/>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2"/>
              <w:keepNext w:val="0"/>
              <w:keepLines w:val="0"/>
              <w:framePr w:w="10061" w:h="1555" w:hSpace="5" w:vSpace="672" w:wrap="notBeside" w:vAnchor="text" w:hAnchor="text" w:x="18" w:y="673"/>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framePr w:w="10061" w:h="1555" w:hSpace="5" w:vSpace="672" w:wrap="notBeside" w:vAnchor="text" w:hAnchor="text" w:x="18" w:y="673"/>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Ing. Radovanem Necidem ředitelem organizace</w:t>
            </w:r>
          </w:p>
        </w:tc>
      </w:tr>
    </w:tbl>
    <w:p>
      <w:pPr>
        <w:pStyle w:val="Style4"/>
        <w:keepNext w:val="0"/>
        <w:keepLines w:val="0"/>
        <w:framePr w:w="9562" w:h="451" w:hSpace="12" w:wrap="notBeside" w:vAnchor="text" w:hAnchor="text" w:x="13"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4"/>
        <w:keepNext w:val="0"/>
        <w:keepLines w:val="0"/>
        <w:framePr w:w="9562" w:h="451" w:hSpace="12" w:wrap="notBeside" w:vAnchor="text" w:hAnchor="text" w:x="13"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w:t>
      </w:r>
    </w:p>
    <w:p>
      <w:pPr>
        <w:widowControl w:val="0"/>
        <w:spacing w:after="99" w:line="1" w:lineRule="exact"/>
      </w:pPr>
    </w:p>
    <w:p>
      <w:pPr>
        <w:widowControl w:val="0"/>
        <w:spacing w:after="99" w:line="1" w:lineRule="exact"/>
      </w:pPr>
    </w:p>
    <w:tbl>
      <w:tblPr>
        <w:tblOverlap w:val="never"/>
        <w:jc w:val="center"/>
        <w:tblLayout w:type="fixed"/>
      </w:tblPr>
      <w:tblGrid>
        <w:gridCol w:w="1954"/>
        <w:gridCol w:w="8107"/>
      </w:tblGrid>
      <w:tr>
        <w:trPr>
          <w:trHeight w:val="2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CS road construction s.r.o.</w:t>
            </w:r>
          </w:p>
        </w:tc>
      </w:tr>
      <w:tr>
        <w:trPr>
          <w:trHeight w:val="29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Bělehradská 858/23, Vinohrady (Praha 2), 120 00 Praha</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Danielem Ballou, DiS.</w:t>
            </w:r>
          </w:p>
        </w:tc>
      </w:tr>
    </w:tbl>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6"/>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 “)</w:t>
      </w:r>
    </w:p>
    <w:p>
      <w:pPr>
        <w:pStyle w:val="Style6"/>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 xml:space="preserve">s tím, že TDS je oprávněn provádět činnosti technického dozoru stavebníka dle zákona č. 360/1992 Sb., o výkonu povolání autorizovaných architektů </w:t>
      </w:r>
      <w:r>
        <w:rPr>
          <w:color w:val="000000"/>
          <w:spacing w:val="0"/>
          <w:w w:val="100"/>
          <w:position w:val="0"/>
          <w:sz w:val="24"/>
          <w:szCs w:val="24"/>
          <w:shd w:val="clear" w:color="auto" w:fill="auto"/>
          <w:lang w:val="cs-CZ" w:eastAsia="cs-CZ" w:bidi="cs-CZ"/>
        </w:rPr>
        <w:t>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1"/>
        <w:keepNext/>
        <w:keepLines/>
        <w:widowControl w:val="0"/>
        <w:shd w:val="clear" w:color="auto" w:fill="auto"/>
        <w:bidi w:val="0"/>
        <w:spacing w:before="0" w:after="34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Předmět smlouvy</w:t>
      </w:r>
      <w:bookmarkEnd w:id="4"/>
      <w:bookmarkEnd w:id="5"/>
    </w:p>
    <w:p>
      <w:pPr>
        <w:pStyle w:val="Style6"/>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Z důvodu nutnosti navýšení počtu hodin výkonu TDS na staveništi a s tím spojené práce v kanceláři oproti původnímu předpokladu, se smluvní strany dohodly na uzavření této smlouvy a TDS se zavazuje pro objednatele vykonávat funkci technického dozoru stavebníka na staveništi</w:t>
      </w:r>
    </w:p>
    <w:p>
      <w:pPr>
        <w:pStyle w:val="Style21"/>
        <w:keepNext/>
        <w:keepLines/>
        <w:widowControl w:val="0"/>
        <w:shd w:val="clear" w:color="auto" w:fill="auto"/>
        <w:tabs>
          <w:tab w:pos="1330" w:val="left"/>
        </w:tabs>
        <w:bidi w:val="0"/>
        <w:spacing w:before="0" w:after="340" w:line="240" w:lineRule="auto"/>
        <w:ind w:left="0" w:right="0" w:firstLine="0"/>
        <w:jc w:val="both"/>
      </w:pPr>
      <w:bookmarkStart w:id="6" w:name="bookmark6"/>
      <w:bookmarkStart w:id="7" w:name="bookmark7"/>
      <w:r>
        <w:rPr>
          <w:b w:val="0"/>
          <w:bCs w:val="0"/>
          <w:color w:val="000000"/>
          <w:spacing w:val="0"/>
          <w:w w:val="100"/>
          <w:position w:val="0"/>
          <w:sz w:val="24"/>
          <w:szCs w:val="24"/>
          <w:shd w:val="clear" w:color="auto" w:fill="auto"/>
          <w:lang w:val="cs-CZ" w:eastAsia="cs-CZ" w:bidi="cs-CZ"/>
        </w:rPr>
        <w:t>na akci:</w:t>
        <w:tab/>
      </w:r>
      <w:r>
        <w:rPr>
          <w:color w:val="000000"/>
          <w:spacing w:val="0"/>
          <w:w w:val="100"/>
          <w:position w:val="0"/>
          <w:sz w:val="24"/>
          <w:szCs w:val="24"/>
          <w:shd w:val="clear" w:color="auto" w:fill="auto"/>
          <w:lang w:val="cs-CZ" w:eastAsia="cs-CZ" w:bidi="cs-CZ"/>
        </w:rPr>
        <w:t>II/639 Častrov, průtah</w:t>
      </w:r>
      <w:bookmarkEnd w:id="6"/>
      <w:bookmarkEnd w:id="7"/>
    </w:p>
    <w:p>
      <w:pPr>
        <w:pStyle w:val="Style6"/>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6"/>
        <w:keepNext w:val="0"/>
        <w:keepLines w:val="0"/>
        <w:widowControl w:val="0"/>
        <w:numPr>
          <w:ilvl w:val="0"/>
          <w:numId w:val="1"/>
        </w:numPr>
        <w:shd w:val="clear" w:color="auto" w:fill="auto"/>
        <w:tabs>
          <w:tab w:pos="710" w:val="left"/>
        </w:tabs>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6"/>
        <w:keepNext w:val="0"/>
        <w:keepLines w:val="0"/>
        <w:widowControl w:val="0"/>
        <w:numPr>
          <w:ilvl w:val="0"/>
          <w:numId w:val="1"/>
        </w:numPr>
        <w:shd w:val="clear" w:color="auto" w:fill="auto"/>
        <w:tabs>
          <w:tab w:pos="710"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21"/>
        <w:keepNext/>
        <w:keepLines/>
        <w:widowControl w:val="0"/>
        <w:shd w:val="clear" w:color="auto" w:fill="auto"/>
        <w:bidi w:val="0"/>
        <w:spacing w:before="0" w:after="52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Rozsah a obsah předmětu plnění</w:t>
      </w:r>
      <w:bookmarkEnd w:id="8"/>
      <w:bookmarkEnd w:id="9"/>
    </w:p>
    <w:p>
      <w:pPr>
        <w:pStyle w:val="Style6"/>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w:t>
      </w:r>
    </w:p>
    <w:p>
      <w:pPr>
        <w:pStyle w:val="Style6"/>
        <w:keepNext w:val="0"/>
        <w:keepLines w:val="0"/>
        <w:widowControl w:val="0"/>
        <w:shd w:val="clear" w:color="auto" w:fill="auto"/>
        <w:bidi w:val="0"/>
        <w:spacing w:before="0" w:after="120" w:line="240" w:lineRule="auto"/>
        <w:ind w:left="0" w:right="0" w:firstLine="0"/>
        <w:jc w:val="both"/>
      </w:pPr>
      <w:r>
        <w:rPr>
          <w:b/>
          <w:bCs/>
          <w:color w:val="000000"/>
          <w:spacing w:val="0"/>
          <w:w w:val="100"/>
          <w:position w:val="0"/>
          <w:sz w:val="24"/>
          <w:szCs w:val="24"/>
          <w:shd w:val="clear" w:color="auto" w:fill="auto"/>
          <w:lang w:val="cs-CZ" w:eastAsia="cs-CZ" w:bidi="cs-CZ"/>
        </w:rPr>
        <w:t>Práce spojené s prováděním stavby spočívající zejména v činnostech:</w:t>
      </w:r>
    </w:p>
    <w:p>
      <w:pPr>
        <w:pStyle w:val="Style6"/>
        <w:keepNext w:val="0"/>
        <w:keepLines w:val="0"/>
        <w:widowControl w:val="0"/>
        <w:shd w:val="clear" w:color="auto" w:fill="auto"/>
        <w:tabs>
          <w:tab w:pos="1129" w:val="left"/>
        </w:tabs>
        <w:bidi w:val="0"/>
        <w:spacing w:before="0" w:after="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w:t>
        <w:tab/>
      </w: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w:t>
      </w:r>
    </w:p>
    <w:p>
      <w:pPr>
        <w:pStyle w:val="Style6"/>
        <w:keepNext w:val="0"/>
        <w:keepLines w:val="0"/>
        <w:widowControl w:val="0"/>
        <w:shd w:val="clear" w:color="auto" w:fill="auto"/>
        <w:bidi w:val="0"/>
        <w:spacing w:before="0" w:after="120" w:line="240" w:lineRule="auto"/>
        <w:ind w:left="1140" w:right="0" w:firstLine="0"/>
        <w:jc w:val="left"/>
      </w:pPr>
      <w:r>
        <w:rPr>
          <w:b/>
          <w:bCs/>
          <w:color w:val="000000"/>
          <w:spacing w:val="0"/>
          <w:w w:val="100"/>
          <w:position w:val="0"/>
          <w:sz w:val="24"/>
          <w:szCs w:val="24"/>
          <w:shd w:val="clear" w:color="auto" w:fill="auto"/>
          <w:lang w:val="cs-CZ" w:eastAsia="cs-CZ" w:bidi="cs-CZ"/>
        </w:rPr>
        <w:t>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6"/>
        <w:keepNext w:val="0"/>
        <w:keepLines w:val="0"/>
        <w:widowControl w:val="0"/>
        <w:numPr>
          <w:ilvl w:val="0"/>
          <w:numId w:val="3"/>
        </w:numPr>
        <w:shd w:val="clear" w:color="auto" w:fill="auto"/>
        <w:tabs>
          <w:tab w:pos="1129" w:val="left"/>
        </w:tabs>
        <w:bidi w:val="0"/>
        <w:spacing w:before="0" w:after="120" w:line="240" w:lineRule="auto"/>
        <w:ind w:left="1140" w:right="0" w:hanging="420"/>
        <w:jc w:val="both"/>
      </w:pPr>
      <w:r>
        <w:rPr>
          <w:color w:val="212121"/>
          <w:spacing w:val="0"/>
          <w:w w:val="100"/>
          <w:position w:val="0"/>
          <w:sz w:val="24"/>
          <w:szCs w:val="24"/>
          <w:shd w:val="clear" w:color="auto" w:fill="auto"/>
          <w:lang w:val="cs-CZ" w:eastAsia="cs-CZ" w:bidi="cs-CZ"/>
        </w:rPr>
        <w:t>fyzická přítomnost a výkon technického dozoru stavebníka na staveništi při zahájení pokládky asfaltových vrstev</w:t>
      </w:r>
    </w:p>
    <w:p>
      <w:pPr>
        <w:pStyle w:val="Style6"/>
        <w:keepNext w:val="0"/>
        <w:keepLines w:val="0"/>
        <w:widowControl w:val="0"/>
        <w:numPr>
          <w:ilvl w:val="0"/>
          <w:numId w:val="3"/>
        </w:numPr>
        <w:shd w:val="clear" w:color="auto" w:fill="auto"/>
        <w:tabs>
          <w:tab w:pos="1129" w:val="left"/>
        </w:tabs>
        <w:bidi w:val="0"/>
        <w:spacing w:before="0" w:after="120" w:line="233" w:lineRule="auto"/>
        <w:ind w:left="1140" w:right="0" w:hanging="420"/>
        <w:jc w:val="both"/>
      </w:pP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6"/>
        <w:keepNext w:val="0"/>
        <w:keepLines w:val="0"/>
        <w:widowControl w:val="0"/>
        <w:numPr>
          <w:ilvl w:val="0"/>
          <w:numId w:val="3"/>
        </w:numPr>
        <w:shd w:val="clear" w:color="auto" w:fill="auto"/>
        <w:tabs>
          <w:tab w:pos="1129" w:val="left"/>
        </w:tabs>
        <w:bidi w:val="0"/>
        <w:spacing w:before="0" w:after="120" w:line="240" w:lineRule="auto"/>
        <w:ind w:left="1140" w:right="0" w:hanging="420"/>
        <w:jc w:val="both"/>
      </w:pP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6"/>
        <w:keepNext w:val="0"/>
        <w:keepLines w:val="0"/>
        <w:widowControl w:val="0"/>
        <w:numPr>
          <w:ilvl w:val="0"/>
          <w:numId w:val="3"/>
        </w:numPr>
        <w:shd w:val="clear" w:color="auto" w:fill="auto"/>
        <w:tabs>
          <w:tab w:pos="1129" w:val="left"/>
        </w:tabs>
        <w:bidi w:val="0"/>
        <w:spacing w:before="0" w:after="180" w:line="240" w:lineRule="auto"/>
        <w:ind w:left="1140" w:right="0" w:hanging="420"/>
        <w:jc w:val="both"/>
        <w:sectPr>
          <w:headerReference w:type="default" r:id="rId5"/>
          <w:footerReference w:type="default" r:id="rId6"/>
          <w:footnotePr>
            <w:pos w:val="pageBottom"/>
            <w:numFmt w:val="decimal"/>
            <w:numRestart w:val="continuous"/>
          </w:footnotePr>
          <w:pgSz w:w="12240" w:h="15840"/>
          <w:pgMar w:top="1517" w:left="1151" w:right="1000" w:bottom="1517" w:header="0"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widowControl w:val="0"/>
        <w:jc w:val="center"/>
        <w:rPr>
          <w:sz w:val="2"/>
          <w:szCs w:val="2"/>
        </w:rPr>
      </w:pPr>
      <w:r>
        <w:drawing>
          <wp:inline>
            <wp:extent cx="1493520" cy="84137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pic:blipFill>
                  <pic:spPr>
                    <a:xfrm>
                      <a:ext cx="1493520" cy="841375"/>
                    </a:xfrm>
                    <a:prstGeom prst="rect"/>
                  </pic:spPr>
                </pic:pic>
              </a:graphicData>
            </a:graphic>
          </wp:inline>
        </w:drawing>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dodržování schválených technologických postupů</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6"/>
        <w:keepNext w:val="0"/>
        <w:keepLines w:val="0"/>
        <w:widowControl w:val="0"/>
        <w:shd w:val="clear" w:color="auto" w:fill="auto"/>
        <w:bidi w:val="0"/>
        <w:spacing w:before="0" w:after="12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6"/>
        <w:keepNext w:val="0"/>
        <w:keepLines w:val="0"/>
        <w:widowControl w:val="0"/>
        <w:shd w:val="clear" w:color="auto" w:fill="auto"/>
        <w:bidi w:val="0"/>
        <w:spacing w:before="0" w:after="12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6"/>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6"/>
        <w:keepNext w:val="0"/>
        <w:keepLines w:val="0"/>
        <w:widowControl w:val="0"/>
        <w:shd w:val="clear" w:color="auto" w:fill="auto"/>
        <w:bidi w:val="0"/>
        <w:spacing w:before="0" w:after="12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6"/>
        <w:keepNext w:val="0"/>
        <w:keepLines w:val="0"/>
        <w:widowControl w:val="0"/>
        <w:shd w:val="clear" w:color="auto" w:fill="auto"/>
        <w:bidi w:val="0"/>
        <w:spacing w:before="0" w:after="12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6"/>
        <w:keepNext w:val="0"/>
        <w:keepLines w:val="0"/>
        <w:widowControl w:val="0"/>
        <w:shd w:val="clear" w:color="auto" w:fill="auto"/>
        <w:bidi w:val="0"/>
        <w:spacing w:before="0" w:after="78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1"/>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Článek 4</w:t>
      </w:r>
      <w:bookmarkEnd w:id="10"/>
      <w:bookmarkEnd w:id="11"/>
    </w:p>
    <w:p>
      <w:pPr>
        <w:pStyle w:val="Style21"/>
        <w:keepNext/>
        <w:keepLines/>
        <w:widowControl w:val="0"/>
        <w:shd w:val="clear" w:color="auto" w:fill="auto"/>
        <w:bidi w:val="0"/>
        <w:spacing w:before="0" w:after="12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Čas plnění</w:t>
      </w:r>
      <w:bookmarkEnd w:id="12"/>
      <w:bookmarkEnd w:id="13"/>
    </w:p>
    <w:p>
      <w:pPr>
        <w:pStyle w:val="Style6"/>
        <w:keepNext w:val="0"/>
        <w:keepLines w:val="0"/>
        <w:widowControl w:val="0"/>
        <w:numPr>
          <w:ilvl w:val="0"/>
          <w:numId w:val="5"/>
        </w:numPr>
        <w:shd w:val="clear" w:color="auto" w:fill="auto"/>
        <w:tabs>
          <w:tab w:pos="566" w:val="left"/>
        </w:tabs>
        <w:bidi w:val="0"/>
        <w:spacing w:before="0" w:after="120" w:line="240" w:lineRule="auto"/>
        <w:ind w:left="0" w:right="0" w:firstLine="0"/>
        <w:jc w:val="both"/>
        <w:sectPr>
          <w:headerReference w:type="default" r:id="rId9"/>
          <w:footerReference w:type="default" r:id="rId10"/>
          <w:footnotePr>
            <w:pos w:val="pageBottom"/>
            <w:numFmt w:val="decimal"/>
            <w:numRestart w:val="continuous"/>
          </w:footnotePr>
          <w:pgSz w:w="12240" w:h="15840"/>
          <w:pgMar w:top="139" w:left="1152" w:right="998" w:bottom="87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TDS ukončí činnost předáním a převzetím dokončené stavby mezi zhotovitelem a objednatelem na základě předávacího protokolu.</w:t>
      </w:r>
    </w:p>
    <w:p>
      <w:pPr>
        <w:pStyle w:val="Style6"/>
        <w:keepNext w:val="0"/>
        <w:keepLines w:val="0"/>
        <w:widowControl w:val="0"/>
        <w:shd w:val="clear" w:color="auto" w:fill="auto"/>
        <w:bidi w:val="0"/>
        <w:spacing w:before="22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6"/>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z w:val="24"/>
          <w:szCs w:val="24"/>
          <w:shd w:val="clear" w:color="auto" w:fill="auto"/>
          <w:lang w:val="cs-CZ" w:eastAsia="cs-CZ" w:bidi="cs-CZ"/>
        </w:rPr>
        <w:t>Odměna TDS, platební podmínky</w:t>
      </w:r>
    </w:p>
    <w:p>
      <w:pPr>
        <w:pStyle w:val="Style6"/>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6"/>
        <w:keepNext w:val="0"/>
        <w:keepLines w:val="0"/>
        <w:widowControl w:val="0"/>
        <w:shd w:val="clear" w:color="auto" w:fill="auto"/>
        <w:bidi w:val="0"/>
        <w:spacing w:before="0" w:after="240" w:line="240" w:lineRule="auto"/>
        <w:ind w:left="1100" w:right="0" w:firstLine="0"/>
        <w:jc w:val="left"/>
      </w:pPr>
      <w:r>
        <w:rPr>
          <w:b/>
          <w:bCs/>
          <w:color w:val="000000"/>
          <w:spacing w:val="0"/>
          <w:w w:val="100"/>
          <w:position w:val="0"/>
          <w:sz w:val="24"/>
          <w:szCs w:val="24"/>
          <w:u w:val="single"/>
          <w:shd w:val="clear" w:color="auto" w:fill="auto"/>
          <w:lang w:val="cs-CZ" w:eastAsia="cs-CZ" w:bidi="cs-CZ"/>
        </w:rPr>
        <w:t>Výkon TDS - práce spojené s prováděním stavby</w:t>
      </w:r>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TDS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500 Kč bez DPH</w:t>
            </w:r>
          </w:p>
        </w:tc>
      </w:tr>
      <w:tr>
        <w:trPr>
          <w:trHeight w:val="40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Předpoklad 38 hodin práce v kanceláři</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19. 000 Kč bez DPH</w:t>
            </w:r>
          </w:p>
        </w:tc>
      </w:tr>
      <w:tr>
        <w:trPr>
          <w:trHeight w:val="68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TDS na staveništi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600 Kč bez DPH</w:t>
            </w:r>
          </w:p>
        </w:tc>
      </w:tr>
      <w:tr>
        <w:trPr>
          <w:trHeight w:val="413"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Předpoklad 31 hodin na staveništi</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18.600 Kč bez DPH</w:t>
            </w:r>
          </w:p>
        </w:tc>
      </w:tr>
    </w:tbl>
    <w:p>
      <w:pPr>
        <w:widowControl w:val="0"/>
        <w:spacing w:after="539" w:line="1" w:lineRule="exact"/>
      </w:pPr>
    </w:p>
    <w:p>
      <w:pPr>
        <w:pStyle w:val="Style6"/>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 (čas strávený cestou na/ze staveniště se do času výkonu TDS na staveništi nepočítá).</w:t>
      </w:r>
    </w:p>
    <w:p>
      <w:pPr>
        <w:pStyle w:val="Style6"/>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6"/>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6"/>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6"/>
        <w:keepNext w:val="0"/>
        <w:keepLines w:val="0"/>
        <w:widowControl w:val="0"/>
        <w:numPr>
          <w:ilvl w:val="0"/>
          <w:numId w:val="7"/>
        </w:numPr>
        <w:shd w:val="clear" w:color="auto" w:fill="auto"/>
        <w:tabs>
          <w:tab w:pos="571" w:val="left"/>
        </w:tabs>
        <w:bidi w:val="0"/>
        <w:spacing w:before="0" w:line="226" w:lineRule="auto"/>
        <w:ind w:left="0" w:right="0" w:firstLine="0"/>
        <w:jc w:val="both"/>
      </w:pPr>
      <w:r>
        <w:rPr>
          <w:color w:val="000000"/>
          <w:spacing w:val="0"/>
          <w:w w:val="100"/>
          <w:position w:val="0"/>
          <w:sz w:val="24"/>
          <w:szCs w:val="24"/>
          <w:shd w:val="clear" w:color="auto" w:fill="auto"/>
          <w:lang w:val="cs-CZ" w:eastAsia="cs-CZ" w:bidi="cs-CZ"/>
        </w:rPr>
        <w:t>Cena za dílo může být upravena (zvýšena či snížena) dodatky k této smlouvě v případě změny zákonných sazeb DPH.</w:t>
      </w:r>
    </w:p>
    <w:p>
      <w:pPr>
        <w:pStyle w:val="Style6"/>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6"/>
        <w:keepNext w:val="0"/>
        <w:keepLines w:val="0"/>
        <w:widowControl w:val="0"/>
        <w:numPr>
          <w:ilvl w:val="0"/>
          <w:numId w:val="7"/>
        </w:numPr>
        <w:shd w:val="clear" w:color="auto" w:fill="auto"/>
        <w:tabs>
          <w:tab w:pos="571" w:val="left"/>
        </w:tabs>
        <w:bidi w:val="0"/>
        <w:spacing w:before="0" w:line="226"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6"/>
        <w:keepNext w:val="0"/>
        <w:keepLines w:val="0"/>
        <w:widowControl w:val="0"/>
        <w:numPr>
          <w:ilvl w:val="0"/>
          <w:numId w:val="7"/>
        </w:numPr>
        <w:shd w:val="clear" w:color="auto" w:fill="auto"/>
        <w:tabs>
          <w:tab w:pos="571" w:val="left"/>
        </w:tabs>
        <w:bidi w:val="0"/>
        <w:spacing w:before="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6"/>
        <w:keepNext w:val="0"/>
        <w:keepLines w:val="0"/>
        <w:widowControl w:val="0"/>
        <w:numPr>
          <w:ilvl w:val="0"/>
          <w:numId w:val="7"/>
        </w:numPr>
        <w:shd w:val="clear" w:color="auto" w:fill="auto"/>
        <w:tabs>
          <w:tab w:pos="645"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6"/>
        <w:keepNext w:val="0"/>
        <w:keepLines w:val="0"/>
        <w:widowControl w:val="0"/>
        <w:numPr>
          <w:ilvl w:val="0"/>
          <w:numId w:val="7"/>
        </w:numPr>
        <w:shd w:val="clear" w:color="auto" w:fill="auto"/>
        <w:tabs>
          <w:tab w:pos="645"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Pokud se po dobu účinnosti této smlouvy TDS stane nespolehlivým plátcem ve smyslu ustanovení § 109 odst. 3 zákona o DPH, smluvní strany se dohodly, že objednatel uhradí DPH za zdanitelné plnění </w:t>
      </w:r>
      <w:r>
        <w:rPr>
          <w:color w:val="000000"/>
          <w:spacing w:val="0"/>
          <w:w w:val="100"/>
          <w:position w:val="0"/>
          <w:sz w:val="24"/>
          <w:szCs w:val="24"/>
          <w:shd w:val="clear" w:color="auto" w:fill="auto"/>
          <w:lang w:val="cs-CZ" w:eastAsia="cs-CZ" w:bidi="cs-CZ"/>
        </w:rPr>
        <w:t>přímo příslušnému správci daně. Objednatelem takto provedená úhrada je považována za uhrazení příslušné části smluvní ceny rovnající se výši DPH fakturované TDS.</w:t>
      </w:r>
    </w:p>
    <w:p>
      <w:pPr>
        <w:pStyle w:val="Style6"/>
        <w:keepNext w:val="0"/>
        <w:keepLines w:val="0"/>
        <w:widowControl w:val="0"/>
        <w:numPr>
          <w:ilvl w:val="0"/>
          <w:numId w:val="7"/>
        </w:numPr>
        <w:shd w:val="clear" w:color="auto" w:fill="auto"/>
        <w:tabs>
          <w:tab w:pos="65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6"/>
        <w:keepNext w:val="0"/>
        <w:keepLines w:val="0"/>
        <w:widowControl w:val="0"/>
        <w:numPr>
          <w:ilvl w:val="0"/>
          <w:numId w:val="7"/>
        </w:numPr>
        <w:shd w:val="clear" w:color="auto" w:fill="auto"/>
        <w:tabs>
          <w:tab w:pos="65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ti dnů ode dne, kdy objednatel obdrží oprávněně vystavený daňový doklad.</w:t>
      </w:r>
    </w:p>
    <w:p>
      <w:pPr>
        <w:pStyle w:val="Style6"/>
        <w:keepNext w:val="0"/>
        <w:keepLines w:val="0"/>
        <w:widowControl w:val="0"/>
        <w:numPr>
          <w:ilvl w:val="0"/>
          <w:numId w:val="7"/>
        </w:numPr>
        <w:shd w:val="clear" w:color="auto" w:fill="auto"/>
        <w:tabs>
          <w:tab w:pos="652"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6"/>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z w:val="24"/>
          <w:szCs w:val="24"/>
          <w:shd w:val="clear" w:color="auto" w:fill="auto"/>
          <w:lang w:val="cs-CZ" w:eastAsia="cs-CZ" w:bidi="cs-CZ"/>
        </w:rPr>
        <w:t>Práva a povinnosti smluvních stran</w:t>
      </w:r>
    </w:p>
    <w:p>
      <w:pPr>
        <w:pStyle w:val="Style6"/>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6"/>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r>
        <w:rPr>
          <w:b/>
          <w:bCs/>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9"/>
        </w:numPr>
        <w:shd w:val="clear" w:color="auto" w:fill="auto"/>
        <w:tabs>
          <w:tab w:pos="572" w:val="left"/>
        </w:tabs>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6"/>
        <w:keepNext w:val="0"/>
        <w:keepLines w:val="0"/>
        <w:widowControl w:val="0"/>
        <w:shd w:val="clear" w:color="auto" w:fill="auto"/>
        <w:bidi w:val="0"/>
        <w:spacing w:before="0" w:after="0" w:line="240" w:lineRule="auto"/>
        <w:ind w:left="1320" w:right="0" w:firstLine="0"/>
        <w:jc w:val="left"/>
      </w:pPr>
      <w:r>
        <w:rPr>
          <w:b/>
          <w:bCs/>
          <w:color w:val="000000"/>
          <w:spacing w:val="0"/>
          <w:w w:val="100"/>
          <w:position w:val="0"/>
          <w:sz w:val="24"/>
          <w:szCs w:val="24"/>
          <w:shd w:val="clear" w:color="auto" w:fill="auto"/>
          <w:lang w:val="cs-CZ" w:eastAsia="cs-CZ" w:bidi="cs-CZ"/>
        </w:rPr>
        <w:t>Odpovědný TDS - Dopravní stavby, nekolejová doprava + Mosty a inženýrské konstrukce</w:t>
      </w:r>
    </w:p>
    <w:p>
      <w:pPr>
        <w:pStyle w:val="Style6"/>
        <w:keepNext w:val="0"/>
        <w:keepLines w:val="0"/>
        <w:widowControl w:val="0"/>
        <w:shd w:val="clear" w:color="auto" w:fill="auto"/>
        <w:bidi w:val="0"/>
        <w:spacing w:before="0" w:after="220" w:line="240" w:lineRule="auto"/>
        <w:ind w:left="1320" w:right="0" w:firstLine="0"/>
        <w:jc w:val="both"/>
      </w:pPr>
      <w:r>
        <w:rPr>
          <w:color w:val="000000"/>
          <w:spacing w:val="0"/>
          <w:w w:val="100"/>
          <w:position w:val="0"/>
          <w:sz w:val="24"/>
          <w:szCs w:val="24"/>
          <w:shd w:val="clear" w:color="auto" w:fill="auto"/>
          <w:lang w:val="cs-CZ" w:eastAsia="cs-CZ" w:bidi="cs-CZ"/>
        </w:rPr>
        <w:t>Mosty a inženýrské konstrukce -</w:t>
      </w:r>
    </w:p>
    <w:p>
      <w:pPr>
        <w:pStyle w:val="Style6"/>
        <w:keepNext w:val="0"/>
        <w:keepLines w:val="0"/>
        <w:widowControl w:val="0"/>
        <w:shd w:val="clear" w:color="auto" w:fill="auto"/>
        <w:bidi w:val="0"/>
        <w:spacing w:before="0" w:after="220" w:line="240" w:lineRule="auto"/>
        <w:ind w:left="1320" w:right="0" w:firstLine="0"/>
        <w:jc w:val="both"/>
      </w:pPr>
      <w:r>
        <w:rPr>
          <w:color w:val="000000"/>
          <w:spacing w:val="0"/>
          <w:w w:val="100"/>
          <w:position w:val="0"/>
          <w:sz w:val="24"/>
          <w:szCs w:val="24"/>
          <w:shd w:val="clear" w:color="auto" w:fill="auto"/>
          <w:lang w:val="cs-CZ" w:eastAsia="cs-CZ" w:bidi="cs-CZ"/>
        </w:rPr>
        <w:t>Dopravní stavby, nekolejová doprava -</w:t>
      </w:r>
    </w:p>
    <w:p>
      <w:pPr>
        <w:pStyle w:val="Style6"/>
        <w:keepNext w:val="0"/>
        <w:keepLines w:val="0"/>
        <w:widowControl w:val="0"/>
        <w:numPr>
          <w:ilvl w:val="0"/>
          <w:numId w:val="9"/>
        </w:numPr>
        <w:shd w:val="clear" w:color="auto" w:fill="auto"/>
        <w:tabs>
          <w:tab w:pos="572"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Dodavatel odpovídá za plnění těchto osob tak, jako by plnil sám</w:t>
      </w:r>
      <w:r>
        <w:rPr>
          <w:color w:val="000000"/>
          <w:spacing w:val="0"/>
          <w:w w:val="100"/>
          <w:position w:val="0"/>
          <w:sz w:val="24"/>
          <w:szCs w:val="24"/>
          <w:shd w:val="clear" w:color="auto" w:fill="auto"/>
          <w:lang w:val="cs-CZ" w:eastAsia="cs-CZ" w:bidi="cs-CZ"/>
        </w:rPr>
        <w:t xml:space="preserve">. 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6"/>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6"/>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6"/>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6"/>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1"/>
        <w:keepNext/>
        <w:keepLines/>
        <w:widowControl w:val="0"/>
        <w:shd w:val="clear" w:color="auto" w:fill="auto"/>
        <w:bidi w:val="0"/>
        <w:spacing w:before="0" w:after="50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Změna závazku</w:t>
      </w:r>
      <w:bookmarkEnd w:id="14"/>
      <w:bookmarkEnd w:id="15"/>
    </w:p>
    <w:p>
      <w:pPr>
        <w:pStyle w:val="Style6"/>
        <w:keepNext w:val="0"/>
        <w:keepLines w:val="0"/>
        <w:widowControl w:val="0"/>
        <w:numPr>
          <w:ilvl w:val="0"/>
          <w:numId w:val="11"/>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6"/>
        <w:keepNext w:val="0"/>
        <w:keepLines w:val="0"/>
        <w:widowControl w:val="0"/>
        <w:numPr>
          <w:ilvl w:val="0"/>
          <w:numId w:val="11"/>
        </w:numPr>
        <w:shd w:val="clear" w:color="auto" w:fill="auto"/>
        <w:tabs>
          <w:tab w:pos="573" w:val="left"/>
        </w:tabs>
        <w:bidi w:val="0"/>
        <w:spacing w:before="0" w:after="660" w:line="240" w:lineRule="auto"/>
        <w:ind w:left="0" w:right="0" w:firstLine="0"/>
        <w:jc w:val="both"/>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1"/>
        <w:keepNext/>
        <w:keepLines/>
        <w:widowControl w:val="0"/>
        <w:shd w:val="clear" w:color="auto" w:fill="auto"/>
        <w:bidi w:val="0"/>
        <w:spacing w:before="0" w:after="50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Sankce</w:t>
      </w:r>
      <w:bookmarkEnd w:id="16"/>
      <w:bookmarkEnd w:id="17"/>
    </w:p>
    <w:p>
      <w:pPr>
        <w:pStyle w:val="Style6"/>
        <w:keepNext w:val="0"/>
        <w:keepLines w:val="0"/>
        <w:widowControl w:val="0"/>
        <w:numPr>
          <w:ilvl w:val="0"/>
          <w:numId w:val="13"/>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 je možné ukládat opakovaně, dokud nedojde ke zjednání nápravy.</w:t>
      </w:r>
    </w:p>
    <w:p>
      <w:pPr>
        <w:pStyle w:val="Style6"/>
        <w:keepNext w:val="0"/>
        <w:keepLines w:val="0"/>
        <w:widowControl w:val="0"/>
        <w:numPr>
          <w:ilvl w:val="0"/>
          <w:numId w:val="13"/>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6"/>
        <w:keepNext w:val="0"/>
        <w:keepLines w:val="0"/>
        <w:widowControl w:val="0"/>
        <w:numPr>
          <w:ilvl w:val="0"/>
          <w:numId w:val="13"/>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ve výši 0,2 % z dlužné částky za každý den prodlení.</w:t>
      </w:r>
    </w:p>
    <w:p>
      <w:pPr>
        <w:pStyle w:val="Style6"/>
        <w:keepNext w:val="0"/>
        <w:keepLines w:val="0"/>
        <w:widowControl w:val="0"/>
        <w:numPr>
          <w:ilvl w:val="0"/>
          <w:numId w:val="13"/>
        </w:numPr>
        <w:shd w:val="clear" w:color="auto" w:fill="auto"/>
        <w:tabs>
          <w:tab w:pos="573"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21"/>
        <w:keepNext/>
        <w:keepLines/>
        <w:widowControl w:val="0"/>
        <w:shd w:val="clear" w:color="auto" w:fill="auto"/>
        <w:bidi w:val="0"/>
        <w:spacing w:before="0" w:after="50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Odpovědnost za škodu</w:t>
      </w:r>
      <w:bookmarkEnd w:id="18"/>
      <w:bookmarkEnd w:id="19"/>
    </w:p>
    <w:p>
      <w:pPr>
        <w:pStyle w:val="Style6"/>
        <w:keepNext w:val="0"/>
        <w:keepLines w:val="0"/>
        <w:widowControl w:val="0"/>
        <w:numPr>
          <w:ilvl w:val="0"/>
          <w:numId w:val="15"/>
        </w:numPr>
        <w:shd w:val="clear" w:color="auto" w:fill="auto"/>
        <w:tabs>
          <w:tab w:pos="573"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6"/>
        <w:keepNext w:val="0"/>
        <w:keepLines w:val="0"/>
        <w:widowControl w:val="0"/>
        <w:numPr>
          <w:ilvl w:val="0"/>
          <w:numId w:val="15"/>
        </w:numPr>
        <w:shd w:val="clear" w:color="auto" w:fill="auto"/>
        <w:tabs>
          <w:tab w:pos="573"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 Kč</w:t>
      </w:r>
      <w:r>
        <w:rPr>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15"/>
        </w:numPr>
        <w:shd w:val="clear" w:color="auto" w:fill="auto"/>
        <w:tabs>
          <w:tab w:pos="573"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1"/>
        <w:keepNext/>
        <w:keepLines/>
        <w:widowControl w:val="0"/>
        <w:shd w:val="clear" w:color="auto" w:fill="auto"/>
        <w:bidi w:val="0"/>
        <w:spacing w:before="0" w:after="50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Ostatní ujednání, závěrečná ustanovení</w:t>
      </w:r>
      <w:bookmarkEnd w:id="20"/>
      <w:bookmarkEnd w:id="21"/>
    </w:p>
    <w:p>
      <w:pPr>
        <w:pStyle w:val="Style6"/>
        <w:keepNext w:val="0"/>
        <w:keepLines w:val="0"/>
        <w:widowControl w:val="0"/>
        <w:numPr>
          <w:ilvl w:val="0"/>
          <w:numId w:val="17"/>
        </w:numPr>
        <w:shd w:val="clear" w:color="auto" w:fill="auto"/>
        <w:tabs>
          <w:tab w:pos="680" w:val="left"/>
        </w:tabs>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6"/>
        <w:keepNext w:val="0"/>
        <w:keepLines w:val="0"/>
        <w:widowControl w:val="0"/>
        <w:numPr>
          <w:ilvl w:val="0"/>
          <w:numId w:val="1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6"/>
        <w:keepNext w:val="0"/>
        <w:keepLines w:val="0"/>
        <w:widowControl w:val="0"/>
        <w:numPr>
          <w:ilvl w:val="0"/>
          <w:numId w:val="1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6"/>
        <w:keepNext w:val="0"/>
        <w:keepLines w:val="0"/>
        <w:widowControl w:val="0"/>
        <w:numPr>
          <w:ilvl w:val="0"/>
          <w:numId w:val="1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6"/>
        <w:keepNext w:val="0"/>
        <w:keepLines w:val="0"/>
        <w:widowControl w:val="0"/>
        <w:numPr>
          <w:ilvl w:val="0"/>
          <w:numId w:val="1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6"/>
        <w:keepNext w:val="0"/>
        <w:keepLines w:val="0"/>
        <w:widowControl w:val="0"/>
        <w:numPr>
          <w:ilvl w:val="0"/>
          <w:numId w:val="1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6"/>
        <w:keepNext w:val="0"/>
        <w:keepLines w:val="0"/>
        <w:widowControl w:val="0"/>
        <w:numPr>
          <w:ilvl w:val="0"/>
          <w:numId w:val="1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6"/>
        <w:keepNext w:val="0"/>
        <w:keepLines w:val="0"/>
        <w:widowControl w:val="0"/>
        <w:numPr>
          <w:ilvl w:val="0"/>
          <w:numId w:val="1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Tato Smlouva je vyhotovena v </w:t>
      </w:r>
      <w:r>
        <w:rPr>
          <w:b/>
          <w:bCs/>
          <w:color w:val="000000"/>
          <w:spacing w:val="0"/>
          <w:w w:val="100"/>
          <w:position w:val="0"/>
          <w:sz w:val="24"/>
          <w:szCs w:val="24"/>
          <w:shd w:val="clear" w:color="auto" w:fill="auto"/>
          <w:lang w:val="cs-CZ" w:eastAsia="cs-CZ" w:bidi="cs-CZ"/>
        </w:rPr>
        <w:t>elektronické podobě</w:t>
      </w:r>
      <w:r>
        <w:rPr>
          <w:color w:val="000000"/>
          <w:spacing w:val="0"/>
          <w:w w:val="100"/>
          <w:position w:val="0"/>
          <w:sz w:val="24"/>
          <w:szCs w:val="24"/>
          <w:shd w:val="clear" w:color="auto" w:fill="auto"/>
          <w:lang w:val="cs-CZ" w:eastAsia="cs-CZ" w:bidi="cs-CZ"/>
        </w:rPr>
        <w:t>, přičemž obě smluvní strany obdrží její elektronický originál.</w:t>
      </w:r>
    </w:p>
    <w:p>
      <w:pPr>
        <w:pStyle w:val="Style6"/>
        <w:keepNext w:val="0"/>
        <w:keepLines w:val="0"/>
        <w:widowControl w:val="0"/>
        <w:numPr>
          <w:ilvl w:val="0"/>
          <w:numId w:val="1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6"/>
        <w:keepNext w:val="0"/>
        <w:keepLines w:val="0"/>
        <w:widowControl w:val="0"/>
        <w:numPr>
          <w:ilvl w:val="0"/>
          <w:numId w:val="17"/>
        </w:numPr>
        <w:shd w:val="clear" w:color="auto" w:fill="auto"/>
        <w:tabs>
          <w:tab w:pos="74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Smlouvu bude dle vůle smluvních stran v souladu s příslušnými právními předpisy, zejména ve lhůtách stanovených příslušnými právními předpisy, zveřejňovat Objednatel.</w:t>
      </w:r>
    </w:p>
    <w:p>
      <w:pPr>
        <w:pStyle w:val="Style6"/>
        <w:keepNext w:val="0"/>
        <w:keepLines w:val="0"/>
        <w:widowControl w:val="0"/>
        <w:numPr>
          <w:ilvl w:val="0"/>
          <w:numId w:val="17"/>
        </w:numPr>
        <w:shd w:val="clear" w:color="auto" w:fill="auto"/>
        <w:tabs>
          <w:tab w:pos="73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platná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6"/>
        <w:keepNext w:val="0"/>
        <w:keepLines w:val="0"/>
        <w:widowControl w:val="0"/>
        <w:numPr>
          <w:ilvl w:val="0"/>
          <w:numId w:val="17"/>
        </w:numPr>
        <w:shd w:val="clear" w:color="auto" w:fill="auto"/>
        <w:tabs>
          <w:tab w:pos="717"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účinná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jejího uveřejnění v registru smluv.</w:t>
      </w:r>
      <w:r>
        <w:br w:type="page"/>
      </w:r>
    </w:p>
    <w:p>
      <w:pPr>
        <w:pStyle w:val="Style6"/>
        <w:keepNext w:val="0"/>
        <w:keepLines w:val="0"/>
        <w:widowControl w:val="0"/>
        <w:numPr>
          <w:ilvl w:val="0"/>
          <w:numId w:val="17"/>
        </w:numPr>
        <w:shd w:val="clear" w:color="auto" w:fill="auto"/>
        <w:tabs>
          <w:tab w:pos="800" w:val="left"/>
        </w:tabs>
        <w:bidi w:val="0"/>
        <w:spacing w:before="0" w:after="90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6"/>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6"/>
        <w:keepNext w:val="0"/>
        <w:keepLines w:val="0"/>
        <w:widowControl w:val="0"/>
        <w:shd w:val="clear" w:color="auto" w:fill="auto"/>
        <w:bidi w:val="0"/>
        <w:spacing w:before="0" w:after="900" w:line="240" w:lineRule="auto"/>
        <w:ind w:left="0" w:right="0" w:firstLine="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pStyle w:val="Style6"/>
        <w:keepNext w:val="0"/>
        <w:keepLines w:val="0"/>
        <w:widowControl w:val="0"/>
        <w:shd w:val="clear" w:color="auto" w:fill="auto"/>
        <w:bidi w:val="0"/>
        <w:spacing w:before="0" w:after="1500" w:line="240" w:lineRule="auto"/>
        <w:ind w:left="0" w:right="0" w:firstLine="0"/>
        <w:jc w:val="both"/>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6"/>
        <w:keepNext w:val="0"/>
        <w:keepLines w:val="0"/>
        <w:widowControl w:val="0"/>
        <w:shd w:val="clear" w:color="auto" w:fill="auto"/>
        <w:bidi w:val="0"/>
        <w:spacing w:before="0" w:after="900" w:line="240" w:lineRule="auto"/>
        <w:ind w:left="0" w:right="0" w:firstLine="0"/>
        <w:jc w:val="center"/>
      </w:pPr>
      <w:r>
        <mc:AlternateContent>
          <mc:Choice Requires="wps">
            <w:drawing>
              <wp:anchor distT="0" distB="755650" distL="114300" distR="269875" simplePos="0" relativeHeight="125829384" behindDoc="0" locked="0" layoutInCell="1" allowOverlap="1">
                <wp:simplePos x="0" y="0"/>
                <wp:positionH relativeFrom="page">
                  <wp:posOffset>728980</wp:posOffset>
                </wp:positionH>
                <wp:positionV relativeFrom="paragraph">
                  <wp:posOffset>12700</wp:posOffset>
                </wp:positionV>
                <wp:extent cx="377825" cy="201295"/>
                <wp:wrapSquare wrapText="bothSides"/>
                <wp:docPr id="24" name="Shape 24"/>
                <a:graphic xmlns:a="http://schemas.openxmlformats.org/drawingml/2006/main">
                  <a:graphicData uri="http://schemas.microsoft.com/office/word/2010/wordprocessingShape">
                    <wps:wsp>
                      <wps:cNvSpPr txBox="1"/>
                      <wps:spPr>
                        <a:xfrm>
                          <a:ext cx="377825" cy="2012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wps:txbx>
                      <wps:bodyPr wrap="none" lIns="0" tIns="0" rIns="0" bIns="0">
                        <a:noAutoFit/>
                      </wps:bodyPr>
                    </wps:wsp>
                  </a:graphicData>
                </a:graphic>
              </wp:anchor>
            </w:drawing>
          </mc:Choice>
          <mc:Fallback>
            <w:pict>
              <v:shape id="_x0000_s1050" type="#_x0000_t202" style="position:absolute;margin-left:57.399999999999999pt;margin-top:1.pt;width:29.75pt;height:15.85pt;z-index:-125829369;mso-wrap-distance-left:9.pt;mso-wrap-distance-right:21.25pt;mso-wrap-distance-bottom:59.5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v:textbox>
                <w10:wrap type="square" anchorx="page"/>
              </v:shape>
            </w:pict>
          </mc:Fallback>
        </mc:AlternateContent>
      </w:r>
      <w:r>
        <mc:AlternateContent>
          <mc:Choice Requires="wps">
            <w:drawing>
              <wp:anchor distT="755650" distB="0" distL="114300" distR="114300" simplePos="0" relativeHeight="125829386" behindDoc="0" locked="0" layoutInCell="1" allowOverlap="1">
                <wp:simplePos x="0" y="0"/>
                <wp:positionH relativeFrom="page">
                  <wp:posOffset>728980</wp:posOffset>
                </wp:positionH>
                <wp:positionV relativeFrom="paragraph">
                  <wp:posOffset>768350</wp:posOffset>
                </wp:positionV>
                <wp:extent cx="533400" cy="201295"/>
                <wp:wrapSquare wrapText="bothSides"/>
                <wp:docPr id="26" name="Shape 26"/>
                <a:graphic xmlns:a="http://schemas.openxmlformats.org/drawingml/2006/main">
                  <a:graphicData uri="http://schemas.microsoft.com/office/word/2010/wordprocessingShape">
                    <wps:wsp>
                      <wps:cNvSpPr txBox="1"/>
                      <wps:spPr>
                        <a:xfrm>
                          <a:ext cx="533400" cy="2012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w:t>
                            </w:r>
                          </w:p>
                        </w:txbxContent>
                      </wps:txbx>
                      <wps:bodyPr wrap="none" lIns="0" tIns="0" rIns="0" bIns="0">
                        <a:noAutoFit/>
                      </wps:bodyPr>
                    </wps:wsp>
                  </a:graphicData>
                </a:graphic>
              </wp:anchor>
            </w:drawing>
          </mc:Choice>
          <mc:Fallback>
            <w:pict>
              <v:shape id="_x0000_s1052" type="#_x0000_t202" style="position:absolute;margin-left:57.399999999999999pt;margin-top:60.5pt;width:42.pt;height:15.85pt;z-index:-125829367;mso-wrap-distance-left:9.pt;mso-wrap-distance-top:59.5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Objednatel:</w:t>
      </w:r>
    </w:p>
    <w:p>
      <w:pPr>
        <w:pStyle w:val="Style6"/>
        <w:keepNext w:val="0"/>
        <w:keepLines w:val="0"/>
        <w:widowControl w:val="0"/>
        <w:shd w:val="clear" w:color="auto" w:fill="auto"/>
        <w:bidi w:val="0"/>
        <w:spacing w:before="0" w:after="1720" w:line="240" w:lineRule="auto"/>
        <w:ind w:left="0" w:right="0" w:firstLine="0"/>
        <w:jc w:val="center"/>
      </w:pPr>
      <w:r>
        <w:rPr>
          <w:color w:val="000000"/>
          <w:spacing w:val="0"/>
          <w:w w:val="100"/>
          <w:position w:val="0"/>
          <w:sz w:val="24"/>
          <w:szCs w:val="24"/>
          <w:shd w:val="clear" w:color="auto" w:fill="auto"/>
          <w:lang w:val="cs-CZ" w:eastAsia="cs-CZ" w:bidi="cs-CZ"/>
        </w:rPr>
        <w:t>V Jihlavě</w:t>
      </w:r>
    </w:p>
    <w:tbl>
      <w:tblPr>
        <w:tblOverlap w:val="never"/>
        <w:jc w:val="right"/>
        <w:tblLayout w:type="fixed"/>
      </w:tblPr>
      <w:tblGrid>
        <w:gridCol w:w="2851"/>
        <w:gridCol w:w="5285"/>
      </w:tblGrid>
      <w:tr>
        <w:trPr>
          <w:trHeight w:val="83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Daniel Balla, DiS. Jednatel společnosti</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 Ředitel organizace</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Krajská správa a údržba silnic Vysočiny, p.o.</w:t>
            </w:r>
          </w:p>
        </w:tc>
      </w:tr>
    </w:tbl>
    <w:p>
      <w:pPr>
        <w:sectPr>
          <w:headerReference w:type="default" r:id="rId11"/>
          <w:footerReference w:type="default" r:id="rId12"/>
          <w:headerReference w:type="first" r:id="rId13"/>
          <w:footerReference w:type="first" r:id="rId14"/>
          <w:footnotePr>
            <w:pos w:val="pageBottom"/>
            <w:numFmt w:val="decimal"/>
            <w:numRestart w:val="continuous"/>
          </w:footnotePr>
          <w:pgSz w:w="12240" w:h="15840"/>
          <w:pgMar w:top="1517" w:left="1141" w:right="995" w:bottom="1426" w:header="0" w:footer="3" w:gutter="0"/>
          <w:cols w:space="720"/>
          <w:noEndnote/>
          <w:titlePg/>
          <w:rtlGutter w:val="0"/>
          <w:docGrid w:linePitch="360"/>
        </w:sectPr>
      </w:pPr>
    </w:p>
    <w:tbl>
      <w:tblPr>
        <w:tblOverlap w:val="never"/>
        <w:jc w:val="center"/>
        <w:tblLayout w:type="fixed"/>
      </w:tblPr>
      <w:tblGrid>
        <w:gridCol w:w="557"/>
        <w:gridCol w:w="5832"/>
        <w:gridCol w:w="1512"/>
        <w:gridCol w:w="1637"/>
      </w:tblGrid>
      <w:tr>
        <w:trPr>
          <w:trHeight w:val="504"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Příloha č. 1</w:t>
            </w:r>
          </w:p>
        </w:tc>
      </w:tr>
      <w:tr>
        <w:trPr>
          <w:trHeight w:val="552"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427"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"II/639 Častrov, průtah"</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792" w:hRule="exact"/>
        </w:trPr>
        <w:tc>
          <w:tcPr>
            <w:gridSpan w:val="2"/>
            <w:tcBorders>
              <w:top w:val="single" w:sz="4"/>
              <w:left w:val="single" w:sz="4"/>
            </w:tcBorders>
            <w:shd w:val="clear" w:color="auto" w:fill="D8E4BD"/>
            <w:vAlign w:val="bottom"/>
          </w:tcPr>
          <w:p>
            <w:pPr>
              <w:pStyle w:val="Style2"/>
              <w:keepNext w:val="0"/>
              <w:keepLines w:val="0"/>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Výkon TDS - práce spojené s prováděním stavby</w:t>
            </w:r>
          </w:p>
          <w:p>
            <w:pPr>
              <w:pStyle w:val="Style2"/>
              <w:keepNext w:val="0"/>
              <w:keepLines w:val="0"/>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19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 xml:space="preserve">c e l k em za 38 hodin </w:t>
            </w:r>
            <w:r>
              <w:rPr>
                <w:b/>
                <w:bCs/>
                <w:i/>
                <w:iCs/>
                <w:color w:val="000000"/>
                <w:spacing w:val="0"/>
                <w:w w:val="100"/>
                <w:position w:val="0"/>
                <w:sz w:val="18"/>
                <w:szCs w:val="18"/>
                <w:shd w:val="clear" w:color="auto" w:fill="auto"/>
                <w:vertAlign w:val="subscript"/>
                <w:lang w:val="cs-CZ" w:eastAsia="cs-CZ" w:bidi="cs-CZ"/>
              </w:rPr>
              <w:t>*</w:t>
            </w:r>
          </w:p>
        </w:tc>
      </w:tr>
      <w:tr>
        <w:trPr>
          <w:trHeight w:val="883"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v kanceláři</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předpokládané </w:t>
            </w:r>
            <w:r>
              <w:rPr>
                <w:b/>
                <w:bCs/>
                <w:color w:val="000000"/>
                <w:spacing w:val="0"/>
                <w:w w:val="100"/>
                <w:position w:val="0"/>
                <w:sz w:val="18"/>
                <w:szCs w:val="18"/>
                <w:shd w:val="clear" w:color="auto" w:fill="auto"/>
                <w:lang w:val="cs-CZ" w:eastAsia="cs-CZ" w:bidi="cs-CZ"/>
              </w:rPr>
              <w:t>náklady bez nároku na cestovné</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38 hodin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500,00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left"/>
              <w:rPr>
                <w:sz w:val="18"/>
                <w:szCs w:val="18"/>
              </w:rPr>
            </w:pPr>
            <w:r>
              <w:rPr>
                <w:color w:val="000000"/>
                <w:spacing w:val="0"/>
                <w:w w:val="100"/>
                <w:position w:val="0"/>
                <w:sz w:val="18"/>
                <w:szCs w:val="18"/>
                <w:shd w:val="clear" w:color="auto" w:fill="auto"/>
                <w:lang w:val="cs-CZ" w:eastAsia="cs-CZ" w:bidi="cs-CZ"/>
              </w:rPr>
              <w:t>19 000, 0 0 Kč</w:t>
            </w:r>
          </w:p>
        </w:tc>
      </w:tr>
      <w:tr>
        <w:trPr>
          <w:trHeight w:val="566"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2.</w:t>
            </w:r>
          </w:p>
        </w:tc>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na staveništi</w:t>
            </w:r>
          </w:p>
          <w:p>
            <w:pPr>
              <w:pStyle w:val="Style2"/>
              <w:keepNext w:val="0"/>
              <w:keepLines w:val="0"/>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2"/>
              <w:keepNext w:val="0"/>
              <w:keepLines w:val="0"/>
              <w:widowControl w:val="0"/>
              <w:shd w:val="clear" w:color="auto" w:fill="auto"/>
              <w:bidi w:val="0"/>
              <w:spacing w:before="0" w:after="0" w:line="266"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v předpokládaném rozsahu </w:t>
            </w:r>
            <w:r>
              <w:rPr>
                <w:b/>
                <w:bCs/>
                <w:color w:val="000000"/>
                <w:spacing w:val="0"/>
                <w:w w:val="100"/>
                <w:position w:val="0"/>
                <w:sz w:val="18"/>
                <w:szCs w:val="18"/>
                <w:shd w:val="clear" w:color="auto" w:fill="auto"/>
                <w:lang w:val="cs-CZ" w:eastAsia="cs-CZ" w:bidi="cs-CZ"/>
              </w:rPr>
              <w:t>31 hodin (čas strávený cestou na/ze staveniště se do času výkonu TDS na staveništi nepočítá)</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600,00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 e l k e m z a 3 1 h o d i n *</w:t>
            </w:r>
          </w:p>
        </w:tc>
      </w:tr>
      <w:tr>
        <w:trPr>
          <w:trHeight w:val="658"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left"/>
              <w:rPr>
                <w:sz w:val="18"/>
                <w:szCs w:val="18"/>
              </w:rPr>
            </w:pPr>
            <w:r>
              <w:rPr>
                <w:color w:val="000000"/>
                <w:spacing w:val="0"/>
                <w:w w:val="100"/>
                <w:position w:val="0"/>
                <w:sz w:val="18"/>
                <w:szCs w:val="18"/>
                <w:shd w:val="clear" w:color="auto" w:fill="auto"/>
                <w:lang w:val="cs-CZ" w:eastAsia="cs-CZ" w:bidi="cs-CZ"/>
              </w:rPr>
              <w:t>1 8 6 0 0 , 0 0 Kč</w:t>
            </w:r>
          </w:p>
        </w:tc>
      </w:tr>
      <w:tr>
        <w:trPr>
          <w:trHeight w:val="523"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za výkon TDS při provádění stavby celkem</w:t>
            </w:r>
          </w:p>
        </w:tc>
        <w:tc>
          <w:tcPr>
            <w:tcBorders>
              <w:top w:val="single" w:sz="4"/>
              <w:left w:val="single" w:sz="4"/>
            </w:tcBorders>
            <w:shd w:val="clear" w:color="auto" w:fill="D8E4BD"/>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2"/>
              <w:keepNext w:val="0"/>
              <w:keepLines w:val="0"/>
              <w:widowControl w:val="0"/>
              <w:shd w:val="clear" w:color="auto" w:fill="auto"/>
              <w:bidi w:val="0"/>
              <w:spacing w:before="0" w:after="0" w:line="240" w:lineRule="auto"/>
              <w:ind w:left="0" w:right="0" w:firstLine="580"/>
              <w:jc w:val="left"/>
              <w:rPr>
                <w:sz w:val="18"/>
                <w:szCs w:val="18"/>
              </w:rPr>
            </w:pPr>
            <w:r>
              <w:rPr>
                <w:b/>
                <w:bCs/>
                <w:color w:val="000000"/>
                <w:spacing w:val="0"/>
                <w:w w:val="100"/>
                <w:position w:val="0"/>
                <w:sz w:val="18"/>
                <w:szCs w:val="18"/>
                <w:shd w:val="clear" w:color="auto" w:fill="auto"/>
                <w:lang w:val="cs-CZ" w:eastAsia="cs-CZ" w:bidi="cs-CZ"/>
              </w:rPr>
              <w:t>37 600,00 Kč</w:t>
            </w:r>
          </w:p>
        </w:tc>
      </w:tr>
      <w:tr>
        <w:trPr>
          <w:trHeight w:val="518" w:hRule="exact"/>
        </w:trPr>
        <w:tc>
          <w:tcPr>
            <w:gridSpan w:val="2"/>
            <w:tcBorders>
              <w:top w:val="single" w:sz="4"/>
              <w:left w:val="single" w:sz="4"/>
            </w:tcBorders>
            <w:shd w:val="clear" w:color="auto" w:fill="C3D79A"/>
            <w:vAlign w:val="bottom"/>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w:t>
            </w:r>
          </w:p>
        </w:tc>
        <w:tc>
          <w:tcPr>
            <w:tcBorders>
              <w:top w:val="single" w:sz="4"/>
              <w:left w:val="single" w:sz="4"/>
            </w:tcBorders>
            <w:shd w:val="clear" w:color="auto" w:fill="C3D79A"/>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80"/>
              <w:jc w:val="left"/>
              <w:rPr>
                <w:sz w:val="18"/>
                <w:szCs w:val="18"/>
              </w:rPr>
            </w:pPr>
            <w:r>
              <w:rPr>
                <w:b/>
                <w:bCs/>
                <w:color w:val="000000"/>
                <w:spacing w:val="0"/>
                <w:w w:val="100"/>
                <w:position w:val="0"/>
                <w:sz w:val="18"/>
                <w:szCs w:val="18"/>
                <w:shd w:val="clear" w:color="auto" w:fill="auto"/>
                <w:lang w:val="cs-CZ" w:eastAsia="cs-CZ" w:bidi="cs-CZ"/>
              </w:rPr>
              <w:t>37 600,00 Kč</w:t>
            </w:r>
          </w:p>
        </w:tc>
      </w:tr>
      <w:tr>
        <w:trPr>
          <w:trHeight w:val="490" w:hRule="exact"/>
        </w:trPr>
        <w:tc>
          <w:tcPr>
            <w:gridSpan w:val="2"/>
            <w:tcBorders>
              <w:top w:val="single" w:sz="4"/>
              <w:left w:val="single" w:sz="4"/>
            </w:tcBorders>
            <w:shd w:val="clear" w:color="auto" w:fill="C3D79A"/>
            <w:vAlign w:val="bottom"/>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C3D79A"/>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7 896,00 Kč</w:t>
            </w:r>
          </w:p>
        </w:tc>
      </w:tr>
      <w:tr>
        <w:trPr>
          <w:trHeight w:val="662" w:hRule="exact"/>
        </w:trPr>
        <w:tc>
          <w:tcPr>
            <w:gridSpan w:val="2"/>
            <w:tcBorders>
              <w:top w:val="single" w:sz="4"/>
              <w:left w:val="single" w:sz="4"/>
              <w:bottom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80"/>
              <w:jc w:val="left"/>
              <w:rPr>
                <w:sz w:val="18"/>
                <w:szCs w:val="18"/>
              </w:rPr>
            </w:pPr>
            <w:r>
              <w:rPr>
                <w:b/>
                <w:bCs/>
                <w:color w:val="000000"/>
                <w:spacing w:val="0"/>
                <w:w w:val="100"/>
                <w:position w:val="0"/>
                <w:sz w:val="18"/>
                <w:szCs w:val="18"/>
                <w:shd w:val="clear" w:color="auto" w:fill="auto"/>
                <w:lang w:val="cs-CZ" w:eastAsia="cs-CZ" w:bidi="cs-CZ"/>
              </w:rPr>
              <w:t>45 496,00 Kč</w:t>
            </w:r>
          </w:p>
        </w:tc>
      </w:tr>
    </w:tbl>
    <w:p>
      <w:pPr>
        <w:pStyle w:val="Style4"/>
        <w:keepNext w:val="0"/>
        <w:keepLines w:val="0"/>
        <w:widowControl w:val="0"/>
        <w:shd w:val="clear" w:color="auto" w:fill="auto"/>
        <w:bidi w:val="0"/>
        <w:spacing w:before="0" w:after="0" w:line="240" w:lineRule="auto"/>
        <w:ind w:left="658" w:right="0" w:firstLine="0"/>
        <w:jc w:val="left"/>
        <w:rPr>
          <w:sz w:val="16"/>
          <w:szCs w:val="16"/>
        </w:rPr>
        <w:sectPr>
          <w:headerReference w:type="default" r:id="rId15"/>
          <w:footerReference w:type="default" r:id="rId16"/>
          <w:footnotePr>
            <w:pos w:val="pageBottom"/>
            <w:numFmt w:val="decimal"/>
            <w:numRestart w:val="continuous"/>
          </w:footnotePr>
          <w:pgSz w:w="12240" w:h="15840"/>
          <w:pgMar w:top="990" w:left="1181" w:right="970" w:bottom="6154" w:header="562" w:footer="5726" w:gutter="0"/>
          <w:cols w:space="720"/>
          <w:noEndnote/>
          <w:rtlGutter w:val="0"/>
          <w:docGrid w:linePitch="360"/>
        </w:sectPr>
      </w:pPr>
      <w:r>
        <w:rPr>
          <w:b/>
          <w:bCs/>
          <w:i/>
          <w:iCs/>
          <w:color w:val="000000"/>
          <w:spacing w:val="0"/>
          <w:w w:val="100"/>
          <w:position w:val="0"/>
          <w:sz w:val="16"/>
          <w:szCs w:val="16"/>
          <w:shd w:val="clear" w:color="auto" w:fill="auto"/>
          <w:lang w:val="cs-CZ" w:eastAsia="cs-CZ" w:bidi="cs-CZ"/>
        </w:rPr>
        <w:t>Tabulka pro zpracování ceny plnění bude jako příloha nedílnou součástí Smlouvy o zajištění výkonu TDS na staveništi.</w:t>
      </w:r>
    </w:p>
    <w:p>
      <w:pPr>
        <w:widowControl w:val="0"/>
        <w:spacing w:line="119" w:lineRule="exact"/>
        <w:rPr>
          <w:sz w:val="10"/>
          <w:szCs w:val="10"/>
        </w:rPr>
      </w:pPr>
    </w:p>
    <w:p>
      <w:pPr>
        <w:widowControl w:val="0"/>
        <w:spacing w:line="1" w:lineRule="exact"/>
        <w:sectPr>
          <w:footnotePr>
            <w:pos w:val="pageBottom"/>
            <w:numFmt w:val="decimal"/>
            <w:numRestart w:val="continuous"/>
          </w:footnotePr>
          <w:type w:val="continuous"/>
          <w:pgSz w:w="12240" w:h="15840"/>
          <w:pgMar w:top="990" w:left="0" w:right="0" w:bottom="990" w:header="0" w:footer="3" w:gutter="0"/>
          <w:cols w:space="720"/>
          <w:noEndnote/>
          <w:rtlGutter w:val="0"/>
          <w:docGrid w:linePitch="360"/>
        </w:sectPr>
      </w:pPr>
    </w:p>
    <w:p>
      <w:pPr>
        <w:pStyle w:val="Style37"/>
        <w:keepNext w:val="0"/>
        <w:keepLines w:val="0"/>
        <w:framePr w:w="3394" w:h="221" w:wrap="none" w:vAnchor="text" w:hAnchor="page" w:x="1201" w:y="563"/>
        <w:widowControl w:val="0"/>
        <w:shd w:val="clear" w:color="auto" w:fill="auto"/>
        <w:tabs>
          <w:tab w:leader="dot" w:pos="1627" w:val="left"/>
          <w:tab w:leader="dot" w:pos="3326"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w:t>
        <w:tab/>
        <w:t xml:space="preserve"> Dne </w:t>
        <w:tab/>
      </w:r>
    </w:p>
    <w:p>
      <w:pPr>
        <w:pStyle w:val="Style39"/>
        <w:keepNext w:val="0"/>
        <w:keepLines w:val="0"/>
        <w:framePr w:w="2544" w:h="451" w:wrap="none" w:vAnchor="text" w:hAnchor="page" w:x="7835" w:y="1019"/>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Titul, jméno, příjmení a funkce osoby oprávněné jednat za dodavatele</w:t>
      </w:r>
    </w:p>
    <w:p>
      <w:pPr>
        <w:widowControl w:val="0"/>
        <w:spacing w:line="360" w:lineRule="exact"/>
      </w:pPr>
      <w:r>
        <w:drawing>
          <wp:anchor distT="0" distB="286385" distL="15240" distR="12065" simplePos="0" relativeHeight="62914712" behindDoc="1" locked="0" layoutInCell="1" allowOverlap="1">
            <wp:simplePos x="0" y="0"/>
            <wp:positionH relativeFrom="page">
              <wp:posOffset>4989830</wp:posOffset>
            </wp:positionH>
            <wp:positionV relativeFrom="paragraph">
              <wp:posOffset>12700</wp:posOffset>
            </wp:positionV>
            <wp:extent cx="1591310" cy="633730"/>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17"/>
                    <a:stretch/>
                  </pic:blipFill>
                  <pic:spPr>
                    <a:xfrm>
                      <a:ext cx="1591310" cy="633730"/>
                    </a:xfrm>
                    <a:prstGeom prst="rect"/>
                  </pic:spPr>
                </pic:pic>
              </a:graphicData>
            </a:graphic>
          </wp:anchor>
        </w:drawing>
      </w: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pPr>
    </w:p>
    <w:sectPr>
      <w:footnotePr>
        <w:pos w:val="pageBottom"/>
        <w:numFmt w:val="decimal"/>
        <w:numRestart w:val="continuous"/>
      </w:footnotePr>
      <w:type w:val="continuous"/>
      <w:pgSz w:w="12240" w:h="15840"/>
      <w:pgMar w:top="990" w:left="1181" w:right="970" w:bottom="99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756920</wp:posOffset>
              </wp:positionH>
              <wp:positionV relativeFrom="page">
                <wp:posOffset>9500870</wp:posOffset>
              </wp:positionV>
              <wp:extent cx="2350135" cy="259080"/>
              <wp:wrapNone/>
              <wp:docPr id="13" name="Shape 13"/>
              <a:graphic xmlns:a="http://schemas.openxmlformats.org/drawingml/2006/main">
                <a:graphicData uri="http://schemas.microsoft.com/office/word/2010/wordprocessingShape">
                  <wps:wsp>
                    <wps:cNvSpPr txBox="1"/>
                    <wps:spPr>
                      <a:xfrm>
                        <a:ext cx="235013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wps:txbx>
                    <wps:bodyPr wrap="none" lIns="0" tIns="0" rIns="0" bIns="0">
                      <a:spAutoFit/>
                    </wps:bodyPr>
                  </wps:wsp>
                </a:graphicData>
              </a:graphic>
            </wp:anchor>
          </w:drawing>
        </mc:Choice>
        <mc:Fallback>
          <w:pict>
            <v:shape id="_x0000_s1039" type="#_x0000_t202" style="position:absolute;margin-left:59.600000000000001pt;margin-top:748.10000000000002pt;width:185.05000000000001pt;height:20.399999999999999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6443980</wp:posOffset>
              </wp:positionH>
              <wp:positionV relativeFrom="page">
                <wp:posOffset>9500870</wp:posOffset>
              </wp:positionV>
              <wp:extent cx="664210" cy="106680"/>
              <wp:wrapNone/>
              <wp:docPr id="15" name="Shape 15"/>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41" type="#_x0000_t202" style="position:absolute;margin-left:507.39999999999998pt;margin-top:748.10000000000002pt;width:52.299999999999997pt;height:8.4000000000000004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735330</wp:posOffset>
              </wp:positionH>
              <wp:positionV relativeFrom="page">
                <wp:posOffset>9453245</wp:posOffset>
              </wp:positionV>
              <wp:extent cx="6397625" cy="0"/>
              <wp:wrapNone/>
              <wp:docPr id="17" name="Shape 17"/>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899999999999999pt;margin-top:744.35000000000002pt;width:50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755650</wp:posOffset>
              </wp:positionH>
              <wp:positionV relativeFrom="page">
                <wp:posOffset>9500870</wp:posOffset>
              </wp:positionV>
              <wp:extent cx="2350135" cy="259080"/>
              <wp:wrapNone/>
              <wp:docPr id="19" name="Shape 19"/>
              <a:graphic xmlns:a="http://schemas.openxmlformats.org/drawingml/2006/main">
                <a:graphicData uri="http://schemas.microsoft.com/office/word/2010/wordprocessingShape">
                  <wps:wsp>
                    <wps:cNvSpPr txBox="1"/>
                    <wps:spPr>
                      <a:xfrm>
                        <a:ext cx="235013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wps:txbx>
                    <wps:bodyPr wrap="none" lIns="0" tIns="0" rIns="0" bIns="0">
                      <a:spAutoFit/>
                    </wps:bodyPr>
                  </wps:wsp>
                </a:graphicData>
              </a:graphic>
            </wp:anchor>
          </w:drawing>
        </mc:Choice>
        <mc:Fallback>
          <w:pict>
            <v:shape id="_x0000_s1045" type="#_x0000_t202" style="position:absolute;margin-left:59.5pt;margin-top:748.10000000000002pt;width:185.05000000000001pt;height:20.399999999999999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6443345</wp:posOffset>
              </wp:positionH>
              <wp:positionV relativeFrom="page">
                <wp:posOffset>9500870</wp:posOffset>
              </wp:positionV>
              <wp:extent cx="664210" cy="106680"/>
              <wp:wrapNone/>
              <wp:docPr id="21" name="Shape 21"/>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47" type="#_x0000_t202" style="position:absolute;margin-left:507.35000000000002pt;margin-top:748.10000000000002pt;width:52.299999999999997pt;height:8.4000000000000004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9453245</wp:posOffset>
              </wp:positionV>
              <wp:extent cx="6397625" cy="0"/>
              <wp:wrapNone/>
              <wp:docPr id="23" name="Shape 23"/>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850000000000001pt;margin-top:744.35000000000002pt;width:503.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761365</wp:posOffset>
              </wp:positionH>
              <wp:positionV relativeFrom="page">
                <wp:posOffset>9500870</wp:posOffset>
              </wp:positionV>
              <wp:extent cx="2350135" cy="259080"/>
              <wp:wrapNone/>
              <wp:docPr id="30" name="Shape 30"/>
              <a:graphic xmlns:a="http://schemas.openxmlformats.org/drawingml/2006/main">
                <a:graphicData uri="http://schemas.microsoft.com/office/word/2010/wordprocessingShape">
                  <wps:wsp>
                    <wps:cNvSpPr txBox="1"/>
                    <wps:spPr>
                      <a:xfrm>
                        <a:ext cx="235013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wps:txbx>
                    <wps:bodyPr wrap="none" lIns="0" tIns="0" rIns="0" bIns="0">
                      <a:spAutoFit/>
                    </wps:bodyPr>
                  </wps:wsp>
                </a:graphicData>
              </a:graphic>
            </wp:anchor>
          </w:drawing>
        </mc:Choice>
        <mc:Fallback>
          <w:pict>
            <v:shape id="_x0000_s1056" type="#_x0000_t202" style="position:absolute;margin-left:59.950000000000003pt;margin-top:748.10000000000002pt;width:185.05000000000001pt;height:20.399999999999999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6448425</wp:posOffset>
              </wp:positionH>
              <wp:positionV relativeFrom="page">
                <wp:posOffset>9500870</wp:posOffset>
              </wp:positionV>
              <wp:extent cx="664210" cy="106680"/>
              <wp:wrapNone/>
              <wp:docPr id="32" name="Shape 32"/>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58" type="#_x0000_t202" style="position:absolute;margin-left:507.75pt;margin-top:748.10000000000002pt;width:52.299999999999997pt;height:8.4000000000000004pt;z-index:-18874404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739775</wp:posOffset>
              </wp:positionH>
              <wp:positionV relativeFrom="page">
                <wp:posOffset>9453245</wp:posOffset>
              </wp:positionV>
              <wp:extent cx="6397625" cy="0"/>
              <wp:wrapNone/>
              <wp:docPr id="34" name="Shape 34"/>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8.25pt;margin-top:744.35000000000002pt;width:503.7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756285</wp:posOffset>
              </wp:positionH>
              <wp:positionV relativeFrom="page">
                <wp:posOffset>9500870</wp:posOffset>
              </wp:positionV>
              <wp:extent cx="2350135" cy="259080"/>
              <wp:wrapNone/>
              <wp:docPr id="37" name="Shape 37"/>
              <a:graphic xmlns:a="http://schemas.openxmlformats.org/drawingml/2006/main">
                <a:graphicData uri="http://schemas.microsoft.com/office/word/2010/wordprocessingShape">
                  <wps:wsp>
                    <wps:cNvSpPr txBox="1"/>
                    <wps:spPr>
                      <a:xfrm>
                        <a:ext cx="235013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wps:txbx>
                    <wps:bodyPr wrap="none" lIns="0" tIns="0" rIns="0" bIns="0">
                      <a:spAutoFit/>
                    </wps:bodyPr>
                  </wps:wsp>
                </a:graphicData>
              </a:graphic>
            </wp:anchor>
          </w:drawing>
        </mc:Choice>
        <mc:Fallback>
          <w:pict>
            <v:shape id="_x0000_s1063" type="#_x0000_t202" style="position:absolute;margin-left:59.549999999999997pt;margin-top:748.10000000000002pt;width:185.05000000000001pt;height:20.399999999999999pt;z-index:-18874404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6443980</wp:posOffset>
              </wp:positionH>
              <wp:positionV relativeFrom="page">
                <wp:posOffset>9500870</wp:posOffset>
              </wp:positionV>
              <wp:extent cx="664210" cy="106680"/>
              <wp:wrapNone/>
              <wp:docPr id="39" name="Shape 39"/>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65" type="#_x0000_t202" style="position:absolute;margin-left:507.39999999999998pt;margin-top:748.10000000000002pt;width:52.299999999999997pt;height:8.4000000000000004pt;z-index:-18874404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735330</wp:posOffset>
              </wp:positionH>
              <wp:positionV relativeFrom="page">
                <wp:posOffset>9453245</wp:posOffset>
              </wp:positionV>
              <wp:extent cx="6397625" cy="0"/>
              <wp:wrapNone/>
              <wp:docPr id="41" name="Shape 41"/>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899999999999999pt;margin-top:744.35000000000002pt;width:503.7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3228340</wp:posOffset>
              </wp:positionH>
              <wp:positionV relativeFrom="page">
                <wp:posOffset>240665</wp:posOffset>
              </wp:positionV>
              <wp:extent cx="1420495" cy="533400"/>
              <wp:wrapNone/>
              <wp:docPr id="11" name="Shape 11"/>
              <a:graphic xmlns:a="http://schemas.openxmlformats.org/drawingml/2006/main">
                <a:graphicData uri="http://schemas.microsoft.com/office/word/2010/wordprocessingShape">
                  <wps:wsp>
                    <wps:cNvSpPr txBox="1"/>
                    <wps:spPr>
                      <a:xfrm>
                        <a:ext cx="1420495" cy="533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g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STATNI FOND DOPRAVNÍ</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37" type="#_x0000_t202" style="position:absolute;margin-left:254.19999999999999pt;margin-top:18.949999999999999pt;width:111.84999999999999pt;height:42.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g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STATNI FOND DOPRAVNÍ</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INFRASTRUKTURY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3232785</wp:posOffset>
              </wp:positionH>
              <wp:positionV relativeFrom="page">
                <wp:posOffset>240665</wp:posOffset>
              </wp:positionV>
              <wp:extent cx="1420495" cy="533400"/>
              <wp:wrapNone/>
              <wp:docPr id="28" name="Shape 28"/>
              <a:graphic xmlns:a="http://schemas.openxmlformats.org/drawingml/2006/main">
                <a:graphicData uri="http://schemas.microsoft.com/office/word/2010/wordprocessingShape">
                  <wps:wsp>
                    <wps:cNvSpPr txBox="1"/>
                    <wps:spPr>
                      <a:xfrm>
                        <a:ext cx="1420495" cy="533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STATNI FOND DOPRAVNÍ</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54" type="#_x0000_t202" style="position:absolute;margin-left:254.55000000000001pt;margin-top:18.949999999999999pt;width:111.84999999999999pt;height:42.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STATNI FOND DOPRAVNÍ</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INFRASTRUKTURY</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3222625</wp:posOffset>
              </wp:positionH>
              <wp:positionV relativeFrom="page">
                <wp:posOffset>240665</wp:posOffset>
              </wp:positionV>
              <wp:extent cx="1426210" cy="533400"/>
              <wp:wrapNone/>
              <wp:docPr id="35" name="Shape 35"/>
              <a:graphic xmlns:a="http://schemas.openxmlformats.org/drawingml/2006/main">
                <a:graphicData uri="http://schemas.microsoft.com/office/word/2010/wordprocessingShape">
                  <wps:wsp>
                    <wps:cNvSpPr txBox="1"/>
                    <wps:spPr>
                      <a:xfrm>
                        <a:ext cx="1426210" cy="533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STATNI FOND OORRAVNI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61" type="#_x0000_t202" style="position:absolute;margin-left:253.75pt;margin-top:18.949999999999999pt;width:112.3pt;height:42.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STATNI FOND OORRAVNI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58D94"/>
                        <w:spacing w:val="0"/>
                        <w:w w:val="100"/>
                        <w:position w:val="0"/>
                        <w:sz w:val="10"/>
                        <w:szCs w:val="10"/>
                        <w:shd w:val="clear" w:color="auto" w:fill="auto"/>
                        <w:lang w:val="cs-CZ" w:eastAsia="cs-CZ" w:bidi="cs-CZ"/>
                      </w:rPr>
                      <w:t>INFRASTRUKTURY</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Titulek tabulky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7">
    <w:name w:val="Základní text_"/>
    <w:basedOn w:val="DefaultParagraphFont"/>
    <w:link w:val="Style6"/>
    <w:rPr>
      <w:rFonts w:ascii="Times New Roman" w:eastAsia="Times New Roman" w:hAnsi="Times New Roman" w:cs="Times New Roman"/>
      <w:b w:val="0"/>
      <w:bCs w:val="0"/>
      <w:i w:val="0"/>
      <w:iCs w:val="0"/>
      <w:smallCaps w:val="0"/>
      <w:strike w:val="0"/>
      <w:u w:val="none"/>
    </w:rPr>
  </w:style>
  <w:style w:type="character" w:customStyle="1" w:styleId="CharStyle11">
    <w:name w:val="Nadpis #1_"/>
    <w:basedOn w:val="DefaultParagraphFont"/>
    <w:link w:val="Style10"/>
    <w:rPr>
      <w:rFonts w:ascii="Times New Roman" w:eastAsia="Times New Roman" w:hAnsi="Times New Roman" w:cs="Times New Roman"/>
      <w:b/>
      <w:bCs/>
      <w:i w:val="0"/>
      <w:iCs w:val="0"/>
      <w:smallCaps w:val="0"/>
      <w:strike w:val="0"/>
      <w:sz w:val="40"/>
      <w:szCs w:val="40"/>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22">
    <w:name w:val="Nadpis #2_"/>
    <w:basedOn w:val="DefaultParagraphFont"/>
    <w:link w:val="Style21"/>
    <w:rPr>
      <w:rFonts w:ascii="Times New Roman" w:eastAsia="Times New Roman" w:hAnsi="Times New Roman" w:cs="Times New Roman"/>
      <w:b/>
      <w:bCs/>
      <w:i w:val="0"/>
      <w:iCs w:val="0"/>
      <w:smallCaps w:val="0"/>
      <w:strike w:val="0"/>
      <w:u w:val="none"/>
    </w:rPr>
  </w:style>
  <w:style w:type="character" w:customStyle="1" w:styleId="CharStyle38">
    <w:name w:val="Základní text (2)_"/>
    <w:basedOn w:val="DefaultParagraphFont"/>
    <w:link w:val="Style37"/>
    <w:rPr>
      <w:rFonts w:ascii="Times New Roman" w:eastAsia="Times New Roman" w:hAnsi="Times New Roman" w:cs="Times New Roman"/>
      <w:b w:val="0"/>
      <w:bCs w:val="0"/>
      <w:i w:val="0"/>
      <w:iCs w:val="0"/>
      <w:smallCaps w:val="0"/>
      <w:strike w:val="0"/>
      <w:sz w:val="16"/>
      <w:szCs w:val="16"/>
      <w:u w:val="none"/>
    </w:rPr>
  </w:style>
  <w:style w:type="character" w:customStyle="1" w:styleId="CharStyle40">
    <w:name w:val="Titulek obrázku_"/>
    <w:basedOn w:val="DefaultParagraphFont"/>
    <w:link w:val="Style39"/>
    <w:rPr>
      <w:rFonts w:ascii="Times New Roman" w:eastAsia="Times New Roman" w:hAnsi="Times New Roman" w:cs="Times New Roman"/>
      <w:b w:val="0"/>
      <w:bCs w:val="0"/>
      <w:i/>
      <w:iCs/>
      <w:smallCaps w:val="0"/>
      <w:strike w:val="0"/>
      <w:sz w:val="16"/>
      <w:szCs w:val="16"/>
      <w:u w:val="none"/>
    </w:rPr>
  </w:style>
  <w:style w:type="paragraph" w:customStyle="1" w:styleId="Style2">
    <w:name w:val="Jiné"/>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4">
    <w:name w:val="Titulek tabulky"/>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6">
    <w:name w:val="Základní text"/>
    <w:basedOn w:val="Normal"/>
    <w:link w:val="CharStyle7"/>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0">
    <w:name w:val="Nadpis #1"/>
    <w:basedOn w:val="Normal"/>
    <w:link w:val="CharStyle11"/>
    <w:pPr>
      <w:widowControl w:val="0"/>
      <w:shd w:val="clear" w:color="auto" w:fill="FFFFFF"/>
      <w:spacing w:after="32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12">
    <w:name w:val="Záhlaví nebo zápatí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1">
    <w:name w:val="Nadpis #2"/>
    <w:basedOn w:val="Normal"/>
    <w:link w:val="CharStyle22"/>
    <w:pPr>
      <w:widowControl w:val="0"/>
      <w:shd w:val="clear" w:color="auto" w:fill="FFFFFF"/>
      <w:spacing w:after="470"/>
      <w:jc w:val="center"/>
      <w:outlineLvl w:val="1"/>
    </w:pPr>
    <w:rPr>
      <w:rFonts w:ascii="Times New Roman" w:eastAsia="Times New Roman" w:hAnsi="Times New Roman" w:cs="Times New Roman"/>
      <w:b/>
      <w:bCs/>
      <w:i w:val="0"/>
      <w:iCs w:val="0"/>
      <w:smallCaps w:val="0"/>
      <w:strike w:val="0"/>
      <w:u w:val="none"/>
    </w:rPr>
  </w:style>
  <w:style w:type="paragraph" w:customStyle="1" w:styleId="Style37">
    <w:name w:val="Základní text (2)"/>
    <w:basedOn w:val="Normal"/>
    <w:link w:val="CharStyle38"/>
    <w:pPr>
      <w:widowControl w:val="0"/>
      <w:shd w:val="clear" w:color="auto" w:fill="FFFFFF"/>
    </w:pPr>
    <w:rPr>
      <w:rFonts w:ascii="Times New Roman" w:eastAsia="Times New Roman" w:hAnsi="Times New Roman" w:cs="Times New Roman"/>
      <w:b w:val="0"/>
      <w:bCs w:val="0"/>
      <w:i w:val="0"/>
      <w:iCs w:val="0"/>
      <w:smallCaps w:val="0"/>
      <w:strike w:val="0"/>
      <w:sz w:val="16"/>
      <w:szCs w:val="16"/>
      <w:u w:val="none"/>
    </w:rPr>
  </w:style>
  <w:style w:type="paragraph" w:customStyle="1" w:styleId="Style39">
    <w:name w:val="Titulek obrázku"/>
    <w:basedOn w:val="Normal"/>
    <w:link w:val="CharStyle40"/>
    <w:pPr>
      <w:widowControl w:val="0"/>
      <w:shd w:val="clear" w:color="auto" w:fill="FFFFFF"/>
      <w:spacing w:line="269" w:lineRule="auto"/>
      <w:jc w:val="center"/>
    </w:pPr>
    <w:rPr>
      <w:rFonts w:ascii="Times New Roman" w:eastAsia="Times New Roman" w:hAnsi="Times New Roman" w:cs="Times New Roman"/>
      <w:b w:val="0"/>
      <w:bCs w:val="0"/>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image" Target="media/image2.png"/><Relationship Id="rId18" Type="http://schemas.openxmlformats.org/officeDocument/2006/relationships/image" Target="media/image2.png" TargetMode="External"/></Relationships>
</file>

<file path=docProps/core.xml><?xml version="1.0" encoding="utf-8"?>
<cp:coreProperties xmlns:cp="http://schemas.openxmlformats.org/package/2006/metadata/core-properties" xmlns:dc="http://purl.org/dc/elements/1.1/">
  <dc:title/>
  <dc:subject/>
  <dc:creator>kostelecka</dc:creator>
  <cp:keywords/>
</cp:coreProperties>
</file>